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A6ACD" w14:textId="77777777" w:rsidR="00B0379D" w:rsidRDefault="00E75E6D" w:rsidP="00E8921D">
      <w:pPr>
        <w:rPr>
          <w:b/>
          <w:bCs/>
        </w:rPr>
      </w:pPr>
      <w:r>
        <w:rPr>
          <w:noProof/>
        </w:rPr>
        <w:drawing>
          <wp:anchor distT="0" distB="0" distL="114300" distR="114300" simplePos="0" relativeHeight="251658253" behindDoc="1" locked="0" layoutInCell="1" allowOverlap="1" wp14:anchorId="2A1A5F31" wp14:editId="3AEC0EA1">
            <wp:simplePos x="0" y="0"/>
            <wp:positionH relativeFrom="margin">
              <wp:posOffset>-436299</wp:posOffset>
            </wp:positionH>
            <wp:positionV relativeFrom="paragraph">
              <wp:posOffset>-792825</wp:posOffset>
            </wp:positionV>
            <wp:extent cx="7513267" cy="10857847"/>
            <wp:effectExtent l="0" t="0" r="0" b="1270"/>
            <wp:wrapNone/>
            <wp:docPr id="799303980"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03980" name="Picture 799303980" descr="P1#y1"/>
                    <pic:cNvPicPr/>
                  </pic:nvPicPr>
                  <pic:blipFill>
                    <a:blip r:embed="rId11">
                      <a:extLst>
                        <a:ext uri="{28A0092B-C50C-407E-A947-70E740481C1C}">
                          <a14:useLocalDpi xmlns:a14="http://schemas.microsoft.com/office/drawing/2010/main" val="0"/>
                        </a:ext>
                      </a:extLst>
                    </a:blip>
                    <a:stretch>
                      <a:fillRect/>
                    </a:stretch>
                  </pic:blipFill>
                  <pic:spPr>
                    <a:xfrm>
                      <a:off x="0" y="0"/>
                      <a:ext cx="7549882" cy="10910761"/>
                    </a:xfrm>
                    <a:prstGeom prst="rect">
                      <a:avLst/>
                    </a:prstGeom>
                  </pic:spPr>
                </pic:pic>
              </a:graphicData>
            </a:graphic>
            <wp14:sizeRelH relativeFrom="page">
              <wp14:pctWidth>0</wp14:pctWidth>
            </wp14:sizeRelH>
            <wp14:sizeRelV relativeFrom="page">
              <wp14:pctHeight>0</wp14:pctHeight>
            </wp14:sizeRelV>
          </wp:anchor>
        </w:drawing>
      </w:r>
    </w:p>
    <w:p w14:paraId="58102AA4" w14:textId="77777777" w:rsidR="00B0379D" w:rsidRDefault="00B0379D" w:rsidP="00B0379D">
      <w:pPr>
        <w:rPr>
          <w:b/>
        </w:rPr>
      </w:pPr>
    </w:p>
    <w:p w14:paraId="7F40AC31" w14:textId="77777777" w:rsidR="00B0379D" w:rsidRDefault="00B0379D" w:rsidP="00B0379D">
      <w:pPr>
        <w:rPr>
          <w:b/>
        </w:rPr>
      </w:pPr>
    </w:p>
    <w:p w14:paraId="6F1AD31A" w14:textId="77777777" w:rsidR="00B0379D" w:rsidRDefault="00B0379D" w:rsidP="1F684A5A">
      <w:pPr>
        <w:rPr>
          <w:b/>
          <w:bCs/>
        </w:rPr>
      </w:pPr>
    </w:p>
    <w:p w14:paraId="66DEA7EA" w14:textId="77777777" w:rsidR="00B0379D" w:rsidRDefault="00B0379D" w:rsidP="1F684A5A">
      <w:pPr>
        <w:rPr>
          <w:b/>
          <w:bCs/>
        </w:rPr>
      </w:pPr>
    </w:p>
    <w:p w14:paraId="11EB1D2E" w14:textId="2618C68A" w:rsidR="1F684A5A" w:rsidRDefault="1F684A5A" w:rsidP="1F684A5A">
      <w:pPr>
        <w:rPr>
          <w:b/>
          <w:bCs/>
        </w:rPr>
      </w:pPr>
    </w:p>
    <w:p w14:paraId="36007C67" w14:textId="5BA83BC5" w:rsidR="1F684A5A" w:rsidRDefault="1F684A5A" w:rsidP="1F684A5A">
      <w:pPr>
        <w:rPr>
          <w:b/>
          <w:bCs/>
        </w:rPr>
      </w:pPr>
    </w:p>
    <w:p w14:paraId="6F27EFFA" w14:textId="5C880B6D" w:rsidR="19431935" w:rsidRDefault="19431935" w:rsidP="1F684A5A">
      <w:pPr>
        <w:jc w:val="center"/>
        <w:rPr>
          <w:b/>
          <w:bCs/>
          <w:color w:val="FFFFFF" w:themeColor="background1"/>
          <w:sz w:val="56"/>
          <w:szCs w:val="56"/>
        </w:rPr>
      </w:pPr>
      <w:r w:rsidRPr="1F684A5A">
        <w:rPr>
          <w:b/>
          <w:bCs/>
          <w:color w:val="FFFFFF" w:themeColor="background1"/>
          <w:sz w:val="56"/>
          <w:szCs w:val="56"/>
        </w:rPr>
        <w:t>PERFORMANCE REPORT</w:t>
      </w:r>
    </w:p>
    <w:p w14:paraId="18F28AA8" w14:textId="2429B705" w:rsidR="19431935" w:rsidRDefault="19431935" w:rsidP="1F684A5A">
      <w:pPr>
        <w:jc w:val="center"/>
        <w:rPr>
          <w:b/>
          <w:bCs/>
          <w:color w:val="FFFFFF" w:themeColor="background1"/>
          <w:sz w:val="56"/>
          <w:szCs w:val="56"/>
        </w:rPr>
      </w:pPr>
      <w:r w:rsidRPr="1F684A5A">
        <w:rPr>
          <w:b/>
          <w:bCs/>
          <w:color w:val="FFFFFF" w:themeColor="background1"/>
          <w:sz w:val="56"/>
          <w:szCs w:val="56"/>
        </w:rPr>
        <w:t>QUARTER 1 202</w:t>
      </w:r>
      <w:r w:rsidR="006942C3">
        <w:rPr>
          <w:b/>
          <w:bCs/>
          <w:color w:val="FFFFFF" w:themeColor="background1"/>
          <w:sz w:val="56"/>
          <w:szCs w:val="56"/>
        </w:rPr>
        <w:t>4</w:t>
      </w:r>
      <w:r w:rsidR="00EB1D75">
        <w:rPr>
          <w:b/>
          <w:bCs/>
          <w:color w:val="FFFFFF" w:themeColor="background1"/>
          <w:sz w:val="56"/>
          <w:szCs w:val="56"/>
        </w:rPr>
        <w:t>-</w:t>
      </w:r>
      <w:r w:rsidRPr="1F684A5A">
        <w:rPr>
          <w:b/>
          <w:bCs/>
          <w:color w:val="FFFFFF" w:themeColor="background1"/>
          <w:sz w:val="56"/>
          <w:szCs w:val="56"/>
        </w:rPr>
        <w:t>2</w:t>
      </w:r>
      <w:r w:rsidR="006942C3">
        <w:rPr>
          <w:b/>
          <w:bCs/>
          <w:color w:val="FFFFFF" w:themeColor="background1"/>
          <w:sz w:val="56"/>
          <w:szCs w:val="56"/>
        </w:rPr>
        <w:t>5</w:t>
      </w:r>
    </w:p>
    <w:p w14:paraId="06DCAF07" w14:textId="77777777" w:rsidR="00B0379D" w:rsidRDefault="00B0379D" w:rsidP="00B0379D">
      <w:pPr>
        <w:rPr>
          <w:b/>
        </w:rPr>
      </w:pPr>
    </w:p>
    <w:p w14:paraId="5B334C0D" w14:textId="77777777" w:rsidR="00B0379D" w:rsidRDefault="00B0379D" w:rsidP="00B0379D">
      <w:pPr>
        <w:jc w:val="center"/>
        <w:rPr>
          <w:b/>
        </w:rPr>
      </w:pPr>
    </w:p>
    <w:p w14:paraId="59F96484" w14:textId="77777777" w:rsidR="00B0379D" w:rsidRDefault="00B0379D" w:rsidP="00B0379D">
      <w:pPr>
        <w:jc w:val="center"/>
        <w:rPr>
          <w:b/>
        </w:rPr>
      </w:pPr>
    </w:p>
    <w:p w14:paraId="4F91F4F8" w14:textId="77777777" w:rsidR="00B0379D" w:rsidRDefault="00B0379D" w:rsidP="00B0379D">
      <w:pPr>
        <w:rPr>
          <w:b/>
        </w:rPr>
      </w:pPr>
    </w:p>
    <w:p w14:paraId="2D6F9FD8" w14:textId="77777777" w:rsidR="00B0379D" w:rsidRDefault="00B0379D" w:rsidP="00B0379D">
      <w:pPr>
        <w:rPr>
          <w:b/>
        </w:rPr>
      </w:pPr>
    </w:p>
    <w:p w14:paraId="2E53DB77" w14:textId="77777777" w:rsidR="00B0379D" w:rsidRDefault="00B0379D" w:rsidP="00B0379D">
      <w:pPr>
        <w:rPr>
          <w:b/>
        </w:rPr>
      </w:pPr>
    </w:p>
    <w:p w14:paraId="62172E55" w14:textId="77777777" w:rsidR="00B0379D" w:rsidRDefault="00B0379D" w:rsidP="00B0379D">
      <w:pPr>
        <w:rPr>
          <w:b/>
        </w:rPr>
      </w:pPr>
    </w:p>
    <w:p w14:paraId="2E59655F" w14:textId="77777777" w:rsidR="00B0379D" w:rsidRDefault="00B0379D" w:rsidP="00B0379D">
      <w:pPr>
        <w:rPr>
          <w:b/>
        </w:rPr>
      </w:pPr>
    </w:p>
    <w:p w14:paraId="3692B5F8" w14:textId="77777777" w:rsidR="00B0379D" w:rsidRDefault="00B0379D" w:rsidP="00B0379D">
      <w:pPr>
        <w:rPr>
          <w:b/>
        </w:rPr>
      </w:pPr>
    </w:p>
    <w:p w14:paraId="355BB75F" w14:textId="77777777" w:rsidR="00B0379D" w:rsidRDefault="00B0379D" w:rsidP="00B0379D">
      <w:pPr>
        <w:rPr>
          <w:b/>
        </w:rPr>
      </w:pPr>
    </w:p>
    <w:p w14:paraId="1A968DE8" w14:textId="77777777" w:rsidR="00B0379D" w:rsidRDefault="00B0379D" w:rsidP="00B0379D">
      <w:pPr>
        <w:rPr>
          <w:b/>
        </w:rPr>
      </w:pPr>
    </w:p>
    <w:p w14:paraId="1CCEC152" w14:textId="77777777" w:rsidR="00B0379D" w:rsidRDefault="00B0379D" w:rsidP="00B0379D">
      <w:pPr>
        <w:rPr>
          <w:b/>
        </w:rPr>
      </w:pPr>
    </w:p>
    <w:p w14:paraId="42DB1791" w14:textId="77777777" w:rsidR="00B0379D" w:rsidRDefault="00B0379D" w:rsidP="00B0379D">
      <w:pPr>
        <w:rPr>
          <w:b/>
        </w:rPr>
      </w:pPr>
    </w:p>
    <w:p w14:paraId="6A23F907" w14:textId="77777777" w:rsidR="00B0379D" w:rsidRDefault="00B0379D" w:rsidP="00B0379D">
      <w:pPr>
        <w:rPr>
          <w:b/>
        </w:rPr>
      </w:pPr>
    </w:p>
    <w:p w14:paraId="01157C34" w14:textId="77777777" w:rsidR="00B0379D" w:rsidRDefault="00B0379D" w:rsidP="00B0379D">
      <w:pPr>
        <w:rPr>
          <w:b/>
        </w:rPr>
      </w:pPr>
    </w:p>
    <w:p w14:paraId="304A97A1" w14:textId="77777777" w:rsidR="00B0379D" w:rsidRDefault="00B0379D" w:rsidP="00B0379D">
      <w:pPr>
        <w:rPr>
          <w:b/>
        </w:rPr>
      </w:pPr>
    </w:p>
    <w:sdt>
      <w:sdtPr>
        <w:rPr>
          <w:rFonts w:ascii="Arial" w:eastAsiaTheme="minorEastAsia" w:hAnsi="Arial" w:cs="Arial"/>
          <w:color w:val="auto"/>
          <w:sz w:val="22"/>
          <w:szCs w:val="22"/>
          <w:lang w:val="en-GB"/>
        </w:rPr>
        <w:id w:val="1345978270"/>
        <w:docPartObj>
          <w:docPartGallery w:val="Table of Contents"/>
          <w:docPartUnique/>
        </w:docPartObj>
      </w:sdtPr>
      <w:sdtEndPr>
        <w:rPr>
          <w:b/>
          <w:bCs/>
        </w:rPr>
      </w:sdtEndPr>
      <w:sdtContent>
        <w:p w14:paraId="603D12D4" w14:textId="77777777" w:rsidR="004058DC" w:rsidRDefault="004058DC">
          <w:pPr>
            <w:pStyle w:val="TOCHeading"/>
            <w:rPr>
              <w:rFonts w:ascii="Arial" w:eastAsiaTheme="minorHAnsi" w:hAnsi="Arial" w:cs="Arial"/>
              <w:color w:val="auto"/>
              <w:sz w:val="22"/>
              <w:szCs w:val="22"/>
              <w:lang w:val="en-GB"/>
            </w:rPr>
          </w:pPr>
        </w:p>
        <w:p w14:paraId="2501AF14" w14:textId="77777777" w:rsidR="004058DC" w:rsidRDefault="004058DC">
          <w:pPr>
            <w:pStyle w:val="TOCHeading"/>
            <w:rPr>
              <w:rFonts w:ascii="Arial" w:hAnsi="Arial" w:cs="Arial"/>
              <w:b/>
              <w:color w:val="000000" w:themeColor="text1"/>
              <w:sz w:val="22"/>
              <w:szCs w:val="22"/>
            </w:rPr>
          </w:pPr>
        </w:p>
        <w:p w14:paraId="38A7D2EE" w14:textId="4A8680A2" w:rsidR="00B0379D" w:rsidRPr="006618AE" w:rsidRDefault="00E75E6D">
          <w:pPr>
            <w:pStyle w:val="TOCHeading"/>
            <w:rPr>
              <w:rFonts w:ascii="Arial" w:hAnsi="Arial" w:cs="Arial"/>
              <w:b/>
              <w:color w:val="000000" w:themeColor="text1"/>
              <w:sz w:val="22"/>
              <w:szCs w:val="22"/>
            </w:rPr>
          </w:pPr>
          <w:r w:rsidRPr="006618AE">
            <w:rPr>
              <w:rFonts w:ascii="Arial" w:hAnsi="Arial" w:cs="Arial"/>
              <w:b/>
              <w:color w:val="000000" w:themeColor="text1"/>
              <w:sz w:val="22"/>
              <w:szCs w:val="22"/>
            </w:rPr>
            <w:t>Contents</w:t>
          </w:r>
        </w:p>
        <w:p w14:paraId="1953D8D4" w14:textId="77777777" w:rsidR="00B0379D" w:rsidRPr="00250F87" w:rsidRDefault="00B0379D" w:rsidP="00B0379D">
          <w:pPr>
            <w:rPr>
              <w:rFonts w:ascii="Arial" w:hAnsi="Arial" w:cs="Arial"/>
              <w:lang w:val="en-US"/>
            </w:rPr>
          </w:pPr>
        </w:p>
        <w:p w14:paraId="4349CAE1" w14:textId="30D8C6E2" w:rsidR="00EB1D75" w:rsidRDefault="00E75E6D">
          <w:pPr>
            <w:pStyle w:val="TOC1"/>
            <w:rPr>
              <w:rFonts w:eastAsiaTheme="minorEastAsia"/>
              <w:noProof/>
              <w:kern w:val="2"/>
              <w:lang w:eastAsia="en-GB"/>
              <w14:ligatures w14:val="standardContextual"/>
            </w:rPr>
          </w:pPr>
          <w:r w:rsidRPr="00DF2E2B">
            <w:rPr>
              <w:rFonts w:ascii="Arial" w:hAnsi="Arial" w:cs="Arial"/>
            </w:rPr>
            <w:fldChar w:fldCharType="begin"/>
          </w:r>
          <w:r w:rsidRPr="00C62A58">
            <w:rPr>
              <w:rFonts w:ascii="Arial" w:hAnsi="Arial" w:cs="Arial"/>
            </w:rPr>
            <w:instrText xml:space="preserve"> TOC \o "1-3" \h \z \u </w:instrText>
          </w:r>
          <w:r w:rsidRPr="00DF2E2B">
            <w:rPr>
              <w:rFonts w:ascii="Arial" w:hAnsi="Arial" w:cs="Arial"/>
            </w:rPr>
            <w:fldChar w:fldCharType="separate"/>
          </w:r>
          <w:hyperlink w:anchor="_Toc174698088" w:history="1">
            <w:r w:rsidR="00EB1D75" w:rsidRPr="00B11563">
              <w:rPr>
                <w:rStyle w:val="Hyperlink"/>
                <w:b/>
                <w:bCs/>
                <w:noProof/>
              </w:rPr>
              <w:t>1</w:t>
            </w:r>
            <w:r w:rsidR="00EB1D75" w:rsidRPr="00B11563">
              <w:rPr>
                <w:rStyle w:val="Hyperlink"/>
                <w:b/>
                <w:noProof/>
              </w:rPr>
              <w:t>. Our Borough Strategy 2021-30 Priorities</w:t>
            </w:r>
            <w:r w:rsidR="00EB1D75">
              <w:rPr>
                <w:noProof/>
                <w:webHidden/>
              </w:rPr>
              <w:tab/>
            </w:r>
            <w:r w:rsidR="00EB1D75">
              <w:rPr>
                <w:noProof/>
                <w:webHidden/>
              </w:rPr>
              <w:fldChar w:fldCharType="begin"/>
            </w:r>
            <w:r w:rsidR="00EB1D75">
              <w:rPr>
                <w:noProof/>
                <w:webHidden/>
              </w:rPr>
              <w:instrText xml:space="preserve"> PAGEREF _Toc174698088 \h </w:instrText>
            </w:r>
            <w:r w:rsidR="00EB1D75">
              <w:rPr>
                <w:noProof/>
                <w:webHidden/>
              </w:rPr>
            </w:r>
            <w:r w:rsidR="00EB1D75">
              <w:rPr>
                <w:noProof/>
                <w:webHidden/>
              </w:rPr>
              <w:fldChar w:fldCharType="separate"/>
            </w:r>
            <w:r w:rsidR="00EB1D75">
              <w:rPr>
                <w:noProof/>
                <w:webHidden/>
              </w:rPr>
              <w:t>3</w:t>
            </w:r>
            <w:r w:rsidR="00EB1D75">
              <w:rPr>
                <w:noProof/>
                <w:webHidden/>
              </w:rPr>
              <w:fldChar w:fldCharType="end"/>
            </w:r>
          </w:hyperlink>
        </w:p>
        <w:p w14:paraId="00F8F708" w14:textId="6D667889" w:rsidR="00EB1D75" w:rsidRDefault="0018313C">
          <w:pPr>
            <w:pStyle w:val="TOC1"/>
            <w:rPr>
              <w:rFonts w:eastAsiaTheme="minorEastAsia"/>
              <w:noProof/>
              <w:kern w:val="2"/>
              <w:lang w:eastAsia="en-GB"/>
              <w14:ligatures w14:val="standardContextual"/>
            </w:rPr>
          </w:pPr>
          <w:hyperlink w:anchor="_Toc174698089" w:history="1">
            <w:r w:rsidR="00EB1D75" w:rsidRPr="00B11563">
              <w:rPr>
                <w:rStyle w:val="Hyperlink"/>
                <w:b/>
                <w:noProof/>
              </w:rPr>
              <w:t>2. Borough Strategy Priorities and the UN Sustainable Development Goals</w:t>
            </w:r>
            <w:r w:rsidR="00EB1D75">
              <w:rPr>
                <w:noProof/>
                <w:webHidden/>
              </w:rPr>
              <w:tab/>
            </w:r>
            <w:r w:rsidR="00EB1D75">
              <w:rPr>
                <w:noProof/>
                <w:webHidden/>
              </w:rPr>
              <w:fldChar w:fldCharType="begin"/>
            </w:r>
            <w:r w:rsidR="00EB1D75">
              <w:rPr>
                <w:noProof/>
                <w:webHidden/>
              </w:rPr>
              <w:instrText xml:space="preserve"> PAGEREF _Toc174698089 \h </w:instrText>
            </w:r>
            <w:r w:rsidR="00EB1D75">
              <w:rPr>
                <w:noProof/>
                <w:webHidden/>
              </w:rPr>
            </w:r>
            <w:r w:rsidR="00EB1D75">
              <w:rPr>
                <w:noProof/>
                <w:webHidden/>
              </w:rPr>
              <w:fldChar w:fldCharType="separate"/>
            </w:r>
            <w:r w:rsidR="00EB1D75">
              <w:rPr>
                <w:noProof/>
                <w:webHidden/>
              </w:rPr>
              <w:t>4</w:t>
            </w:r>
            <w:r w:rsidR="00EB1D75">
              <w:rPr>
                <w:noProof/>
                <w:webHidden/>
              </w:rPr>
              <w:fldChar w:fldCharType="end"/>
            </w:r>
          </w:hyperlink>
        </w:p>
        <w:p w14:paraId="6A298BF3" w14:textId="3BB91D76" w:rsidR="00EB1D75" w:rsidRDefault="0018313C">
          <w:pPr>
            <w:pStyle w:val="TOC1"/>
            <w:rPr>
              <w:rFonts w:eastAsiaTheme="minorEastAsia"/>
              <w:noProof/>
              <w:kern w:val="2"/>
              <w:lang w:eastAsia="en-GB"/>
              <w14:ligatures w14:val="standardContextual"/>
            </w:rPr>
          </w:pPr>
          <w:hyperlink w:anchor="_Toc174698090" w:history="1">
            <w:r w:rsidR="00EB1D75" w:rsidRPr="00B11563">
              <w:rPr>
                <w:rStyle w:val="Hyperlink"/>
                <w:b/>
                <w:noProof/>
              </w:rPr>
              <w:t>3. Purpose of the Report</w:t>
            </w:r>
            <w:r w:rsidR="00EB1D75">
              <w:rPr>
                <w:noProof/>
                <w:webHidden/>
              </w:rPr>
              <w:tab/>
            </w:r>
            <w:r w:rsidR="00EB1D75">
              <w:rPr>
                <w:noProof/>
                <w:webHidden/>
              </w:rPr>
              <w:fldChar w:fldCharType="begin"/>
            </w:r>
            <w:r w:rsidR="00EB1D75">
              <w:rPr>
                <w:noProof/>
                <w:webHidden/>
              </w:rPr>
              <w:instrText xml:space="preserve"> PAGEREF _Toc174698090 \h </w:instrText>
            </w:r>
            <w:r w:rsidR="00EB1D75">
              <w:rPr>
                <w:noProof/>
                <w:webHidden/>
              </w:rPr>
            </w:r>
            <w:r w:rsidR="00EB1D75">
              <w:rPr>
                <w:noProof/>
                <w:webHidden/>
              </w:rPr>
              <w:fldChar w:fldCharType="separate"/>
            </w:r>
            <w:r w:rsidR="00EB1D75">
              <w:rPr>
                <w:noProof/>
                <w:webHidden/>
              </w:rPr>
              <w:t>5</w:t>
            </w:r>
            <w:r w:rsidR="00EB1D75">
              <w:rPr>
                <w:noProof/>
                <w:webHidden/>
              </w:rPr>
              <w:fldChar w:fldCharType="end"/>
            </w:r>
          </w:hyperlink>
        </w:p>
        <w:p w14:paraId="56EAE343" w14:textId="34960657" w:rsidR="00EB1D75" w:rsidRDefault="0018313C">
          <w:pPr>
            <w:pStyle w:val="TOC1"/>
            <w:rPr>
              <w:rFonts w:eastAsiaTheme="minorEastAsia"/>
              <w:noProof/>
              <w:kern w:val="2"/>
              <w:lang w:eastAsia="en-GB"/>
              <w14:ligatures w14:val="standardContextual"/>
            </w:rPr>
          </w:pPr>
          <w:hyperlink w:anchor="_Toc174698091" w:history="1">
            <w:r w:rsidR="00EB1D75" w:rsidRPr="00B11563">
              <w:rPr>
                <w:rStyle w:val="Hyperlink"/>
                <w:b/>
                <w:noProof/>
              </w:rPr>
              <w:t>3. Executive Summary</w:t>
            </w:r>
            <w:r w:rsidR="00EB1D75">
              <w:rPr>
                <w:noProof/>
                <w:webHidden/>
              </w:rPr>
              <w:tab/>
            </w:r>
            <w:r w:rsidR="00EB1D75">
              <w:rPr>
                <w:noProof/>
                <w:webHidden/>
              </w:rPr>
              <w:fldChar w:fldCharType="begin"/>
            </w:r>
            <w:r w:rsidR="00EB1D75">
              <w:rPr>
                <w:noProof/>
                <w:webHidden/>
              </w:rPr>
              <w:instrText xml:space="preserve"> PAGEREF _Toc174698091 \h </w:instrText>
            </w:r>
            <w:r w:rsidR="00EB1D75">
              <w:rPr>
                <w:noProof/>
                <w:webHidden/>
              </w:rPr>
            </w:r>
            <w:r w:rsidR="00EB1D75">
              <w:rPr>
                <w:noProof/>
                <w:webHidden/>
              </w:rPr>
              <w:fldChar w:fldCharType="separate"/>
            </w:r>
            <w:r w:rsidR="00EB1D75">
              <w:rPr>
                <w:noProof/>
                <w:webHidden/>
              </w:rPr>
              <w:t>6</w:t>
            </w:r>
            <w:r w:rsidR="00EB1D75">
              <w:rPr>
                <w:noProof/>
                <w:webHidden/>
              </w:rPr>
              <w:fldChar w:fldCharType="end"/>
            </w:r>
          </w:hyperlink>
        </w:p>
        <w:p w14:paraId="0C1D5B8F" w14:textId="6740C699" w:rsidR="00EB1D75" w:rsidRDefault="0018313C">
          <w:pPr>
            <w:pStyle w:val="TOC1"/>
            <w:rPr>
              <w:rFonts w:eastAsiaTheme="minorEastAsia"/>
              <w:noProof/>
              <w:kern w:val="2"/>
              <w:lang w:eastAsia="en-GB"/>
              <w14:ligatures w14:val="standardContextual"/>
            </w:rPr>
          </w:pPr>
          <w:hyperlink w:anchor="_Toc174698092" w:history="1">
            <w:r w:rsidR="00EB1D75" w:rsidRPr="00B11563">
              <w:rPr>
                <w:rStyle w:val="Hyperlink"/>
                <w:b/>
                <w:bCs/>
                <w:noProof/>
              </w:rPr>
              <w:t>4. Part 1 - Statistical analysis</w:t>
            </w:r>
            <w:r w:rsidR="00EB1D75">
              <w:rPr>
                <w:noProof/>
                <w:webHidden/>
              </w:rPr>
              <w:tab/>
            </w:r>
            <w:r w:rsidR="00EB1D75">
              <w:rPr>
                <w:noProof/>
                <w:webHidden/>
              </w:rPr>
              <w:fldChar w:fldCharType="begin"/>
            </w:r>
            <w:r w:rsidR="00EB1D75">
              <w:rPr>
                <w:noProof/>
                <w:webHidden/>
              </w:rPr>
              <w:instrText xml:space="preserve"> PAGEREF _Toc174698092 \h </w:instrText>
            </w:r>
            <w:r w:rsidR="00EB1D75">
              <w:rPr>
                <w:noProof/>
                <w:webHidden/>
              </w:rPr>
            </w:r>
            <w:r w:rsidR="00EB1D75">
              <w:rPr>
                <w:noProof/>
                <w:webHidden/>
              </w:rPr>
              <w:fldChar w:fldCharType="separate"/>
            </w:r>
            <w:r w:rsidR="00EB1D75">
              <w:rPr>
                <w:noProof/>
                <w:webHidden/>
              </w:rPr>
              <w:t>7</w:t>
            </w:r>
            <w:r w:rsidR="00EB1D75">
              <w:rPr>
                <w:noProof/>
                <w:webHidden/>
              </w:rPr>
              <w:fldChar w:fldCharType="end"/>
            </w:r>
          </w:hyperlink>
        </w:p>
        <w:p w14:paraId="5D4E24BC" w14:textId="74E89697" w:rsidR="00EB1D75" w:rsidRDefault="0018313C">
          <w:pPr>
            <w:pStyle w:val="TOC2"/>
            <w:tabs>
              <w:tab w:val="right" w:leader="dot" w:pos="10456"/>
            </w:tabs>
            <w:rPr>
              <w:rFonts w:eastAsiaTheme="minorEastAsia"/>
              <w:noProof/>
              <w:kern w:val="2"/>
              <w:lang w:eastAsia="en-GB"/>
              <w14:ligatures w14:val="standardContextual"/>
            </w:rPr>
          </w:pPr>
          <w:hyperlink w:anchor="_Toc174698093" w:history="1">
            <w:r w:rsidR="00EB1D75" w:rsidRPr="00B11563">
              <w:rPr>
                <w:rStyle w:val="Hyperlink"/>
                <w:b/>
                <w:noProof/>
              </w:rPr>
              <w:t>4.1 Performance Against Target</w:t>
            </w:r>
            <w:r w:rsidR="00EB1D75">
              <w:rPr>
                <w:noProof/>
                <w:webHidden/>
              </w:rPr>
              <w:tab/>
            </w:r>
            <w:r w:rsidR="00EB1D75">
              <w:rPr>
                <w:noProof/>
                <w:webHidden/>
              </w:rPr>
              <w:fldChar w:fldCharType="begin"/>
            </w:r>
            <w:r w:rsidR="00EB1D75">
              <w:rPr>
                <w:noProof/>
                <w:webHidden/>
              </w:rPr>
              <w:instrText xml:space="preserve"> PAGEREF _Toc174698093 \h </w:instrText>
            </w:r>
            <w:r w:rsidR="00EB1D75">
              <w:rPr>
                <w:noProof/>
                <w:webHidden/>
              </w:rPr>
            </w:r>
            <w:r w:rsidR="00EB1D75">
              <w:rPr>
                <w:noProof/>
                <w:webHidden/>
              </w:rPr>
              <w:fldChar w:fldCharType="separate"/>
            </w:r>
            <w:r w:rsidR="00EB1D75">
              <w:rPr>
                <w:noProof/>
                <w:webHidden/>
              </w:rPr>
              <w:t>8</w:t>
            </w:r>
            <w:r w:rsidR="00EB1D75">
              <w:rPr>
                <w:noProof/>
                <w:webHidden/>
              </w:rPr>
              <w:fldChar w:fldCharType="end"/>
            </w:r>
          </w:hyperlink>
        </w:p>
        <w:p w14:paraId="19E42B72" w14:textId="2F241115" w:rsidR="00EB1D75" w:rsidRDefault="0018313C">
          <w:pPr>
            <w:pStyle w:val="TOC2"/>
            <w:tabs>
              <w:tab w:val="right" w:leader="dot" w:pos="10456"/>
            </w:tabs>
            <w:rPr>
              <w:rFonts w:eastAsiaTheme="minorEastAsia"/>
              <w:noProof/>
              <w:kern w:val="2"/>
              <w:lang w:eastAsia="en-GB"/>
              <w14:ligatures w14:val="standardContextual"/>
            </w:rPr>
          </w:pPr>
          <w:hyperlink w:anchor="_Toc174698094" w:history="1">
            <w:r w:rsidR="00EB1D75" w:rsidRPr="00B11563">
              <w:rPr>
                <w:rStyle w:val="Hyperlink"/>
                <w:b/>
                <w:noProof/>
              </w:rPr>
              <w:t>4.2 The Performance Trend</w:t>
            </w:r>
            <w:r w:rsidR="00EB1D75">
              <w:rPr>
                <w:noProof/>
                <w:webHidden/>
              </w:rPr>
              <w:tab/>
            </w:r>
            <w:r w:rsidR="00EB1D75">
              <w:rPr>
                <w:noProof/>
                <w:webHidden/>
              </w:rPr>
              <w:fldChar w:fldCharType="begin"/>
            </w:r>
            <w:r w:rsidR="00EB1D75">
              <w:rPr>
                <w:noProof/>
                <w:webHidden/>
              </w:rPr>
              <w:instrText xml:space="preserve"> PAGEREF _Toc174698094 \h </w:instrText>
            </w:r>
            <w:r w:rsidR="00EB1D75">
              <w:rPr>
                <w:noProof/>
                <w:webHidden/>
              </w:rPr>
            </w:r>
            <w:r w:rsidR="00EB1D75">
              <w:rPr>
                <w:noProof/>
                <w:webHidden/>
              </w:rPr>
              <w:fldChar w:fldCharType="separate"/>
            </w:r>
            <w:r w:rsidR="00EB1D75">
              <w:rPr>
                <w:noProof/>
                <w:webHidden/>
              </w:rPr>
              <w:t>8</w:t>
            </w:r>
            <w:r w:rsidR="00EB1D75">
              <w:rPr>
                <w:noProof/>
                <w:webHidden/>
              </w:rPr>
              <w:fldChar w:fldCharType="end"/>
            </w:r>
          </w:hyperlink>
        </w:p>
        <w:p w14:paraId="61638483" w14:textId="5010E2E0" w:rsidR="00EB1D75" w:rsidRDefault="0018313C">
          <w:pPr>
            <w:pStyle w:val="TOC2"/>
            <w:tabs>
              <w:tab w:val="right" w:leader="dot" w:pos="10456"/>
            </w:tabs>
            <w:rPr>
              <w:rFonts w:eastAsiaTheme="minorEastAsia"/>
              <w:noProof/>
              <w:kern w:val="2"/>
              <w:lang w:eastAsia="en-GB"/>
              <w14:ligatures w14:val="standardContextual"/>
            </w:rPr>
          </w:pPr>
          <w:hyperlink w:anchor="_Toc174698095" w:history="1">
            <w:r w:rsidR="00EB1D75" w:rsidRPr="00B11563">
              <w:rPr>
                <w:rStyle w:val="Hyperlink"/>
                <w:b/>
                <w:noProof/>
              </w:rPr>
              <w:t>4.3 Inter Authority Comparison</w:t>
            </w:r>
            <w:r w:rsidR="00EB1D75">
              <w:rPr>
                <w:noProof/>
                <w:webHidden/>
              </w:rPr>
              <w:tab/>
            </w:r>
            <w:r w:rsidR="00EB1D75">
              <w:rPr>
                <w:noProof/>
                <w:webHidden/>
              </w:rPr>
              <w:fldChar w:fldCharType="begin"/>
            </w:r>
            <w:r w:rsidR="00EB1D75">
              <w:rPr>
                <w:noProof/>
                <w:webHidden/>
              </w:rPr>
              <w:instrText xml:space="preserve"> PAGEREF _Toc174698095 \h </w:instrText>
            </w:r>
            <w:r w:rsidR="00EB1D75">
              <w:rPr>
                <w:noProof/>
                <w:webHidden/>
              </w:rPr>
            </w:r>
            <w:r w:rsidR="00EB1D75">
              <w:rPr>
                <w:noProof/>
                <w:webHidden/>
              </w:rPr>
              <w:fldChar w:fldCharType="separate"/>
            </w:r>
            <w:r w:rsidR="00EB1D75">
              <w:rPr>
                <w:noProof/>
                <w:webHidden/>
              </w:rPr>
              <w:t>9</w:t>
            </w:r>
            <w:r w:rsidR="00EB1D75">
              <w:rPr>
                <w:noProof/>
                <w:webHidden/>
              </w:rPr>
              <w:fldChar w:fldCharType="end"/>
            </w:r>
          </w:hyperlink>
        </w:p>
        <w:p w14:paraId="41DF7619" w14:textId="1479C5EA" w:rsidR="00EB1D75" w:rsidRDefault="0018313C">
          <w:pPr>
            <w:pStyle w:val="TOC2"/>
            <w:tabs>
              <w:tab w:val="right" w:leader="dot" w:pos="10456"/>
            </w:tabs>
            <w:rPr>
              <w:rFonts w:eastAsiaTheme="minorEastAsia"/>
              <w:noProof/>
              <w:kern w:val="2"/>
              <w:lang w:eastAsia="en-GB"/>
              <w14:ligatures w14:val="standardContextual"/>
            </w:rPr>
          </w:pPr>
          <w:hyperlink w:anchor="_Toc174698096" w:history="1">
            <w:r w:rsidR="00EB1D75" w:rsidRPr="00B11563">
              <w:rPr>
                <w:rStyle w:val="Hyperlink"/>
                <w:b/>
                <w:noProof/>
              </w:rPr>
              <w:t>4.4 Summary and conclusion of statistical analysis</w:t>
            </w:r>
            <w:r w:rsidR="00EB1D75">
              <w:rPr>
                <w:noProof/>
                <w:webHidden/>
              </w:rPr>
              <w:tab/>
            </w:r>
            <w:r w:rsidR="00EB1D75">
              <w:rPr>
                <w:noProof/>
                <w:webHidden/>
              </w:rPr>
              <w:fldChar w:fldCharType="begin"/>
            </w:r>
            <w:r w:rsidR="00EB1D75">
              <w:rPr>
                <w:noProof/>
                <w:webHidden/>
              </w:rPr>
              <w:instrText xml:space="preserve"> PAGEREF _Toc174698096 \h </w:instrText>
            </w:r>
            <w:r w:rsidR="00EB1D75">
              <w:rPr>
                <w:noProof/>
                <w:webHidden/>
              </w:rPr>
            </w:r>
            <w:r w:rsidR="00EB1D75">
              <w:rPr>
                <w:noProof/>
                <w:webHidden/>
              </w:rPr>
              <w:fldChar w:fldCharType="separate"/>
            </w:r>
            <w:r w:rsidR="00EB1D75">
              <w:rPr>
                <w:noProof/>
                <w:webHidden/>
              </w:rPr>
              <w:t>10</w:t>
            </w:r>
            <w:r w:rsidR="00EB1D75">
              <w:rPr>
                <w:noProof/>
                <w:webHidden/>
              </w:rPr>
              <w:fldChar w:fldCharType="end"/>
            </w:r>
          </w:hyperlink>
        </w:p>
        <w:p w14:paraId="34C27520" w14:textId="65CDC77D" w:rsidR="00EB1D75" w:rsidRDefault="0018313C">
          <w:pPr>
            <w:pStyle w:val="TOC1"/>
            <w:rPr>
              <w:rFonts w:eastAsiaTheme="minorEastAsia"/>
              <w:noProof/>
              <w:kern w:val="2"/>
              <w:lang w:eastAsia="en-GB"/>
              <w14:ligatures w14:val="standardContextual"/>
            </w:rPr>
          </w:pPr>
          <w:hyperlink w:anchor="_Toc174698097" w:history="1">
            <w:r w:rsidR="00EB1D75" w:rsidRPr="00B11563">
              <w:rPr>
                <w:rStyle w:val="Hyperlink"/>
                <w:rFonts w:cs="Arial"/>
                <w:b/>
                <w:noProof/>
              </w:rPr>
              <w:t>5. Part 2</w:t>
            </w:r>
            <w:r w:rsidR="00EB1D75" w:rsidRPr="00B11563">
              <w:rPr>
                <w:rStyle w:val="Hyperlink"/>
                <w:rFonts w:cs="Arial"/>
                <w:b/>
                <w:bCs/>
                <w:noProof/>
              </w:rPr>
              <w:t xml:space="preserve"> -</w:t>
            </w:r>
            <w:r w:rsidR="00EB1D75" w:rsidRPr="00B11563">
              <w:rPr>
                <w:rStyle w:val="Hyperlink"/>
                <w:rFonts w:cs="Arial"/>
                <w:b/>
                <w:noProof/>
              </w:rPr>
              <w:t xml:space="preserve"> </w:t>
            </w:r>
            <w:r w:rsidR="00EB1D75" w:rsidRPr="00B11563">
              <w:rPr>
                <w:rStyle w:val="Hyperlink"/>
                <w:b/>
                <w:noProof/>
              </w:rPr>
              <w:t>Commentary on performance against priority and outcome</w:t>
            </w:r>
            <w:r w:rsidR="00EB1D75">
              <w:rPr>
                <w:noProof/>
                <w:webHidden/>
              </w:rPr>
              <w:tab/>
            </w:r>
            <w:r w:rsidR="00EB1D75">
              <w:rPr>
                <w:noProof/>
                <w:webHidden/>
              </w:rPr>
              <w:fldChar w:fldCharType="begin"/>
            </w:r>
            <w:r w:rsidR="00EB1D75">
              <w:rPr>
                <w:noProof/>
                <w:webHidden/>
              </w:rPr>
              <w:instrText xml:space="preserve"> PAGEREF _Toc174698097 \h </w:instrText>
            </w:r>
            <w:r w:rsidR="00EB1D75">
              <w:rPr>
                <w:noProof/>
                <w:webHidden/>
              </w:rPr>
            </w:r>
            <w:r w:rsidR="00EB1D75">
              <w:rPr>
                <w:noProof/>
                <w:webHidden/>
              </w:rPr>
              <w:fldChar w:fldCharType="separate"/>
            </w:r>
            <w:r w:rsidR="00EB1D75">
              <w:rPr>
                <w:noProof/>
                <w:webHidden/>
              </w:rPr>
              <w:t>11</w:t>
            </w:r>
            <w:r w:rsidR="00EB1D75">
              <w:rPr>
                <w:noProof/>
                <w:webHidden/>
              </w:rPr>
              <w:fldChar w:fldCharType="end"/>
            </w:r>
          </w:hyperlink>
        </w:p>
        <w:p w14:paraId="23141083" w14:textId="27A1CB55" w:rsidR="00EB1D75" w:rsidRDefault="0018313C">
          <w:pPr>
            <w:pStyle w:val="TOC2"/>
            <w:tabs>
              <w:tab w:val="right" w:leader="dot" w:pos="10456"/>
            </w:tabs>
            <w:rPr>
              <w:rFonts w:eastAsiaTheme="minorEastAsia"/>
              <w:noProof/>
              <w:kern w:val="2"/>
              <w:lang w:eastAsia="en-GB"/>
              <w14:ligatures w14:val="standardContextual"/>
            </w:rPr>
          </w:pPr>
          <w:hyperlink w:anchor="_Toc174698098" w:history="1">
            <w:r w:rsidR="00EB1D75" w:rsidRPr="00B11563">
              <w:rPr>
                <w:rStyle w:val="Hyperlink"/>
                <w:b/>
                <w:noProof/>
              </w:rPr>
              <w:t>Priority 1 - Ensure children and young people have a positive start in life</w:t>
            </w:r>
            <w:r w:rsidR="00EB1D75">
              <w:rPr>
                <w:noProof/>
                <w:webHidden/>
              </w:rPr>
              <w:tab/>
            </w:r>
            <w:r w:rsidR="00EB1D75">
              <w:rPr>
                <w:noProof/>
                <w:webHidden/>
              </w:rPr>
              <w:fldChar w:fldCharType="begin"/>
            </w:r>
            <w:r w:rsidR="00EB1D75">
              <w:rPr>
                <w:noProof/>
                <w:webHidden/>
              </w:rPr>
              <w:instrText xml:space="preserve"> PAGEREF _Toc174698098 \h </w:instrText>
            </w:r>
            <w:r w:rsidR="00EB1D75">
              <w:rPr>
                <w:noProof/>
                <w:webHidden/>
              </w:rPr>
            </w:r>
            <w:r w:rsidR="00EB1D75">
              <w:rPr>
                <w:noProof/>
                <w:webHidden/>
              </w:rPr>
              <w:fldChar w:fldCharType="separate"/>
            </w:r>
            <w:r w:rsidR="00EB1D75">
              <w:rPr>
                <w:noProof/>
                <w:webHidden/>
              </w:rPr>
              <w:t>11</w:t>
            </w:r>
            <w:r w:rsidR="00EB1D75">
              <w:rPr>
                <w:noProof/>
                <w:webHidden/>
              </w:rPr>
              <w:fldChar w:fldCharType="end"/>
            </w:r>
          </w:hyperlink>
        </w:p>
        <w:p w14:paraId="53CA3ACB" w14:textId="3C353E14" w:rsidR="00EB1D75" w:rsidRDefault="0018313C">
          <w:pPr>
            <w:pStyle w:val="TOC2"/>
            <w:tabs>
              <w:tab w:val="right" w:leader="dot" w:pos="10456"/>
            </w:tabs>
            <w:rPr>
              <w:rFonts w:eastAsiaTheme="minorEastAsia"/>
              <w:noProof/>
              <w:kern w:val="2"/>
              <w:lang w:eastAsia="en-GB"/>
              <w14:ligatures w14:val="standardContextual"/>
            </w:rPr>
          </w:pPr>
          <w:hyperlink w:anchor="_Toc174698099" w:history="1">
            <w:r w:rsidR="00EB1D75" w:rsidRPr="00B11563">
              <w:rPr>
                <w:rStyle w:val="Hyperlink"/>
                <w:b/>
                <w:noProof/>
              </w:rPr>
              <w:t>Priority 2 – Promote good health, independence, and care across our communities</w:t>
            </w:r>
            <w:r w:rsidR="00EB1D75" w:rsidRPr="00B11563">
              <w:rPr>
                <w:rStyle w:val="Hyperlink"/>
                <w:b/>
                <w:bCs/>
                <w:noProof/>
              </w:rPr>
              <w:t>.</w:t>
            </w:r>
            <w:r w:rsidR="00EB1D75">
              <w:rPr>
                <w:noProof/>
                <w:webHidden/>
              </w:rPr>
              <w:tab/>
            </w:r>
            <w:r w:rsidR="00EB1D75">
              <w:rPr>
                <w:noProof/>
                <w:webHidden/>
              </w:rPr>
              <w:fldChar w:fldCharType="begin"/>
            </w:r>
            <w:r w:rsidR="00EB1D75">
              <w:rPr>
                <w:noProof/>
                <w:webHidden/>
              </w:rPr>
              <w:instrText xml:space="preserve"> PAGEREF _Toc174698099 \h </w:instrText>
            </w:r>
            <w:r w:rsidR="00EB1D75">
              <w:rPr>
                <w:noProof/>
                <w:webHidden/>
              </w:rPr>
            </w:r>
            <w:r w:rsidR="00EB1D75">
              <w:rPr>
                <w:noProof/>
                <w:webHidden/>
              </w:rPr>
              <w:fldChar w:fldCharType="separate"/>
            </w:r>
            <w:r w:rsidR="00EB1D75">
              <w:rPr>
                <w:noProof/>
                <w:webHidden/>
              </w:rPr>
              <w:t>23</w:t>
            </w:r>
            <w:r w:rsidR="00EB1D75">
              <w:rPr>
                <w:noProof/>
                <w:webHidden/>
              </w:rPr>
              <w:fldChar w:fldCharType="end"/>
            </w:r>
          </w:hyperlink>
        </w:p>
        <w:p w14:paraId="103E6959" w14:textId="12BFE5C6" w:rsidR="00EB1D75" w:rsidRDefault="0018313C">
          <w:pPr>
            <w:pStyle w:val="TOC2"/>
            <w:tabs>
              <w:tab w:val="right" w:leader="dot" w:pos="10456"/>
            </w:tabs>
            <w:rPr>
              <w:rFonts w:eastAsiaTheme="minorEastAsia"/>
              <w:noProof/>
              <w:kern w:val="2"/>
              <w:lang w:eastAsia="en-GB"/>
              <w14:ligatures w14:val="standardContextual"/>
            </w:rPr>
          </w:pPr>
          <w:hyperlink w:anchor="_Toc174698100" w:history="1">
            <w:r w:rsidR="00EB1D75" w:rsidRPr="00B11563">
              <w:rPr>
                <w:rStyle w:val="Hyperlink"/>
                <w:b/>
                <w:noProof/>
              </w:rPr>
              <w:t>Priority 3 - Create safe and strong communities and neighbourhoods for all</w:t>
            </w:r>
            <w:r w:rsidR="00EB1D75">
              <w:rPr>
                <w:noProof/>
                <w:webHidden/>
              </w:rPr>
              <w:tab/>
            </w:r>
            <w:r w:rsidR="00EB1D75">
              <w:rPr>
                <w:noProof/>
                <w:webHidden/>
              </w:rPr>
              <w:fldChar w:fldCharType="begin"/>
            </w:r>
            <w:r w:rsidR="00EB1D75">
              <w:rPr>
                <w:noProof/>
                <w:webHidden/>
              </w:rPr>
              <w:instrText xml:space="preserve"> PAGEREF _Toc174698100 \h </w:instrText>
            </w:r>
            <w:r w:rsidR="00EB1D75">
              <w:rPr>
                <w:noProof/>
                <w:webHidden/>
              </w:rPr>
            </w:r>
            <w:r w:rsidR="00EB1D75">
              <w:rPr>
                <w:noProof/>
                <w:webHidden/>
              </w:rPr>
              <w:fldChar w:fldCharType="separate"/>
            </w:r>
            <w:r w:rsidR="00EB1D75">
              <w:rPr>
                <w:noProof/>
                <w:webHidden/>
              </w:rPr>
              <w:t>35</w:t>
            </w:r>
            <w:r w:rsidR="00EB1D75">
              <w:rPr>
                <w:noProof/>
                <w:webHidden/>
              </w:rPr>
              <w:fldChar w:fldCharType="end"/>
            </w:r>
          </w:hyperlink>
        </w:p>
        <w:p w14:paraId="455C2884" w14:textId="10A6DE04" w:rsidR="00EB1D75" w:rsidRDefault="0018313C">
          <w:pPr>
            <w:pStyle w:val="TOC2"/>
            <w:tabs>
              <w:tab w:val="right" w:leader="dot" w:pos="10456"/>
            </w:tabs>
            <w:rPr>
              <w:rFonts w:eastAsiaTheme="minorEastAsia"/>
              <w:noProof/>
              <w:kern w:val="2"/>
              <w:lang w:eastAsia="en-GB"/>
              <w14:ligatures w14:val="standardContextual"/>
            </w:rPr>
          </w:pPr>
          <w:hyperlink w:anchor="_Toc174698101" w:history="1">
            <w:r w:rsidR="00EB1D75" w:rsidRPr="00B11563">
              <w:rPr>
                <w:rStyle w:val="Hyperlink"/>
                <w:b/>
                <w:noProof/>
              </w:rPr>
              <w:t>Priority 4 - Support a strong, thriving, inclusive, and well-connected local economy</w:t>
            </w:r>
            <w:r w:rsidR="00EB1D75">
              <w:rPr>
                <w:noProof/>
                <w:webHidden/>
              </w:rPr>
              <w:tab/>
            </w:r>
            <w:r w:rsidR="00EB1D75">
              <w:rPr>
                <w:noProof/>
                <w:webHidden/>
              </w:rPr>
              <w:fldChar w:fldCharType="begin"/>
            </w:r>
            <w:r w:rsidR="00EB1D75">
              <w:rPr>
                <w:noProof/>
                <w:webHidden/>
              </w:rPr>
              <w:instrText xml:space="preserve"> PAGEREF _Toc174698101 \h </w:instrText>
            </w:r>
            <w:r w:rsidR="00EB1D75">
              <w:rPr>
                <w:noProof/>
                <w:webHidden/>
              </w:rPr>
            </w:r>
            <w:r w:rsidR="00EB1D75">
              <w:rPr>
                <w:noProof/>
                <w:webHidden/>
              </w:rPr>
              <w:fldChar w:fldCharType="separate"/>
            </w:r>
            <w:r w:rsidR="00EB1D75">
              <w:rPr>
                <w:noProof/>
                <w:webHidden/>
              </w:rPr>
              <w:t>43</w:t>
            </w:r>
            <w:r w:rsidR="00EB1D75">
              <w:rPr>
                <w:noProof/>
                <w:webHidden/>
              </w:rPr>
              <w:fldChar w:fldCharType="end"/>
            </w:r>
          </w:hyperlink>
        </w:p>
        <w:p w14:paraId="7B8B17BB" w14:textId="0F8F501E" w:rsidR="00EB1D75" w:rsidRDefault="0018313C">
          <w:pPr>
            <w:pStyle w:val="TOC2"/>
            <w:tabs>
              <w:tab w:val="right" w:leader="dot" w:pos="10456"/>
            </w:tabs>
            <w:rPr>
              <w:rFonts w:eastAsiaTheme="minorEastAsia"/>
              <w:noProof/>
              <w:kern w:val="2"/>
              <w:lang w:eastAsia="en-GB"/>
              <w14:ligatures w14:val="standardContextual"/>
            </w:rPr>
          </w:pPr>
          <w:hyperlink w:anchor="_Toc174698102" w:history="1">
            <w:r w:rsidR="00EB1D75" w:rsidRPr="00B11563">
              <w:rPr>
                <w:rStyle w:val="Hyperlink"/>
                <w:b/>
                <w:noProof/>
              </w:rPr>
              <w:t>Priority 5 - Create green and vibrant places that reflect our heritage and culture</w:t>
            </w:r>
            <w:r w:rsidR="00EB1D75">
              <w:rPr>
                <w:noProof/>
                <w:webHidden/>
              </w:rPr>
              <w:tab/>
            </w:r>
            <w:r w:rsidR="00EB1D75">
              <w:rPr>
                <w:noProof/>
                <w:webHidden/>
              </w:rPr>
              <w:fldChar w:fldCharType="begin"/>
            </w:r>
            <w:r w:rsidR="00EB1D75">
              <w:rPr>
                <w:noProof/>
                <w:webHidden/>
              </w:rPr>
              <w:instrText xml:space="preserve"> PAGEREF _Toc174698102 \h </w:instrText>
            </w:r>
            <w:r w:rsidR="00EB1D75">
              <w:rPr>
                <w:noProof/>
                <w:webHidden/>
              </w:rPr>
            </w:r>
            <w:r w:rsidR="00EB1D75">
              <w:rPr>
                <w:noProof/>
                <w:webHidden/>
              </w:rPr>
              <w:fldChar w:fldCharType="separate"/>
            </w:r>
            <w:r w:rsidR="00EB1D75">
              <w:rPr>
                <w:noProof/>
                <w:webHidden/>
              </w:rPr>
              <w:t>48</w:t>
            </w:r>
            <w:r w:rsidR="00EB1D75">
              <w:rPr>
                <w:noProof/>
                <w:webHidden/>
              </w:rPr>
              <w:fldChar w:fldCharType="end"/>
            </w:r>
          </w:hyperlink>
        </w:p>
        <w:p w14:paraId="221A6196" w14:textId="02837683" w:rsidR="00EB1D75" w:rsidRDefault="0018313C">
          <w:pPr>
            <w:pStyle w:val="TOC2"/>
            <w:tabs>
              <w:tab w:val="right" w:leader="dot" w:pos="10456"/>
            </w:tabs>
            <w:rPr>
              <w:rFonts w:eastAsiaTheme="minorEastAsia"/>
              <w:noProof/>
              <w:kern w:val="2"/>
              <w:lang w:eastAsia="en-GB"/>
              <w14:ligatures w14:val="standardContextual"/>
            </w:rPr>
          </w:pPr>
          <w:hyperlink w:anchor="_Toc174698103" w:history="1">
            <w:r w:rsidR="00EB1D75" w:rsidRPr="00B11563">
              <w:rPr>
                <w:rStyle w:val="Hyperlink"/>
                <w:b/>
                <w:noProof/>
              </w:rPr>
              <w:t>Priority 6 - Be a responsible council</w:t>
            </w:r>
            <w:r w:rsidR="00EB1D75">
              <w:rPr>
                <w:noProof/>
                <w:webHidden/>
              </w:rPr>
              <w:tab/>
            </w:r>
            <w:r w:rsidR="00EB1D75">
              <w:rPr>
                <w:noProof/>
                <w:webHidden/>
              </w:rPr>
              <w:fldChar w:fldCharType="begin"/>
            </w:r>
            <w:r w:rsidR="00EB1D75">
              <w:rPr>
                <w:noProof/>
                <w:webHidden/>
              </w:rPr>
              <w:instrText xml:space="preserve"> PAGEREF _Toc174698103 \h </w:instrText>
            </w:r>
            <w:r w:rsidR="00EB1D75">
              <w:rPr>
                <w:noProof/>
                <w:webHidden/>
              </w:rPr>
            </w:r>
            <w:r w:rsidR="00EB1D75">
              <w:rPr>
                <w:noProof/>
                <w:webHidden/>
              </w:rPr>
              <w:fldChar w:fldCharType="separate"/>
            </w:r>
            <w:r w:rsidR="00EB1D75">
              <w:rPr>
                <w:noProof/>
                <w:webHidden/>
              </w:rPr>
              <w:t>54</w:t>
            </w:r>
            <w:r w:rsidR="00EB1D75">
              <w:rPr>
                <w:noProof/>
                <w:webHidden/>
              </w:rPr>
              <w:fldChar w:fldCharType="end"/>
            </w:r>
          </w:hyperlink>
        </w:p>
        <w:p w14:paraId="36C47E5A" w14:textId="691E8CAF" w:rsidR="00B0379D" w:rsidRPr="00C62A58" w:rsidRDefault="00E75E6D">
          <w:pPr>
            <w:rPr>
              <w:rFonts w:ascii="Arial" w:hAnsi="Arial" w:cs="Arial"/>
            </w:rPr>
          </w:pPr>
          <w:r w:rsidRPr="00DF2E2B">
            <w:rPr>
              <w:rFonts w:ascii="Arial" w:hAnsi="Arial" w:cs="Arial"/>
            </w:rPr>
            <w:fldChar w:fldCharType="end"/>
          </w:r>
        </w:p>
      </w:sdtContent>
    </w:sdt>
    <w:p w14:paraId="2B301604" w14:textId="77777777" w:rsidR="00B0379D" w:rsidRDefault="00E75E6D" w:rsidP="00B0379D">
      <w:pPr>
        <w:tabs>
          <w:tab w:val="left" w:pos="2272"/>
        </w:tabs>
        <w:rPr>
          <w:b/>
        </w:rPr>
      </w:pPr>
      <w:r>
        <w:rPr>
          <w:b/>
        </w:rPr>
        <w:tab/>
      </w:r>
    </w:p>
    <w:p w14:paraId="6EC970B1" w14:textId="77777777" w:rsidR="00B0379D" w:rsidRDefault="00E75E6D">
      <w:pPr>
        <w:rPr>
          <w:b/>
        </w:rPr>
      </w:pPr>
      <w:r>
        <w:rPr>
          <w:b/>
        </w:rPr>
        <w:br w:type="page"/>
      </w:r>
    </w:p>
    <w:p w14:paraId="40F51CF4" w14:textId="77777777" w:rsidR="00B0379D" w:rsidRDefault="00B0379D" w:rsidP="00B0379D">
      <w:pPr>
        <w:rPr>
          <w:b/>
        </w:rPr>
      </w:pPr>
    </w:p>
    <w:p w14:paraId="166490CA" w14:textId="77777777" w:rsidR="00B0379D" w:rsidRPr="00F12322" w:rsidRDefault="00E75E6D" w:rsidP="00B0379D">
      <w:pPr>
        <w:pStyle w:val="Heading1"/>
        <w:spacing w:before="0" w:after="240" w:line="240" w:lineRule="auto"/>
        <w:rPr>
          <w:color w:val="000000" w:themeColor="text1"/>
          <w:sz w:val="28"/>
          <w:szCs w:val="28"/>
        </w:rPr>
      </w:pPr>
      <w:bookmarkStart w:id="0" w:name="_Toc174698088"/>
      <w:r w:rsidRPr="00D36D76">
        <w:rPr>
          <w:b/>
          <w:bCs/>
          <w:color w:val="000000" w:themeColor="text1"/>
          <w:sz w:val="28"/>
          <w:szCs w:val="28"/>
        </w:rPr>
        <w:t>1</w:t>
      </w:r>
      <w:r w:rsidRPr="00177DA5">
        <w:rPr>
          <w:b/>
          <w:color w:val="000000" w:themeColor="text1"/>
          <w:sz w:val="28"/>
          <w:szCs w:val="28"/>
        </w:rPr>
        <w:t xml:space="preserve">. </w:t>
      </w:r>
      <w:r>
        <w:rPr>
          <w:b/>
          <w:color w:val="000000" w:themeColor="text1"/>
          <w:sz w:val="28"/>
          <w:szCs w:val="28"/>
        </w:rPr>
        <w:t xml:space="preserve">Our </w:t>
      </w:r>
      <w:r w:rsidRPr="00177DA5">
        <w:rPr>
          <w:b/>
          <w:color w:val="000000" w:themeColor="text1"/>
          <w:sz w:val="28"/>
          <w:szCs w:val="28"/>
        </w:rPr>
        <w:t xml:space="preserve">Borough Strategy </w:t>
      </w:r>
      <w:r>
        <w:rPr>
          <w:b/>
          <w:color w:val="000000" w:themeColor="text1"/>
          <w:sz w:val="28"/>
          <w:szCs w:val="28"/>
        </w:rPr>
        <w:t xml:space="preserve">2021-30 </w:t>
      </w:r>
      <w:r w:rsidRPr="00177DA5">
        <w:rPr>
          <w:b/>
          <w:color w:val="000000" w:themeColor="text1"/>
          <w:sz w:val="28"/>
          <w:szCs w:val="28"/>
        </w:rPr>
        <w:t>Priorities</w:t>
      </w:r>
      <w:bookmarkEnd w:id="0"/>
    </w:p>
    <w:p w14:paraId="2B134830" w14:textId="70FBE489" w:rsidR="00B0379D" w:rsidRDefault="00E75E6D" w:rsidP="00B0379D">
      <w:pPr>
        <w:spacing w:after="120" w:line="240" w:lineRule="auto"/>
        <w:rPr>
          <w:rFonts w:ascii="Arial" w:hAnsi="Arial" w:cs="Arial"/>
          <w:noProof/>
        </w:rPr>
      </w:pPr>
      <w:r w:rsidRPr="117BB052">
        <w:rPr>
          <w:rFonts w:ascii="Arial" w:hAnsi="Arial" w:cs="Arial"/>
        </w:rPr>
        <w:t>Performance Management</w:t>
      </w:r>
      <w:r>
        <w:t xml:space="preserve"> </w:t>
      </w:r>
      <w:r w:rsidRPr="117BB052">
        <w:rPr>
          <w:rFonts w:ascii="Arial" w:hAnsi="Arial" w:cs="Arial"/>
          <w:noProof/>
        </w:rPr>
        <w:t xml:space="preserve">in St Helens Borough Council </w:t>
      </w:r>
      <w:r>
        <w:rPr>
          <w:rFonts w:ascii="Arial" w:hAnsi="Arial" w:cs="Arial"/>
          <w:noProof/>
        </w:rPr>
        <w:t>is</w:t>
      </w:r>
      <w:r w:rsidRPr="117BB052">
        <w:rPr>
          <w:rFonts w:ascii="Arial" w:hAnsi="Arial" w:cs="Arial"/>
          <w:noProof/>
        </w:rPr>
        <w:t xml:space="preserve"> focused around achieving the 6 strategic priorities</w:t>
      </w:r>
      <w:r w:rsidRPr="117BB052">
        <w:rPr>
          <w:noProof/>
        </w:rPr>
        <w:t xml:space="preserve"> </w:t>
      </w:r>
      <w:r w:rsidRPr="117BB052">
        <w:rPr>
          <w:rFonts w:ascii="Arial" w:hAnsi="Arial" w:cs="Arial"/>
          <w:noProof/>
        </w:rPr>
        <w:t xml:space="preserve">outlined in </w:t>
      </w:r>
      <w:r w:rsidRPr="117BB052">
        <w:rPr>
          <w:rFonts w:ascii="Arial" w:hAnsi="Arial" w:cs="Arial"/>
        </w:rPr>
        <w:t>Our Borough Strategy 2021</w:t>
      </w:r>
      <w:r w:rsidR="00C87E32">
        <w:rPr>
          <w:rFonts w:ascii="Arial" w:hAnsi="Arial" w:cs="Arial"/>
        </w:rPr>
        <w:t>-</w:t>
      </w:r>
      <w:r w:rsidRPr="117BB052">
        <w:rPr>
          <w:rFonts w:ascii="Arial" w:hAnsi="Arial" w:cs="Arial"/>
        </w:rPr>
        <w:t>30</w:t>
      </w:r>
      <w:r w:rsidRPr="117BB052">
        <w:rPr>
          <w:rFonts w:ascii="Arial" w:hAnsi="Arial" w:cs="Arial"/>
          <w:noProof/>
        </w:rPr>
        <w:t>.</w:t>
      </w:r>
    </w:p>
    <w:p w14:paraId="1DC512C3" w14:textId="77777777" w:rsidR="00B0379D" w:rsidRDefault="00E75E6D" w:rsidP="00B0379D">
      <w:pPr>
        <w:spacing w:after="120" w:line="240" w:lineRule="auto"/>
        <w:rPr>
          <w:rFonts w:ascii="Arial" w:hAnsi="Arial" w:cs="Arial"/>
          <w:noProof/>
        </w:rPr>
      </w:pPr>
      <w:r w:rsidRPr="0015630F">
        <w:rPr>
          <w:rFonts w:ascii="Arial" w:hAnsi="Arial" w:cs="Arial"/>
          <w:noProof/>
        </w:rPr>
        <w:drawing>
          <wp:anchor distT="0" distB="0" distL="114300" distR="114300" simplePos="0" relativeHeight="251658251" behindDoc="1" locked="0" layoutInCell="1" allowOverlap="1" wp14:anchorId="0F3E165C" wp14:editId="5BEC865C">
            <wp:simplePos x="0" y="0"/>
            <wp:positionH relativeFrom="column">
              <wp:posOffset>1279525</wp:posOffset>
            </wp:positionH>
            <wp:positionV relativeFrom="paragraph">
              <wp:posOffset>3810</wp:posOffset>
            </wp:positionV>
            <wp:extent cx="3990340" cy="3848100"/>
            <wp:effectExtent l="0" t="0" r="0" b="0"/>
            <wp:wrapTight wrapText="bothSides">
              <wp:wrapPolygon edited="0">
                <wp:start x="0" y="0"/>
                <wp:lineTo x="0" y="21493"/>
                <wp:lineTo x="21449" y="21493"/>
                <wp:lineTo x="21449" y="0"/>
                <wp:lineTo x="0" y="0"/>
              </wp:wrapPolygon>
            </wp:wrapTight>
            <wp:docPr id="1937361475" name="Picture 2" descr="P52#y1">
              <a:extLst xmlns:a="http://schemas.openxmlformats.org/drawingml/2006/main">
                <a:ext uri="{FF2B5EF4-FFF2-40B4-BE49-F238E27FC236}">
                  <a16:creationId xmlns:a16="http://schemas.microsoft.com/office/drawing/2014/main" id="{72F17EE7-3DF2-46A3-873E-455B92554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61475" name="Picture 1937361475" descr="P52#y1">
                      <a:extLst>
                        <a:ext uri="{FF2B5EF4-FFF2-40B4-BE49-F238E27FC236}">
                          <a16:creationId xmlns:a16="http://schemas.microsoft.com/office/drawing/2014/main" id="{72F17EE7-3DF2-46A3-873E-455B9255461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90340" cy="3848100"/>
                    </a:xfrm>
                    <a:prstGeom prst="rect">
                      <a:avLst/>
                    </a:prstGeom>
                  </pic:spPr>
                </pic:pic>
              </a:graphicData>
            </a:graphic>
            <wp14:sizeRelH relativeFrom="margin">
              <wp14:pctWidth>0</wp14:pctWidth>
            </wp14:sizeRelH>
            <wp14:sizeRelV relativeFrom="margin">
              <wp14:pctHeight>0</wp14:pctHeight>
            </wp14:sizeRelV>
          </wp:anchor>
        </w:drawing>
      </w:r>
    </w:p>
    <w:p w14:paraId="2C6D7498" w14:textId="77777777" w:rsidR="00B0379D" w:rsidRDefault="00B0379D" w:rsidP="00B0379D">
      <w:pPr>
        <w:spacing w:after="120" w:line="240" w:lineRule="auto"/>
        <w:rPr>
          <w:rFonts w:ascii="Arial" w:hAnsi="Arial" w:cs="Arial"/>
          <w:noProof/>
        </w:rPr>
      </w:pPr>
    </w:p>
    <w:p w14:paraId="7E1EB612" w14:textId="77777777" w:rsidR="00B0379D" w:rsidRDefault="00B0379D" w:rsidP="00B0379D">
      <w:pPr>
        <w:spacing w:after="120" w:line="240" w:lineRule="auto"/>
        <w:rPr>
          <w:rFonts w:ascii="Arial" w:hAnsi="Arial" w:cs="Arial"/>
          <w:noProof/>
        </w:rPr>
      </w:pPr>
    </w:p>
    <w:p w14:paraId="7B3BBBFC" w14:textId="77777777" w:rsidR="00B0379D" w:rsidRDefault="00B0379D" w:rsidP="00B0379D">
      <w:pPr>
        <w:spacing w:after="120" w:line="240" w:lineRule="auto"/>
        <w:rPr>
          <w:rFonts w:ascii="Arial" w:hAnsi="Arial" w:cs="Arial"/>
          <w:noProof/>
        </w:rPr>
      </w:pPr>
    </w:p>
    <w:p w14:paraId="3DA79EAB" w14:textId="77777777" w:rsidR="00B0379D" w:rsidRDefault="00B0379D" w:rsidP="00B0379D">
      <w:pPr>
        <w:spacing w:after="120" w:line="240" w:lineRule="auto"/>
        <w:rPr>
          <w:rFonts w:ascii="Arial" w:hAnsi="Arial" w:cs="Arial"/>
          <w:noProof/>
        </w:rPr>
      </w:pPr>
    </w:p>
    <w:p w14:paraId="627EE428" w14:textId="77777777" w:rsidR="00B0379D" w:rsidRDefault="00B0379D" w:rsidP="00B0379D">
      <w:pPr>
        <w:spacing w:after="120" w:line="240" w:lineRule="auto"/>
        <w:rPr>
          <w:rFonts w:ascii="Arial" w:hAnsi="Arial" w:cs="Arial"/>
          <w:noProof/>
        </w:rPr>
      </w:pPr>
    </w:p>
    <w:p w14:paraId="3903AACC" w14:textId="77777777" w:rsidR="00B0379D" w:rsidRDefault="00B0379D" w:rsidP="00B0379D">
      <w:pPr>
        <w:spacing w:after="120" w:line="240" w:lineRule="auto"/>
        <w:rPr>
          <w:rFonts w:ascii="Arial" w:hAnsi="Arial" w:cs="Arial"/>
          <w:noProof/>
        </w:rPr>
      </w:pPr>
    </w:p>
    <w:p w14:paraId="5CBC2CE6" w14:textId="77777777" w:rsidR="00B0379D" w:rsidRDefault="00B0379D" w:rsidP="00B0379D">
      <w:pPr>
        <w:spacing w:after="120" w:line="240" w:lineRule="auto"/>
        <w:rPr>
          <w:rFonts w:ascii="Arial" w:hAnsi="Arial" w:cs="Arial"/>
          <w:noProof/>
        </w:rPr>
      </w:pPr>
    </w:p>
    <w:p w14:paraId="3A1356C3" w14:textId="77777777" w:rsidR="00B0379D" w:rsidRDefault="00B0379D" w:rsidP="00B0379D">
      <w:pPr>
        <w:spacing w:after="120" w:line="240" w:lineRule="auto"/>
        <w:rPr>
          <w:rFonts w:ascii="Arial" w:hAnsi="Arial" w:cs="Arial"/>
          <w:noProof/>
        </w:rPr>
      </w:pPr>
    </w:p>
    <w:p w14:paraId="12F43D33" w14:textId="77777777" w:rsidR="00B0379D" w:rsidRDefault="00B0379D" w:rsidP="00B0379D">
      <w:pPr>
        <w:spacing w:after="120" w:line="240" w:lineRule="auto"/>
        <w:rPr>
          <w:rFonts w:ascii="Arial" w:hAnsi="Arial" w:cs="Arial"/>
          <w:noProof/>
        </w:rPr>
      </w:pPr>
    </w:p>
    <w:p w14:paraId="3EDC9682" w14:textId="77777777" w:rsidR="00B0379D" w:rsidRDefault="00B0379D" w:rsidP="00B0379D">
      <w:pPr>
        <w:spacing w:after="120" w:line="240" w:lineRule="auto"/>
        <w:rPr>
          <w:rFonts w:ascii="Arial" w:hAnsi="Arial" w:cs="Arial"/>
          <w:noProof/>
        </w:rPr>
      </w:pPr>
    </w:p>
    <w:p w14:paraId="2F86CFEC" w14:textId="77777777" w:rsidR="00B0379D" w:rsidRDefault="00B0379D" w:rsidP="00B0379D">
      <w:pPr>
        <w:spacing w:after="120" w:line="240" w:lineRule="auto"/>
        <w:rPr>
          <w:rFonts w:ascii="Arial" w:hAnsi="Arial" w:cs="Arial"/>
          <w:noProof/>
        </w:rPr>
      </w:pPr>
    </w:p>
    <w:p w14:paraId="61E34A47" w14:textId="77777777" w:rsidR="00B0379D" w:rsidRDefault="00B0379D" w:rsidP="00B0379D">
      <w:pPr>
        <w:spacing w:after="120" w:line="240" w:lineRule="auto"/>
        <w:rPr>
          <w:rFonts w:ascii="Arial" w:hAnsi="Arial" w:cs="Arial"/>
          <w:noProof/>
        </w:rPr>
      </w:pPr>
    </w:p>
    <w:p w14:paraId="67A572D0" w14:textId="77777777" w:rsidR="00B0379D" w:rsidRDefault="00B0379D" w:rsidP="00B0379D">
      <w:pPr>
        <w:spacing w:after="120" w:line="240" w:lineRule="auto"/>
        <w:rPr>
          <w:rFonts w:ascii="Arial" w:hAnsi="Arial" w:cs="Arial"/>
          <w:noProof/>
        </w:rPr>
      </w:pPr>
    </w:p>
    <w:p w14:paraId="51327A6A" w14:textId="77777777" w:rsidR="00B0379D" w:rsidRDefault="00B0379D" w:rsidP="00B0379D">
      <w:pPr>
        <w:spacing w:after="120" w:line="240" w:lineRule="auto"/>
        <w:rPr>
          <w:rFonts w:ascii="Arial" w:hAnsi="Arial" w:cs="Arial"/>
          <w:noProof/>
        </w:rPr>
      </w:pPr>
    </w:p>
    <w:p w14:paraId="188F2115" w14:textId="10276A5E" w:rsidR="00B0379D" w:rsidRDefault="00B0379D" w:rsidP="00B0379D">
      <w:pPr>
        <w:spacing w:after="120" w:line="240" w:lineRule="auto"/>
        <w:rPr>
          <w:rFonts w:ascii="Arial" w:hAnsi="Arial" w:cs="Arial"/>
          <w:noProof/>
        </w:rPr>
      </w:pPr>
    </w:p>
    <w:p w14:paraId="53285ECE" w14:textId="77777777" w:rsidR="00007DA7" w:rsidRDefault="00007DA7" w:rsidP="00B0379D">
      <w:pPr>
        <w:spacing w:after="120" w:line="240" w:lineRule="auto"/>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664"/>
      </w:tblGrid>
      <w:tr w:rsidR="00970157" w14:paraId="4C0F5E08" w14:textId="77777777" w:rsidTr="00B0379D">
        <w:tc>
          <w:tcPr>
            <w:tcW w:w="7792" w:type="dxa"/>
            <w:vAlign w:val="center"/>
          </w:tcPr>
          <w:p w14:paraId="45F4DDAC" w14:textId="77777777" w:rsidR="00B0379D" w:rsidRPr="005B5C4D" w:rsidRDefault="00E75E6D" w:rsidP="00B0379D">
            <w:pPr>
              <w:rPr>
                <w:rFonts w:ascii="Arial" w:hAnsi="Arial" w:cs="Arial"/>
                <w:noProof/>
              </w:rPr>
            </w:pPr>
            <w:r w:rsidRPr="00E20C12">
              <w:rPr>
                <w:rFonts w:ascii="Arial" w:eastAsiaTheme="majorEastAsia" w:hAnsi="Arial" w:cstheme="majorBidi"/>
                <w:b/>
                <w:bCs/>
                <w:color w:val="ED712C"/>
              </w:rPr>
              <w:t>Priority 1 - Ensure children and young people have a positive start in life</w:t>
            </w:r>
          </w:p>
        </w:tc>
        <w:tc>
          <w:tcPr>
            <w:tcW w:w="2664" w:type="dxa"/>
            <w:vAlign w:val="center"/>
          </w:tcPr>
          <w:p w14:paraId="5DE8EE6B" w14:textId="77777777" w:rsidR="00B0379D" w:rsidRPr="005B5C4D" w:rsidRDefault="00E75E6D" w:rsidP="00B0379D">
            <w:pPr>
              <w:rPr>
                <w:rFonts w:ascii="Arial" w:hAnsi="Arial" w:cs="Arial"/>
                <w:noProof/>
              </w:rPr>
            </w:pPr>
            <w:r w:rsidRPr="005B5C4D">
              <w:rPr>
                <w:rFonts w:ascii="Arial" w:hAnsi="Arial" w:cs="Arial"/>
                <w:noProof/>
              </w:rPr>
              <w:drawing>
                <wp:anchor distT="0" distB="0" distL="114300" distR="114300" simplePos="0" relativeHeight="251658240" behindDoc="1" locked="0" layoutInCell="1" allowOverlap="1" wp14:anchorId="1BEB6771" wp14:editId="30EC22BC">
                  <wp:simplePos x="0" y="0"/>
                  <wp:positionH relativeFrom="margin">
                    <wp:align>center</wp:align>
                  </wp:positionH>
                  <wp:positionV relativeFrom="paragraph">
                    <wp:posOffset>33655</wp:posOffset>
                  </wp:positionV>
                  <wp:extent cx="457200" cy="565150"/>
                  <wp:effectExtent l="0" t="0" r="0" b="6350"/>
                  <wp:wrapSquare wrapText="bothSides"/>
                  <wp:docPr id="21" name="Picture 3" descr="P70C2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70C2T1#y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56515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970157" w14:paraId="5FF4658D" w14:textId="77777777" w:rsidTr="00B0379D">
        <w:tc>
          <w:tcPr>
            <w:tcW w:w="7792" w:type="dxa"/>
            <w:vAlign w:val="center"/>
          </w:tcPr>
          <w:p w14:paraId="0497269C" w14:textId="77777777" w:rsidR="00B0379D" w:rsidRPr="005B5C4D" w:rsidRDefault="00E75E6D" w:rsidP="00B0379D">
            <w:pPr>
              <w:rPr>
                <w:rFonts w:ascii="Arial" w:hAnsi="Arial" w:cs="Arial"/>
              </w:rPr>
            </w:pPr>
            <w:r w:rsidRPr="005B5C4D">
              <w:rPr>
                <w:rFonts w:ascii="Arial" w:hAnsi="Arial" w:cs="Arial"/>
                <w:b/>
                <w:color w:val="17B0DE"/>
              </w:rPr>
              <w:t xml:space="preserve">Priority 2 </w:t>
            </w:r>
            <w:r>
              <w:rPr>
                <w:rFonts w:ascii="Arial" w:hAnsi="Arial" w:cs="Arial"/>
                <w:b/>
                <w:color w:val="17B0DE"/>
              </w:rPr>
              <w:t>-</w:t>
            </w:r>
            <w:r w:rsidRPr="005B5C4D">
              <w:rPr>
                <w:rFonts w:ascii="Arial" w:hAnsi="Arial" w:cs="Arial"/>
                <w:b/>
                <w:color w:val="17B0DE"/>
              </w:rPr>
              <w:t xml:space="preserve"> Promote good health, independence, and care across our</w:t>
            </w:r>
            <w:r>
              <w:rPr>
                <w:rFonts w:ascii="Arial" w:hAnsi="Arial" w:cs="Arial"/>
                <w:b/>
                <w:color w:val="17B0DE"/>
              </w:rPr>
              <w:t xml:space="preserve"> </w:t>
            </w:r>
            <w:r w:rsidRPr="005B5C4D">
              <w:rPr>
                <w:rFonts w:ascii="Arial" w:hAnsi="Arial" w:cs="Arial"/>
                <w:b/>
                <w:color w:val="17B0DE"/>
              </w:rPr>
              <w:t>communities</w:t>
            </w:r>
          </w:p>
        </w:tc>
        <w:tc>
          <w:tcPr>
            <w:tcW w:w="2664" w:type="dxa"/>
            <w:vAlign w:val="center"/>
          </w:tcPr>
          <w:p w14:paraId="35B0F003" w14:textId="77777777" w:rsidR="00B0379D" w:rsidRPr="005B5C4D" w:rsidRDefault="00E75E6D" w:rsidP="00B0379D">
            <w:pPr>
              <w:rPr>
                <w:rFonts w:ascii="Arial" w:hAnsi="Arial" w:cs="Arial"/>
                <w:noProof/>
              </w:rPr>
            </w:pPr>
            <w:r w:rsidRPr="005B5C4D">
              <w:rPr>
                <w:rFonts w:ascii="Arial" w:hAnsi="Arial" w:cs="Arial"/>
                <w:noProof/>
              </w:rPr>
              <w:drawing>
                <wp:anchor distT="0" distB="0" distL="114300" distR="114300" simplePos="0" relativeHeight="251658241" behindDoc="1" locked="0" layoutInCell="1" allowOverlap="1" wp14:anchorId="6DFD411D" wp14:editId="27B7E5EE">
                  <wp:simplePos x="0" y="0"/>
                  <wp:positionH relativeFrom="margin">
                    <wp:align>center</wp:align>
                  </wp:positionH>
                  <wp:positionV relativeFrom="paragraph">
                    <wp:posOffset>-48895</wp:posOffset>
                  </wp:positionV>
                  <wp:extent cx="534670" cy="534670"/>
                  <wp:effectExtent l="0" t="0" r="0" b="0"/>
                  <wp:wrapSquare wrapText="bothSides"/>
                  <wp:docPr id="23" name="Picture 4" descr="P73C4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73C4T1#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p>
        </w:tc>
      </w:tr>
      <w:tr w:rsidR="00970157" w14:paraId="52B5DCFC" w14:textId="77777777" w:rsidTr="00B0379D">
        <w:tc>
          <w:tcPr>
            <w:tcW w:w="7792" w:type="dxa"/>
            <w:vAlign w:val="center"/>
          </w:tcPr>
          <w:p w14:paraId="3DE8B07C" w14:textId="77777777" w:rsidR="00B0379D" w:rsidRPr="00127686" w:rsidRDefault="00E75E6D" w:rsidP="00B0379D">
            <w:pPr>
              <w:rPr>
                <w:rFonts w:ascii="Arial" w:hAnsi="Arial" w:cs="Arial"/>
                <w:b/>
                <w:color w:val="9136AF"/>
              </w:rPr>
            </w:pPr>
            <w:r w:rsidRPr="00127686">
              <w:rPr>
                <w:rFonts w:ascii="Arial" w:hAnsi="Arial" w:cs="Arial"/>
                <w:b/>
                <w:color w:val="9136AF"/>
              </w:rPr>
              <w:t>Priority 3 - Create safe and strong communities and neighbourhoods for all</w:t>
            </w:r>
          </w:p>
        </w:tc>
        <w:tc>
          <w:tcPr>
            <w:tcW w:w="2664" w:type="dxa"/>
            <w:vAlign w:val="center"/>
          </w:tcPr>
          <w:p w14:paraId="22C74BDB" w14:textId="77777777" w:rsidR="00B0379D" w:rsidRPr="005B5C4D" w:rsidRDefault="00E75E6D" w:rsidP="00B0379D">
            <w:pPr>
              <w:rPr>
                <w:rFonts w:ascii="Arial" w:hAnsi="Arial" w:cs="Arial"/>
                <w:noProof/>
              </w:rPr>
            </w:pPr>
            <w:r w:rsidRPr="005B5C4D">
              <w:rPr>
                <w:rFonts w:ascii="Arial" w:hAnsi="Arial" w:cs="Arial"/>
                <w:noProof/>
              </w:rPr>
              <w:drawing>
                <wp:anchor distT="0" distB="0" distL="114300" distR="114300" simplePos="0" relativeHeight="251658248" behindDoc="0" locked="0" layoutInCell="1" allowOverlap="1" wp14:anchorId="54FCA09E" wp14:editId="7AAAC056">
                  <wp:simplePos x="0" y="0"/>
                  <wp:positionH relativeFrom="margin">
                    <wp:align>center</wp:align>
                  </wp:positionH>
                  <wp:positionV relativeFrom="paragraph">
                    <wp:posOffset>994</wp:posOffset>
                  </wp:positionV>
                  <wp:extent cx="599440" cy="534670"/>
                  <wp:effectExtent l="0" t="0" r="0" b="0"/>
                  <wp:wrapSquare wrapText="bothSides"/>
                  <wp:docPr id="24" name="Picture 5" descr="P76C6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6C6T1#y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440" cy="534670"/>
                          </a:xfrm>
                          <a:prstGeom prst="rect">
                            <a:avLst/>
                          </a:prstGeom>
                        </pic:spPr>
                      </pic:pic>
                    </a:graphicData>
                  </a:graphic>
                </wp:anchor>
              </w:drawing>
            </w:r>
          </w:p>
        </w:tc>
      </w:tr>
      <w:tr w:rsidR="00970157" w14:paraId="3E906B4C" w14:textId="77777777" w:rsidTr="00B0379D">
        <w:tc>
          <w:tcPr>
            <w:tcW w:w="7792" w:type="dxa"/>
            <w:vAlign w:val="center"/>
          </w:tcPr>
          <w:p w14:paraId="25EB93E1" w14:textId="77777777" w:rsidR="00B0379D" w:rsidRPr="00127686" w:rsidRDefault="00E75E6D" w:rsidP="00B0379D">
            <w:pPr>
              <w:rPr>
                <w:rFonts w:ascii="Arial" w:hAnsi="Arial" w:cs="Arial"/>
                <w:b/>
                <w:color w:val="8B3C45"/>
              </w:rPr>
            </w:pPr>
            <w:r w:rsidRPr="00691568">
              <w:rPr>
                <w:rStyle w:val="normaltextrun"/>
                <w:rFonts w:ascii="Arial" w:hAnsi="Arial" w:cs="Arial"/>
                <w:b/>
                <w:color w:val="8B3C45"/>
              </w:rPr>
              <w:t>Priority 4</w:t>
            </w:r>
            <w:r>
              <w:rPr>
                <w:rStyle w:val="normaltextrun"/>
                <w:rFonts w:ascii="Arial" w:hAnsi="Arial" w:cs="Arial"/>
                <w:b/>
                <w:color w:val="8B3C45"/>
              </w:rPr>
              <w:t xml:space="preserve"> </w:t>
            </w:r>
            <w:r w:rsidRPr="00691568">
              <w:rPr>
                <w:rStyle w:val="normaltextrun"/>
                <w:rFonts w:ascii="Arial" w:hAnsi="Arial" w:cs="Arial"/>
                <w:b/>
                <w:color w:val="8B3C45"/>
              </w:rPr>
              <w:t xml:space="preserve">- </w:t>
            </w:r>
            <w:r w:rsidRPr="00127686">
              <w:rPr>
                <w:rStyle w:val="normaltextrun"/>
                <w:rFonts w:ascii="Arial" w:hAnsi="Arial" w:cs="Arial"/>
                <w:b/>
                <w:color w:val="8B3C45"/>
              </w:rPr>
              <w:t>Support a strong, thriving, inclusive, and well-connected local economy</w:t>
            </w:r>
          </w:p>
        </w:tc>
        <w:tc>
          <w:tcPr>
            <w:tcW w:w="2664" w:type="dxa"/>
            <w:vAlign w:val="center"/>
          </w:tcPr>
          <w:p w14:paraId="5994DA88" w14:textId="77777777" w:rsidR="00B0379D" w:rsidRPr="005B5C4D" w:rsidRDefault="00E75E6D" w:rsidP="00B0379D">
            <w:pPr>
              <w:rPr>
                <w:rFonts w:ascii="Arial" w:hAnsi="Arial" w:cs="Arial"/>
                <w:noProof/>
              </w:rPr>
            </w:pPr>
            <w:r w:rsidRPr="005B5C4D">
              <w:rPr>
                <w:rFonts w:ascii="Arial" w:hAnsi="Arial" w:cs="Arial"/>
                <w:b/>
                <w:bCs/>
                <w:noProof/>
              </w:rPr>
              <w:drawing>
                <wp:anchor distT="0" distB="0" distL="114300" distR="114300" simplePos="0" relativeHeight="251658242" behindDoc="1" locked="0" layoutInCell="1" allowOverlap="1" wp14:anchorId="03A19583" wp14:editId="68F17637">
                  <wp:simplePos x="0" y="0"/>
                  <wp:positionH relativeFrom="page">
                    <wp:posOffset>570230</wp:posOffset>
                  </wp:positionH>
                  <wp:positionV relativeFrom="paragraph">
                    <wp:posOffset>16510</wp:posOffset>
                  </wp:positionV>
                  <wp:extent cx="517525" cy="517525"/>
                  <wp:effectExtent l="0" t="0" r="0" b="0"/>
                  <wp:wrapSquare wrapText="bothSides"/>
                  <wp:docPr id="25" name="Picture 6" descr="P79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79C8T1#y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margin">
                    <wp14:pctWidth>0</wp14:pctWidth>
                  </wp14:sizeRelH>
                  <wp14:sizeRelV relativeFrom="margin">
                    <wp14:pctHeight>0</wp14:pctHeight>
                  </wp14:sizeRelV>
                </wp:anchor>
              </w:drawing>
            </w:r>
          </w:p>
        </w:tc>
      </w:tr>
      <w:tr w:rsidR="00970157" w14:paraId="0D857090" w14:textId="77777777" w:rsidTr="00B0379D">
        <w:tc>
          <w:tcPr>
            <w:tcW w:w="7792" w:type="dxa"/>
            <w:vAlign w:val="center"/>
          </w:tcPr>
          <w:p w14:paraId="45711EEC" w14:textId="77777777" w:rsidR="00B0379D" w:rsidRPr="00127686" w:rsidRDefault="00E75E6D" w:rsidP="00B0379D">
            <w:pPr>
              <w:rPr>
                <w:rFonts w:ascii="Arial" w:hAnsi="Arial" w:cs="Arial"/>
                <w:b/>
                <w:color w:val="5EAA41"/>
              </w:rPr>
            </w:pPr>
            <w:r w:rsidRPr="00D2099D">
              <w:rPr>
                <w:rFonts w:ascii="Arial" w:hAnsi="Arial" w:cs="Arial"/>
                <w:b/>
                <w:color w:val="5EAA41"/>
              </w:rPr>
              <w:t>Priority 5</w:t>
            </w:r>
            <w:r w:rsidRPr="00D2099D">
              <w:rPr>
                <w:rFonts w:ascii="Arial" w:hAnsi="Arial" w:cs="Arial"/>
                <w:b/>
                <w:bCs/>
                <w:color w:val="5EAA41"/>
              </w:rPr>
              <w:t xml:space="preserve"> </w:t>
            </w:r>
            <w:r w:rsidRPr="00D2099D">
              <w:rPr>
                <w:rFonts w:ascii="Arial" w:hAnsi="Arial" w:cs="Arial"/>
                <w:b/>
                <w:color w:val="5EAA41"/>
              </w:rPr>
              <w:t>- Create green</w:t>
            </w:r>
            <w:r>
              <w:rPr>
                <w:rFonts w:ascii="Arial" w:hAnsi="Arial" w:cs="Arial"/>
                <w:b/>
                <w:color w:val="5EAA41"/>
              </w:rPr>
              <w:t xml:space="preserve"> </w:t>
            </w:r>
            <w:r w:rsidRPr="00D2099D">
              <w:rPr>
                <w:rFonts w:ascii="Arial" w:hAnsi="Arial" w:cs="Arial"/>
                <w:b/>
                <w:color w:val="5EAA41"/>
              </w:rPr>
              <w:t>and vibrant place</w:t>
            </w:r>
            <w:r>
              <w:rPr>
                <w:rFonts w:ascii="Arial" w:hAnsi="Arial" w:cs="Arial"/>
                <w:b/>
                <w:color w:val="5EAA41"/>
              </w:rPr>
              <w:t>s that reflect our heritage and culture</w:t>
            </w:r>
          </w:p>
        </w:tc>
        <w:tc>
          <w:tcPr>
            <w:tcW w:w="2664" w:type="dxa"/>
            <w:vAlign w:val="center"/>
          </w:tcPr>
          <w:p w14:paraId="1FBC152F" w14:textId="77777777" w:rsidR="00B0379D" w:rsidRPr="005B5C4D" w:rsidRDefault="00E75E6D" w:rsidP="00B0379D">
            <w:pPr>
              <w:rPr>
                <w:rFonts w:ascii="Arial" w:hAnsi="Arial" w:cs="Arial"/>
                <w:noProof/>
              </w:rPr>
            </w:pPr>
            <w:r w:rsidRPr="005B5C4D">
              <w:rPr>
                <w:rFonts w:ascii="Arial" w:hAnsi="Arial" w:cs="Arial"/>
                <w:noProof/>
              </w:rPr>
              <w:drawing>
                <wp:anchor distT="0" distB="0" distL="114300" distR="114300" simplePos="0" relativeHeight="251658243" behindDoc="1" locked="0" layoutInCell="1" allowOverlap="1" wp14:anchorId="1250FB98" wp14:editId="47D0A101">
                  <wp:simplePos x="0" y="0"/>
                  <wp:positionH relativeFrom="margin">
                    <wp:posOffset>474980</wp:posOffset>
                  </wp:positionH>
                  <wp:positionV relativeFrom="paragraph">
                    <wp:posOffset>13970</wp:posOffset>
                  </wp:positionV>
                  <wp:extent cx="561975" cy="491490"/>
                  <wp:effectExtent l="0" t="0" r="9525" b="3810"/>
                  <wp:wrapSquare wrapText="bothSides"/>
                  <wp:docPr id="26" name="Picture 7" descr="P82C10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C10T1#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975" cy="491490"/>
                          </a:xfrm>
                          <a:prstGeom prst="rect">
                            <a:avLst/>
                          </a:prstGeom>
                        </pic:spPr>
                      </pic:pic>
                    </a:graphicData>
                  </a:graphic>
                  <wp14:sizeRelH relativeFrom="margin">
                    <wp14:pctWidth>0</wp14:pctWidth>
                  </wp14:sizeRelH>
                  <wp14:sizeRelV relativeFrom="margin">
                    <wp14:pctHeight>0</wp14:pctHeight>
                  </wp14:sizeRelV>
                </wp:anchor>
              </w:drawing>
            </w:r>
          </w:p>
        </w:tc>
      </w:tr>
      <w:tr w:rsidR="00970157" w14:paraId="24680493" w14:textId="77777777" w:rsidTr="00B0379D">
        <w:tc>
          <w:tcPr>
            <w:tcW w:w="7792" w:type="dxa"/>
            <w:vAlign w:val="center"/>
          </w:tcPr>
          <w:p w14:paraId="533BF889" w14:textId="77777777" w:rsidR="00B0379D" w:rsidRPr="00127686" w:rsidRDefault="00E75E6D" w:rsidP="00B0379D">
            <w:pPr>
              <w:rPr>
                <w:rFonts w:ascii="Arial" w:hAnsi="Arial" w:cs="Arial"/>
                <w:b/>
                <w:color w:val="C85348"/>
              </w:rPr>
            </w:pPr>
            <w:r w:rsidRPr="00127686">
              <w:rPr>
                <w:rFonts w:ascii="Arial" w:hAnsi="Arial" w:cs="Arial"/>
                <w:b/>
                <w:color w:val="C85348"/>
              </w:rPr>
              <w:t xml:space="preserve">Priority 6 - Be a responsible </w:t>
            </w:r>
            <w:r>
              <w:rPr>
                <w:rFonts w:ascii="Arial" w:hAnsi="Arial" w:cs="Arial"/>
                <w:b/>
                <w:color w:val="C85348"/>
              </w:rPr>
              <w:t>c</w:t>
            </w:r>
            <w:r w:rsidRPr="00127686">
              <w:rPr>
                <w:rFonts w:ascii="Arial" w:hAnsi="Arial" w:cs="Arial"/>
                <w:b/>
                <w:color w:val="C85348"/>
              </w:rPr>
              <w:t>ouncil</w:t>
            </w:r>
          </w:p>
          <w:p w14:paraId="3EBA90C3" w14:textId="77777777" w:rsidR="00B0379D" w:rsidRPr="005B5C4D" w:rsidRDefault="00B0379D" w:rsidP="00B0379D">
            <w:pPr>
              <w:rPr>
                <w:rFonts w:ascii="Arial" w:hAnsi="Arial" w:cs="Arial"/>
                <w:noProof/>
              </w:rPr>
            </w:pPr>
          </w:p>
        </w:tc>
        <w:tc>
          <w:tcPr>
            <w:tcW w:w="2664" w:type="dxa"/>
            <w:vAlign w:val="center"/>
          </w:tcPr>
          <w:p w14:paraId="16505F63" w14:textId="77777777" w:rsidR="00B0379D" w:rsidRPr="005B5C4D" w:rsidRDefault="00E75E6D" w:rsidP="00B0379D">
            <w:pPr>
              <w:rPr>
                <w:rFonts w:ascii="Arial" w:hAnsi="Arial" w:cs="Arial"/>
                <w:noProof/>
              </w:rPr>
            </w:pPr>
            <w:r w:rsidRPr="005B5C4D">
              <w:rPr>
                <w:rFonts w:ascii="Arial" w:hAnsi="Arial" w:cs="Arial"/>
                <w:noProof/>
              </w:rPr>
              <w:drawing>
                <wp:anchor distT="0" distB="0" distL="114300" distR="114300" simplePos="0" relativeHeight="251658244" behindDoc="1" locked="0" layoutInCell="1" allowOverlap="1" wp14:anchorId="29BD7257" wp14:editId="63D83850">
                  <wp:simplePos x="0" y="0"/>
                  <wp:positionH relativeFrom="margin">
                    <wp:posOffset>461010</wp:posOffset>
                  </wp:positionH>
                  <wp:positionV relativeFrom="paragraph">
                    <wp:posOffset>-59055</wp:posOffset>
                  </wp:positionV>
                  <wp:extent cx="541655" cy="551815"/>
                  <wp:effectExtent l="0" t="0" r="0" b="635"/>
                  <wp:wrapSquare wrapText="bothSides"/>
                  <wp:docPr id="27" name="Picture 8" descr="P86C12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6C12T1#y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655" cy="551815"/>
                          </a:xfrm>
                          <a:prstGeom prst="rect">
                            <a:avLst/>
                          </a:prstGeom>
                        </pic:spPr>
                      </pic:pic>
                    </a:graphicData>
                  </a:graphic>
                  <wp14:sizeRelH relativeFrom="margin">
                    <wp14:pctWidth>0</wp14:pctWidth>
                  </wp14:sizeRelH>
                  <wp14:sizeRelV relativeFrom="margin">
                    <wp14:pctHeight>0</wp14:pctHeight>
                  </wp14:sizeRelV>
                </wp:anchor>
              </w:drawing>
            </w:r>
          </w:p>
        </w:tc>
      </w:tr>
    </w:tbl>
    <w:p w14:paraId="45844A4D" w14:textId="77777777" w:rsidR="00B0379D" w:rsidRDefault="00B0379D" w:rsidP="00B0379D">
      <w:pPr>
        <w:pStyle w:val="Heading1"/>
        <w:spacing w:after="120" w:line="240" w:lineRule="auto"/>
        <w:rPr>
          <w:b/>
          <w:color w:val="000000" w:themeColor="text1"/>
          <w:sz w:val="28"/>
          <w:szCs w:val="28"/>
        </w:rPr>
        <w:sectPr w:rsidR="00B0379D" w:rsidSect="00EC2ED3">
          <w:headerReference w:type="default" r:id="rId19"/>
          <w:footerReference w:type="default" r:id="rId20"/>
          <w:pgSz w:w="11906" w:h="16838"/>
          <w:pgMar w:top="720" w:right="720" w:bottom="720" w:left="720" w:header="708" w:footer="708" w:gutter="0"/>
          <w:cols w:space="708"/>
          <w:docGrid w:linePitch="360"/>
        </w:sectPr>
      </w:pPr>
    </w:p>
    <w:p w14:paraId="7F235013" w14:textId="77777777" w:rsidR="00B0379D" w:rsidRDefault="00B0379D" w:rsidP="00B0379D">
      <w:pPr>
        <w:pStyle w:val="Heading1"/>
        <w:spacing w:after="120" w:line="240" w:lineRule="auto"/>
        <w:rPr>
          <w:b/>
          <w:color w:val="000000" w:themeColor="text1"/>
          <w:sz w:val="28"/>
          <w:szCs w:val="28"/>
        </w:rPr>
      </w:pPr>
    </w:p>
    <w:p w14:paraId="08C3DC85" w14:textId="77777777" w:rsidR="00B0379D" w:rsidRDefault="00E75E6D" w:rsidP="00B0379D">
      <w:pPr>
        <w:pStyle w:val="Heading1"/>
        <w:spacing w:after="120" w:line="240" w:lineRule="auto"/>
        <w:rPr>
          <w:b/>
          <w:color w:val="000000" w:themeColor="text1"/>
          <w:sz w:val="28"/>
          <w:szCs w:val="28"/>
        </w:rPr>
      </w:pPr>
      <w:bookmarkStart w:id="1" w:name="_Toc174698089"/>
      <w:r w:rsidRPr="00724C92">
        <w:rPr>
          <w:b/>
          <w:color w:val="000000" w:themeColor="text1"/>
          <w:sz w:val="28"/>
          <w:szCs w:val="28"/>
        </w:rPr>
        <w:t xml:space="preserve">2. </w:t>
      </w:r>
      <w:r>
        <w:rPr>
          <w:b/>
          <w:color w:val="000000" w:themeColor="text1"/>
          <w:sz w:val="28"/>
          <w:szCs w:val="28"/>
        </w:rPr>
        <w:t>Borough Strategy Priorities and the UN Sustainable Development Goals</w:t>
      </w:r>
      <w:bookmarkEnd w:id="1"/>
    </w:p>
    <w:p w14:paraId="5CEF9848" w14:textId="77777777" w:rsidR="00B0379D" w:rsidRPr="00D5603A" w:rsidRDefault="00E75E6D" w:rsidP="00B0379D">
      <w:pPr>
        <w:jc w:val="both"/>
        <w:rPr>
          <w:rFonts w:ascii="Arial" w:hAnsi="Arial" w:cs="Arial"/>
          <w:color w:val="4D5156"/>
          <w:shd w:val="clear" w:color="auto" w:fill="FFFFFF"/>
        </w:rPr>
      </w:pPr>
      <w:r w:rsidRPr="002F5550">
        <w:rPr>
          <w:rFonts w:ascii="Arial" w:hAnsi="Arial" w:cs="Arial"/>
          <w:shd w:val="clear" w:color="auto" w:fill="FFFFFF"/>
        </w:rPr>
        <w:t xml:space="preserve">The Sustainable Development Goals (SDGs) are a collection of 17 interlinked global goals designed to be a "blueprint to achieve a better and more sustainable future for all". The SDGs were set up in 2015 by the United Nations General Assembly and are intended to be achieved by the year 2030. </w:t>
      </w:r>
      <w:r w:rsidRPr="00D5603A">
        <w:rPr>
          <w:rFonts w:ascii="Arial" w:hAnsi="Arial" w:cs="Arial"/>
        </w:rPr>
        <w:t>Making progress towards the global goals by 2030 depends on local action</w:t>
      </w:r>
      <w:r w:rsidRPr="008E4116">
        <w:rPr>
          <w:rFonts w:ascii="Arial" w:hAnsi="Arial" w:cs="Arial"/>
          <w:b/>
          <w:bCs/>
        </w:rPr>
        <w:t>.</w:t>
      </w:r>
      <w:r w:rsidRPr="008E4116">
        <w:rPr>
          <w:rFonts w:ascii="Arial" w:hAnsi="Arial" w:cs="Arial"/>
          <w:color w:val="4D5156"/>
          <w:shd w:val="clear" w:color="auto" w:fill="FFFFFF"/>
        </w:rPr>
        <w:t xml:space="preserve"> </w:t>
      </w:r>
      <w:r w:rsidRPr="00D5603A">
        <w:rPr>
          <w:rFonts w:ascii="Arial" w:hAnsi="Arial" w:cs="Arial"/>
        </w:rPr>
        <w:t>SDGs fit with Our Borough Strategy Vision and the Council’s approach to Reset and Recovery</w:t>
      </w:r>
      <w:r w:rsidRPr="008E4116">
        <w:rPr>
          <w:rFonts w:ascii="Arial" w:hAnsi="Arial" w:cs="Arial"/>
        </w:rPr>
        <w:t>.</w:t>
      </w:r>
      <w:r w:rsidRPr="00D5603A">
        <w:rPr>
          <w:rFonts w:ascii="Arial" w:hAnsi="Arial" w:cs="Arial"/>
        </w:rPr>
        <w:t xml:space="preserve"> All 17 Sustainable Development Goals have been mapped against</w:t>
      </w:r>
      <w:r>
        <w:rPr>
          <w:rFonts w:ascii="Arial" w:hAnsi="Arial" w:cs="Arial"/>
        </w:rPr>
        <w:t xml:space="preserve"> the </w:t>
      </w:r>
      <w:r w:rsidRPr="00D5603A">
        <w:rPr>
          <w:rFonts w:ascii="Arial" w:hAnsi="Arial" w:cs="Arial"/>
        </w:rPr>
        <w:t>‘Our Borough Strategy’ priorities and outcomes</w:t>
      </w:r>
      <w:r>
        <w:rPr>
          <w:rFonts w:ascii="Arial" w:hAnsi="Arial" w:cs="Arial"/>
        </w:rPr>
        <w:t>.</w:t>
      </w:r>
    </w:p>
    <w:p w14:paraId="6EB1E44F" w14:textId="77777777" w:rsidR="00B0379D" w:rsidRDefault="00E75E6D" w:rsidP="00B0379D">
      <w:r w:rsidRPr="000D783F">
        <w:rPr>
          <w:noProof/>
        </w:rPr>
        <w:drawing>
          <wp:anchor distT="0" distB="0" distL="114300" distR="114300" simplePos="0" relativeHeight="251658252" behindDoc="1" locked="0" layoutInCell="1" allowOverlap="1" wp14:anchorId="78F5448D" wp14:editId="7453E036">
            <wp:simplePos x="0" y="0"/>
            <wp:positionH relativeFrom="margin">
              <wp:posOffset>468350</wp:posOffset>
            </wp:positionH>
            <wp:positionV relativeFrom="paragraph">
              <wp:posOffset>141335</wp:posOffset>
            </wp:positionV>
            <wp:extent cx="8750300" cy="4406900"/>
            <wp:effectExtent l="0" t="0" r="0" b="0"/>
            <wp:wrapTight wrapText="bothSides">
              <wp:wrapPolygon edited="0">
                <wp:start x="0" y="0"/>
                <wp:lineTo x="0" y="21476"/>
                <wp:lineTo x="21537" y="21476"/>
                <wp:lineTo x="21537" y="0"/>
                <wp:lineTo x="0" y="0"/>
              </wp:wrapPolygon>
            </wp:wrapTight>
            <wp:docPr id="1937361476" name="Picture 9" descr="P92#y1">
              <a:extLst xmlns:a="http://schemas.openxmlformats.org/drawingml/2006/main">
                <a:ext uri="{FF2B5EF4-FFF2-40B4-BE49-F238E27FC236}">
                  <a16:creationId xmlns:a16="http://schemas.microsoft.com/office/drawing/2014/main" id="{F329DC66-322A-4625-9AD7-C38BA0DDE2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37361476" name="Picture 1937361476" descr="P92#y1">
                      <a:extLst>
                        <a:ext uri="{FF2B5EF4-FFF2-40B4-BE49-F238E27FC236}">
                          <a16:creationId xmlns:a16="http://schemas.microsoft.com/office/drawing/2014/main" id="{F329DC66-322A-4625-9AD7-C38BA0DDE2EE}"/>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750300" cy="440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0A8F4" w14:textId="77777777" w:rsidR="00B0379D" w:rsidRPr="00564EF2" w:rsidRDefault="00B0379D" w:rsidP="00B0379D"/>
    <w:p w14:paraId="7DAE7506" w14:textId="77777777" w:rsidR="00B0379D" w:rsidRDefault="00B0379D" w:rsidP="00B0379D">
      <w:pPr>
        <w:pStyle w:val="Heading1"/>
        <w:spacing w:after="120" w:line="240" w:lineRule="auto"/>
        <w:rPr>
          <w:b/>
          <w:color w:val="000000" w:themeColor="text1"/>
          <w:sz w:val="28"/>
          <w:szCs w:val="28"/>
        </w:rPr>
      </w:pPr>
    </w:p>
    <w:p w14:paraId="28CC65F6" w14:textId="77777777" w:rsidR="00B0379D" w:rsidRPr="00D36D76" w:rsidRDefault="00B0379D" w:rsidP="00B0379D">
      <w:pPr>
        <w:sectPr w:rsidR="00B0379D" w:rsidRPr="00D36D76" w:rsidSect="00EC2ED3">
          <w:pgSz w:w="16838" w:h="11906" w:orient="landscape"/>
          <w:pgMar w:top="720" w:right="720" w:bottom="720" w:left="720" w:header="708" w:footer="708" w:gutter="0"/>
          <w:cols w:space="708"/>
          <w:docGrid w:linePitch="360"/>
        </w:sectPr>
      </w:pPr>
    </w:p>
    <w:p w14:paraId="44704EBB" w14:textId="77777777" w:rsidR="00B0379D" w:rsidRDefault="00B0379D" w:rsidP="00B0379D">
      <w:pPr>
        <w:pStyle w:val="Heading1"/>
        <w:spacing w:after="120" w:line="240" w:lineRule="auto"/>
        <w:rPr>
          <w:b/>
          <w:color w:val="000000" w:themeColor="text1"/>
          <w:sz w:val="28"/>
          <w:szCs w:val="28"/>
        </w:rPr>
      </w:pPr>
    </w:p>
    <w:p w14:paraId="238936E6" w14:textId="77777777" w:rsidR="00B0379D" w:rsidRPr="00724C92" w:rsidRDefault="00E75E6D" w:rsidP="00B0379D">
      <w:pPr>
        <w:pStyle w:val="Heading1"/>
        <w:spacing w:after="120" w:line="240" w:lineRule="auto"/>
        <w:rPr>
          <w:b/>
          <w:color w:val="000000" w:themeColor="text1"/>
          <w:sz w:val="28"/>
          <w:szCs w:val="28"/>
        </w:rPr>
      </w:pPr>
      <w:bookmarkStart w:id="2" w:name="_Toc174698090"/>
      <w:r>
        <w:rPr>
          <w:b/>
          <w:color w:val="000000" w:themeColor="text1"/>
          <w:sz w:val="28"/>
          <w:szCs w:val="28"/>
        </w:rPr>
        <w:t xml:space="preserve">3. </w:t>
      </w:r>
      <w:r w:rsidRPr="00724C92">
        <w:rPr>
          <w:b/>
          <w:color w:val="000000" w:themeColor="text1"/>
          <w:sz w:val="28"/>
          <w:szCs w:val="28"/>
        </w:rPr>
        <w:t>Purpose of the Report</w:t>
      </w:r>
      <w:bookmarkEnd w:id="2"/>
    </w:p>
    <w:p w14:paraId="620BDCA9" w14:textId="402878B9" w:rsidR="00B0379D" w:rsidRDefault="00E75E6D" w:rsidP="00B0379D">
      <w:pPr>
        <w:spacing w:after="120" w:line="240" w:lineRule="auto"/>
        <w:jc w:val="both"/>
        <w:rPr>
          <w:rFonts w:ascii="Arial" w:hAnsi="Arial" w:cs="Arial"/>
        </w:rPr>
      </w:pPr>
      <w:r w:rsidRPr="00B8AFBC">
        <w:rPr>
          <w:rFonts w:ascii="Arial" w:hAnsi="Arial" w:cs="Arial"/>
        </w:rPr>
        <w:t>The purpose of the report is to inform and update Elected Members on performance against the 6 priorities of the Our Borough Strategy 2021</w:t>
      </w:r>
      <w:r w:rsidR="00E93BF0">
        <w:rPr>
          <w:rFonts w:ascii="Arial" w:hAnsi="Arial" w:cs="Arial"/>
        </w:rPr>
        <w:t>-</w:t>
      </w:r>
      <w:r w:rsidRPr="00B8AFBC">
        <w:rPr>
          <w:rFonts w:ascii="Arial" w:hAnsi="Arial" w:cs="Arial"/>
        </w:rPr>
        <w:t>30 and respective outcomes as set out above. The report covers the period Q</w:t>
      </w:r>
      <w:r w:rsidR="006870F9">
        <w:rPr>
          <w:rFonts w:ascii="Arial" w:hAnsi="Arial" w:cs="Arial"/>
        </w:rPr>
        <w:t xml:space="preserve">uarter </w:t>
      </w:r>
      <w:r w:rsidRPr="00B8AFBC">
        <w:rPr>
          <w:rFonts w:ascii="Arial" w:hAnsi="Arial" w:cs="Arial"/>
        </w:rPr>
        <w:t>1 202</w:t>
      </w:r>
      <w:r w:rsidR="00465469">
        <w:rPr>
          <w:rFonts w:ascii="Arial" w:hAnsi="Arial" w:cs="Arial"/>
        </w:rPr>
        <w:t>4</w:t>
      </w:r>
      <w:r w:rsidR="00C87E32">
        <w:rPr>
          <w:rFonts w:ascii="Arial" w:hAnsi="Arial" w:cs="Arial"/>
        </w:rPr>
        <w:t>-</w:t>
      </w:r>
      <w:r w:rsidR="00B63F66">
        <w:rPr>
          <w:rFonts w:ascii="Arial" w:hAnsi="Arial" w:cs="Arial"/>
        </w:rPr>
        <w:t>2</w:t>
      </w:r>
      <w:r w:rsidR="00465469">
        <w:rPr>
          <w:rFonts w:ascii="Arial" w:hAnsi="Arial" w:cs="Arial"/>
        </w:rPr>
        <w:t>5</w:t>
      </w:r>
      <w:r w:rsidRPr="00B8AFBC">
        <w:rPr>
          <w:rFonts w:ascii="Arial" w:hAnsi="Arial" w:cs="Arial"/>
        </w:rPr>
        <w:t xml:space="preserve"> providing the performance position reported over the course of the period. The reporting format splits the report into 2 distinct parts:</w:t>
      </w:r>
    </w:p>
    <w:p w14:paraId="7C1D27B1" w14:textId="3B9C45F8" w:rsidR="00B0379D" w:rsidRDefault="00E75E6D" w:rsidP="00B0379D">
      <w:pPr>
        <w:spacing w:after="120" w:line="240" w:lineRule="auto"/>
        <w:jc w:val="both"/>
        <w:rPr>
          <w:rFonts w:ascii="Arial" w:hAnsi="Arial" w:cs="Arial"/>
        </w:rPr>
      </w:pPr>
      <w:r w:rsidRPr="00B8AFBC">
        <w:rPr>
          <w:rFonts w:ascii="Arial" w:hAnsi="Arial" w:cs="Arial"/>
          <w:b/>
          <w:bCs/>
        </w:rPr>
        <w:t>Part 1</w:t>
      </w:r>
      <w:r w:rsidRPr="00B8AFBC">
        <w:rPr>
          <w:rFonts w:ascii="Arial" w:hAnsi="Arial" w:cs="Arial"/>
        </w:rPr>
        <w:t xml:space="preserve"> of the report is a statistical analysis of the performance position at </w:t>
      </w:r>
      <w:r w:rsidR="00007DA7" w:rsidRPr="00B8AFBC">
        <w:rPr>
          <w:rFonts w:ascii="Arial" w:hAnsi="Arial" w:cs="Arial"/>
        </w:rPr>
        <w:t>Q</w:t>
      </w:r>
      <w:r w:rsidR="006870F9">
        <w:rPr>
          <w:rFonts w:ascii="Arial" w:hAnsi="Arial" w:cs="Arial"/>
        </w:rPr>
        <w:t xml:space="preserve">uarter </w:t>
      </w:r>
      <w:r w:rsidR="00007DA7" w:rsidRPr="00B8AFBC">
        <w:rPr>
          <w:rFonts w:ascii="Arial" w:hAnsi="Arial" w:cs="Arial"/>
        </w:rPr>
        <w:t>1 202</w:t>
      </w:r>
      <w:r w:rsidR="006942C3">
        <w:rPr>
          <w:rFonts w:ascii="Arial" w:hAnsi="Arial" w:cs="Arial"/>
        </w:rPr>
        <w:t>4</w:t>
      </w:r>
      <w:r w:rsidR="00C87E32">
        <w:rPr>
          <w:rFonts w:ascii="Arial" w:hAnsi="Arial" w:cs="Arial"/>
        </w:rPr>
        <w:t>-</w:t>
      </w:r>
      <w:r w:rsidR="00B64B09">
        <w:rPr>
          <w:rFonts w:ascii="Arial" w:hAnsi="Arial" w:cs="Arial"/>
        </w:rPr>
        <w:t>2</w:t>
      </w:r>
      <w:r w:rsidR="006942C3">
        <w:rPr>
          <w:rFonts w:ascii="Arial" w:hAnsi="Arial" w:cs="Arial"/>
        </w:rPr>
        <w:t>5</w:t>
      </w:r>
      <w:r w:rsidRPr="00B8AFBC">
        <w:rPr>
          <w:rFonts w:ascii="Arial" w:hAnsi="Arial" w:cs="Arial"/>
        </w:rPr>
        <w:t xml:space="preserve">.  </w:t>
      </w:r>
    </w:p>
    <w:p w14:paraId="0588AB83" w14:textId="77777777" w:rsidR="00B0379D" w:rsidRDefault="00E75E6D" w:rsidP="00B0379D">
      <w:pPr>
        <w:spacing w:after="120" w:line="240" w:lineRule="auto"/>
        <w:jc w:val="both"/>
        <w:rPr>
          <w:rFonts w:ascii="Arial" w:hAnsi="Arial" w:cs="Arial"/>
        </w:rPr>
      </w:pPr>
      <w:r w:rsidRPr="00202173">
        <w:rPr>
          <w:rFonts w:ascii="Arial" w:hAnsi="Arial" w:cs="Arial"/>
          <w:b/>
          <w:bCs/>
        </w:rPr>
        <w:t>Part 2</w:t>
      </w:r>
      <w:r w:rsidRPr="005958A2">
        <w:rPr>
          <w:rFonts w:ascii="Arial" w:hAnsi="Arial" w:cs="Arial"/>
        </w:rPr>
        <w:t xml:space="preserve"> of the report is a commentary </w:t>
      </w:r>
      <w:r>
        <w:rPr>
          <w:rFonts w:ascii="Arial" w:hAnsi="Arial" w:cs="Arial"/>
        </w:rPr>
        <w:t>on performance</w:t>
      </w:r>
      <w:r w:rsidRPr="005958A2">
        <w:rPr>
          <w:rFonts w:ascii="Arial" w:hAnsi="Arial" w:cs="Arial"/>
        </w:rPr>
        <w:t xml:space="preserve"> </w:t>
      </w:r>
      <w:r>
        <w:rPr>
          <w:rFonts w:ascii="Arial" w:hAnsi="Arial" w:cs="Arial"/>
        </w:rPr>
        <w:t>against delivery</w:t>
      </w:r>
      <w:r w:rsidRPr="005958A2">
        <w:rPr>
          <w:rFonts w:ascii="Arial" w:hAnsi="Arial" w:cs="Arial"/>
        </w:rPr>
        <w:t xml:space="preserve"> of the 6 strategic </w:t>
      </w:r>
      <w:r>
        <w:rPr>
          <w:rFonts w:ascii="Arial" w:hAnsi="Arial" w:cs="Arial"/>
        </w:rPr>
        <w:t>priorities</w:t>
      </w:r>
      <w:r w:rsidRPr="005958A2">
        <w:rPr>
          <w:rFonts w:ascii="Arial" w:hAnsi="Arial" w:cs="Arial"/>
        </w:rPr>
        <w:t xml:space="preserve"> and </w:t>
      </w:r>
      <w:r>
        <w:rPr>
          <w:rFonts w:ascii="Arial" w:hAnsi="Arial" w:cs="Arial"/>
        </w:rPr>
        <w:t>their respective outcomes summarising current performance within the quarter and</w:t>
      </w:r>
      <w:r w:rsidRPr="005958A2">
        <w:rPr>
          <w:rFonts w:ascii="Arial" w:hAnsi="Arial" w:cs="Arial"/>
        </w:rPr>
        <w:t xml:space="preserve"> action being taken to </w:t>
      </w:r>
      <w:r>
        <w:rPr>
          <w:rFonts w:ascii="Arial" w:hAnsi="Arial" w:cs="Arial"/>
        </w:rPr>
        <w:t>improve performance where required</w:t>
      </w:r>
      <w:r w:rsidRPr="005958A2">
        <w:rPr>
          <w:rFonts w:ascii="Arial" w:hAnsi="Arial" w:cs="Arial"/>
        </w:rPr>
        <w:t>.</w:t>
      </w:r>
    </w:p>
    <w:p w14:paraId="67287DF4" w14:textId="77777777" w:rsidR="00B0379D" w:rsidRDefault="00B0379D" w:rsidP="00B0379D">
      <w:pPr>
        <w:rPr>
          <w:rFonts w:ascii="Arial" w:hAnsi="Arial" w:cs="Arial"/>
        </w:rPr>
      </w:pPr>
    </w:p>
    <w:p w14:paraId="1774F0C8" w14:textId="77777777" w:rsidR="00B0379D" w:rsidRDefault="00E75E6D">
      <w:pPr>
        <w:rPr>
          <w:rFonts w:ascii="Arial" w:eastAsiaTheme="majorEastAsia" w:hAnsi="Arial" w:cstheme="majorBidi"/>
          <w:color w:val="000000" w:themeColor="text1"/>
          <w:sz w:val="28"/>
          <w:szCs w:val="28"/>
        </w:rPr>
      </w:pPr>
      <w:r>
        <w:rPr>
          <w:color w:val="000000" w:themeColor="text1"/>
          <w:sz w:val="28"/>
          <w:szCs w:val="28"/>
        </w:rPr>
        <w:br w:type="page"/>
      </w:r>
    </w:p>
    <w:p w14:paraId="7C45D4C9" w14:textId="77777777" w:rsidR="00B0379D" w:rsidRDefault="00B0379D" w:rsidP="00B0379D">
      <w:pPr>
        <w:pStyle w:val="Heading1"/>
        <w:spacing w:after="120" w:line="240" w:lineRule="auto"/>
        <w:rPr>
          <w:color w:val="000000" w:themeColor="text1"/>
          <w:sz w:val="28"/>
          <w:szCs w:val="28"/>
        </w:rPr>
        <w:sectPr w:rsidR="00B0379D" w:rsidSect="00EC2ED3">
          <w:pgSz w:w="11906" w:h="16838"/>
          <w:pgMar w:top="720" w:right="720" w:bottom="720" w:left="720" w:header="708" w:footer="708" w:gutter="0"/>
          <w:cols w:space="708"/>
          <w:docGrid w:linePitch="360"/>
        </w:sectPr>
      </w:pPr>
    </w:p>
    <w:p w14:paraId="1E0122B3" w14:textId="77777777" w:rsidR="00B0379D" w:rsidRDefault="00B0379D" w:rsidP="00B0379D">
      <w:pPr>
        <w:pStyle w:val="Heading1"/>
        <w:spacing w:after="120" w:line="240" w:lineRule="auto"/>
        <w:rPr>
          <w:color w:val="000000" w:themeColor="text1"/>
          <w:sz w:val="28"/>
          <w:szCs w:val="28"/>
        </w:rPr>
      </w:pPr>
    </w:p>
    <w:p w14:paraId="2C9CF449" w14:textId="08FAAE79" w:rsidR="00B0379D" w:rsidRPr="009D42B5" w:rsidRDefault="00E75E6D" w:rsidP="00B0379D">
      <w:pPr>
        <w:pStyle w:val="Heading1"/>
        <w:spacing w:before="120" w:after="240" w:line="240" w:lineRule="auto"/>
        <w:rPr>
          <w:b/>
          <w:color w:val="000000" w:themeColor="text1"/>
          <w:sz w:val="28"/>
          <w:szCs w:val="28"/>
        </w:rPr>
      </w:pPr>
      <w:bookmarkStart w:id="3" w:name="_Toc174698091"/>
      <w:r w:rsidRPr="00724C92">
        <w:rPr>
          <w:b/>
          <w:color w:val="000000" w:themeColor="text1"/>
          <w:sz w:val="28"/>
          <w:szCs w:val="28"/>
        </w:rPr>
        <w:t>3. Executive Summary</w:t>
      </w:r>
      <w:bookmarkEnd w:id="3"/>
    </w:p>
    <w:p w14:paraId="1C546465" w14:textId="67E0E17A" w:rsidR="00B0379D" w:rsidRDefault="00E75E6D" w:rsidP="00B0379D">
      <w:pPr>
        <w:spacing w:after="120" w:line="240" w:lineRule="auto"/>
        <w:jc w:val="both"/>
        <w:rPr>
          <w:rFonts w:ascii="Arial" w:hAnsi="Arial" w:cs="Arial"/>
        </w:rPr>
      </w:pPr>
      <w:r w:rsidRPr="00B8AFBC">
        <w:rPr>
          <w:rFonts w:ascii="Arial" w:hAnsi="Arial" w:cs="Arial"/>
        </w:rPr>
        <w:t xml:space="preserve">The charts below provide an overview position of all performance measures across all 6 Borough Strategy priorities as at </w:t>
      </w:r>
      <w:r w:rsidR="00D230E5" w:rsidRPr="00B8AFBC">
        <w:rPr>
          <w:rFonts w:ascii="Arial" w:hAnsi="Arial" w:cs="Arial"/>
        </w:rPr>
        <w:t>Q</w:t>
      </w:r>
      <w:r w:rsidR="003F7B08">
        <w:rPr>
          <w:rFonts w:ascii="Arial" w:hAnsi="Arial" w:cs="Arial"/>
        </w:rPr>
        <w:t xml:space="preserve">uarter </w:t>
      </w:r>
      <w:r w:rsidR="00D230E5" w:rsidRPr="00B8AFBC">
        <w:rPr>
          <w:rFonts w:ascii="Arial" w:hAnsi="Arial" w:cs="Arial"/>
        </w:rPr>
        <w:t>1 202</w:t>
      </w:r>
      <w:r w:rsidR="006942C3">
        <w:rPr>
          <w:rFonts w:ascii="Arial" w:hAnsi="Arial" w:cs="Arial"/>
        </w:rPr>
        <w:t>4</w:t>
      </w:r>
      <w:r w:rsidR="00C87E32">
        <w:rPr>
          <w:rFonts w:ascii="Arial" w:hAnsi="Arial" w:cs="Arial"/>
        </w:rPr>
        <w:t>-</w:t>
      </w:r>
      <w:r w:rsidR="00B63F66">
        <w:rPr>
          <w:rFonts w:ascii="Arial" w:hAnsi="Arial" w:cs="Arial"/>
        </w:rPr>
        <w:t>2</w:t>
      </w:r>
      <w:r w:rsidR="006942C3">
        <w:rPr>
          <w:rFonts w:ascii="Arial" w:hAnsi="Arial" w:cs="Arial"/>
        </w:rPr>
        <w:t>5</w:t>
      </w:r>
      <w:r w:rsidRPr="00B8AFBC">
        <w:rPr>
          <w:rFonts w:ascii="Arial" w:hAnsi="Arial" w:cs="Arial"/>
        </w:rPr>
        <w:t>, examining:</w:t>
      </w:r>
    </w:p>
    <w:p w14:paraId="6C9C424B" w14:textId="77777777" w:rsidR="003E5271" w:rsidRPr="003E5271" w:rsidRDefault="00E75E6D" w:rsidP="00726825">
      <w:pPr>
        <w:pStyle w:val="ListParagraph"/>
        <w:numPr>
          <w:ilvl w:val="0"/>
          <w:numId w:val="23"/>
        </w:numPr>
        <w:spacing w:after="120" w:line="240" w:lineRule="auto"/>
        <w:ind w:left="714" w:hanging="357"/>
        <w:contextualSpacing w:val="0"/>
        <w:jc w:val="both"/>
        <w:rPr>
          <w:rFonts w:eastAsiaTheme="minorEastAsia"/>
        </w:rPr>
      </w:pPr>
      <w:r w:rsidRPr="4276CE28">
        <w:rPr>
          <w:rFonts w:ascii="Arial" w:hAnsi="Arial" w:cs="Arial"/>
        </w:rPr>
        <w:t>Performance against target.</w:t>
      </w:r>
    </w:p>
    <w:p w14:paraId="0E60806F" w14:textId="77777777" w:rsidR="003E5271" w:rsidRPr="000C4A77" w:rsidRDefault="00E75E6D" w:rsidP="00726825">
      <w:pPr>
        <w:pStyle w:val="ListParagraph"/>
        <w:numPr>
          <w:ilvl w:val="0"/>
          <w:numId w:val="23"/>
        </w:numPr>
        <w:spacing w:after="120" w:line="240" w:lineRule="auto"/>
        <w:ind w:left="714" w:hanging="357"/>
        <w:contextualSpacing w:val="0"/>
        <w:jc w:val="both"/>
        <w:rPr>
          <w:rFonts w:eastAsiaTheme="minorEastAsia"/>
        </w:rPr>
      </w:pPr>
      <w:r w:rsidRPr="003E5271">
        <w:rPr>
          <w:rFonts w:ascii="Arial" w:hAnsi="Arial" w:cs="Arial"/>
        </w:rPr>
        <w:t xml:space="preserve">Trend - whether performance has improved / worsened since the position 12 months ago. </w:t>
      </w:r>
    </w:p>
    <w:p w14:paraId="1380D351" w14:textId="0AE154A5" w:rsidR="00AD48D3" w:rsidRPr="001E4359" w:rsidRDefault="000C4A77" w:rsidP="00250A6B">
      <w:pPr>
        <w:pStyle w:val="ListParagraph"/>
        <w:numPr>
          <w:ilvl w:val="0"/>
          <w:numId w:val="23"/>
        </w:numPr>
        <w:spacing w:after="120" w:line="240" w:lineRule="auto"/>
        <w:ind w:left="714" w:hanging="357"/>
        <w:contextualSpacing w:val="0"/>
        <w:jc w:val="both"/>
        <w:rPr>
          <w:rFonts w:ascii="Times New Roman" w:eastAsia="Times New Roman" w:hAnsi="Times New Roman" w:cs="Times New Roman"/>
          <w:sz w:val="24"/>
          <w:szCs w:val="24"/>
          <w:lang w:eastAsia="en-GB"/>
        </w:rPr>
      </w:pPr>
      <w:r w:rsidRPr="000C4A77">
        <w:rPr>
          <w:rFonts w:ascii="Arial" w:hAnsi="Arial" w:cs="Arial"/>
        </w:rPr>
        <w:t>Inter Authority performance - how St Helens’ performance compares to that of a family group of authorities similar to St Helens</w:t>
      </w:r>
      <w:r w:rsidR="00D4338B">
        <w:rPr>
          <w:rFonts w:ascii="Arial" w:hAnsi="Arial" w:cs="Arial"/>
        </w:rPr>
        <w:t>.</w:t>
      </w:r>
    </w:p>
    <w:p w14:paraId="6DFF5861" w14:textId="06D839A1" w:rsidR="001E4359" w:rsidRPr="00AD48D3" w:rsidRDefault="001E4359" w:rsidP="001E4359">
      <w:pPr>
        <w:pStyle w:val="ListParagraph"/>
        <w:spacing w:after="120" w:line="240" w:lineRule="auto"/>
        <w:ind w:left="714"/>
        <w:contextualSpacing w:val="0"/>
        <w:jc w:val="both"/>
        <w:rPr>
          <w:rFonts w:ascii="Times New Roman" w:eastAsia="Times New Roman" w:hAnsi="Times New Roman" w:cs="Times New Roman"/>
          <w:sz w:val="24"/>
          <w:szCs w:val="24"/>
          <w:lang w:eastAsia="en-GB"/>
        </w:rPr>
      </w:pPr>
    </w:p>
    <w:p w14:paraId="619987BB" w14:textId="6F6836FA" w:rsidR="00B0379D" w:rsidRPr="00810A7F" w:rsidRDefault="00680A07" w:rsidP="005A4817">
      <w:pPr>
        <w:spacing w:after="120" w:line="240" w:lineRule="auto"/>
        <w:rPr>
          <w:color w:val="FF0000"/>
        </w:rPr>
        <w:sectPr w:rsidR="00B0379D" w:rsidRPr="00810A7F" w:rsidSect="00EC2ED3">
          <w:pgSz w:w="16838" w:h="11906" w:orient="landscape"/>
          <w:pgMar w:top="720" w:right="720" w:bottom="720" w:left="720" w:header="709" w:footer="709" w:gutter="0"/>
          <w:cols w:space="708"/>
          <w:docGrid w:linePitch="360"/>
        </w:sectPr>
      </w:pPr>
      <w:r>
        <w:rPr>
          <w:noProof/>
        </w:rPr>
        <w:drawing>
          <wp:anchor distT="0" distB="0" distL="114300" distR="114300" simplePos="0" relativeHeight="251658342" behindDoc="1" locked="0" layoutInCell="1" allowOverlap="1" wp14:anchorId="62D5361E" wp14:editId="20FA8742">
            <wp:simplePos x="0" y="0"/>
            <wp:positionH relativeFrom="column">
              <wp:posOffset>3429000</wp:posOffset>
            </wp:positionH>
            <wp:positionV relativeFrom="paragraph">
              <wp:posOffset>3810</wp:posOffset>
            </wp:positionV>
            <wp:extent cx="2565400" cy="3854450"/>
            <wp:effectExtent l="0" t="0" r="6350" b="12700"/>
            <wp:wrapTight wrapText="bothSides">
              <wp:wrapPolygon edited="0">
                <wp:start x="0" y="0"/>
                <wp:lineTo x="0" y="21564"/>
                <wp:lineTo x="21493" y="21564"/>
                <wp:lineTo x="21493" y="0"/>
                <wp:lineTo x="0" y="0"/>
              </wp:wrapPolygon>
            </wp:wrapTight>
            <wp:docPr id="991725146" name="Chart 1">
              <a:extLst xmlns:a="http://schemas.openxmlformats.org/drawingml/2006/main">
                <a:ext uri="{FF2B5EF4-FFF2-40B4-BE49-F238E27FC236}">
                  <a16:creationId xmlns:a16="http://schemas.microsoft.com/office/drawing/2014/main" id="{3316699E-6839-4F26-8A61-2AAEEFF43F25}"/>
                </a:ext>
                <a:ext uri="{147F2762-F138-4A5C-976F-8EAC2B608ADB}">
                  <a16:predDERef xmlns:a16="http://schemas.microsoft.com/office/drawing/2014/main" pred="{1BACEB43-6D25-49BB-8221-C98699898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noProof/>
        </w:rPr>
        <w:drawing>
          <wp:anchor distT="0" distB="0" distL="114300" distR="114300" simplePos="0" relativeHeight="251658343" behindDoc="1" locked="0" layoutInCell="1" allowOverlap="1" wp14:anchorId="2871D68E" wp14:editId="7A04204B">
            <wp:simplePos x="0" y="0"/>
            <wp:positionH relativeFrom="column">
              <wp:posOffset>342900</wp:posOffset>
            </wp:positionH>
            <wp:positionV relativeFrom="paragraph">
              <wp:posOffset>3810</wp:posOffset>
            </wp:positionV>
            <wp:extent cx="2635250" cy="3848100"/>
            <wp:effectExtent l="0" t="0" r="12700" b="0"/>
            <wp:wrapTight wrapText="bothSides">
              <wp:wrapPolygon edited="0">
                <wp:start x="0" y="0"/>
                <wp:lineTo x="0" y="21493"/>
                <wp:lineTo x="21548" y="21493"/>
                <wp:lineTo x="21548" y="0"/>
                <wp:lineTo x="0" y="0"/>
              </wp:wrapPolygon>
            </wp:wrapTight>
            <wp:docPr id="1051035019" name="Chart 1">
              <a:extLst xmlns:a="http://schemas.openxmlformats.org/drawingml/2006/main">
                <a:ext uri="{FF2B5EF4-FFF2-40B4-BE49-F238E27FC236}">
                  <a16:creationId xmlns:a16="http://schemas.microsoft.com/office/drawing/2014/main" id="{1BACEB43-6D25-49BB-8221-C98699898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rPr>
        <w:drawing>
          <wp:anchor distT="0" distB="0" distL="114300" distR="114300" simplePos="0" relativeHeight="251658341" behindDoc="1" locked="0" layoutInCell="1" allowOverlap="1" wp14:anchorId="463CFE00" wp14:editId="3182453A">
            <wp:simplePos x="0" y="0"/>
            <wp:positionH relativeFrom="column">
              <wp:posOffset>6426200</wp:posOffset>
            </wp:positionH>
            <wp:positionV relativeFrom="paragraph">
              <wp:posOffset>6350</wp:posOffset>
            </wp:positionV>
            <wp:extent cx="2660650" cy="3836035"/>
            <wp:effectExtent l="0" t="0" r="6350" b="12065"/>
            <wp:wrapTight wrapText="bothSides">
              <wp:wrapPolygon edited="0">
                <wp:start x="0" y="0"/>
                <wp:lineTo x="0" y="21561"/>
                <wp:lineTo x="21497" y="21561"/>
                <wp:lineTo x="21497" y="0"/>
                <wp:lineTo x="0" y="0"/>
              </wp:wrapPolygon>
            </wp:wrapTight>
            <wp:docPr id="1588190427" name="Chart 1">
              <a:extLst xmlns:a="http://schemas.openxmlformats.org/drawingml/2006/main">
                <a:ext uri="{FF2B5EF4-FFF2-40B4-BE49-F238E27FC236}">
                  <a16:creationId xmlns:a16="http://schemas.microsoft.com/office/drawing/2014/main" id="{8A8162F5-843B-4207-B868-CD9FCAA9A1E7}"/>
                </a:ext>
                <a:ext uri="{147F2762-F138-4A5C-976F-8EAC2B608ADB}">
                  <a16:predDERef xmlns:a16="http://schemas.microsoft.com/office/drawing/2014/main" pred="{3316699E-6839-4F26-8A61-2AAEEFF43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250A6B" w:rsidRPr="00954EBB">
        <w:rPr>
          <w:rFonts w:ascii="Times New Roman" w:eastAsia="Times New Roman" w:hAnsi="Times New Roman" w:cs="Times New Roman"/>
          <w:color w:val="FF0000"/>
          <w:sz w:val="24"/>
          <w:szCs w:val="24"/>
          <w:lang w:eastAsia="en-GB"/>
        </w:rPr>
        <w:t xml:space="preserve">  </w:t>
      </w:r>
      <w:r w:rsidR="00CF4DBA" w:rsidRPr="00954EBB">
        <w:rPr>
          <w:rFonts w:ascii="Times New Roman" w:eastAsia="Times New Roman" w:hAnsi="Times New Roman" w:cs="Times New Roman"/>
          <w:color w:val="FF0000"/>
          <w:sz w:val="24"/>
          <w:szCs w:val="24"/>
          <w:lang w:eastAsia="en-GB"/>
        </w:rPr>
        <w:t xml:space="preserve"> </w:t>
      </w:r>
      <w:r w:rsidR="4F412CAD" w:rsidRPr="00954EBB">
        <w:rPr>
          <w:rFonts w:ascii="Times New Roman" w:eastAsia="Times New Roman" w:hAnsi="Times New Roman" w:cs="Times New Roman"/>
          <w:color w:val="FF0000"/>
          <w:sz w:val="24"/>
          <w:szCs w:val="24"/>
          <w:lang w:eastAsia="en-GB"/>
        </w:rPr>
        <w:t xml:space="preserve">    </w:t>
      </w:r>
      <w:r w:rsidR="00D0110F" w:rsidRPr="00D0110F">
        <w:rPr>
          <w:noProof/>
        </w:rPr>
        <w:t xml:space="preserve"> </w:t>
      </w:r>
      <w:r w:rsidR="001E4359" w:rsidRPr="001E4359">
        <w:rPr>
          <w:noProof/>
        </w:rPr>
        <w:t xml:space="preserve"> </w:t>
      </w:r>
    </w:p>
    <w:p w14:paraId="59F8ED9E" w14:textId="77777777" w:rsidR="00B0379D" w:rsidRPr="003D0A11" w:rsidRDefault="00E75E6D" w:rsidP="00B0379D">
      <w:pPr>
        <w:pStyle w:val="Heading1"/>
        <w:spacing w:before="120" w:after="240" w:line="240" w:lineRule="auto"/>
        <w:rPr>
          <w:b/>
          <w:color w:val="000000" w:themeColor="text1"/>
          <w:sz w:val="28"/>
          <w:szCs w:val="28"/>
        </w:rPr>
      </w:pPr>
      <w:bookmarkStart w:id="4" w:name="_Toc174698092"/>
      <w:r w:rsidRPr="05FDF17F">
        <w:rPr>
          <w:b/>
          <w:bCs/>
          <w:color w:val="000000" w:themeColor="text1"/>
          <w:sz w:val="28"/>
          <w:szCs w:val="28"/>
        </w:rPr>
        <w:t>4. Part 1 - Statistical analysis</w:t>
      </w:r>
      <w:bookmarkEnd w:id="4"/>
    </w:p>
    <w:p w14:paraId="3DC0BAB0" w14:textId="45EB8353" w:rsidR="00B0379D" w:rsidRPr="005958A2" w:rsidRDefault="00E75E6D" w:rsidP="00B0379D">
      <w:pPr>
        <w:spacing w:after="120" w:line="240" w:lineRule="auto"/>
        <w:jc w:val="both"/>
        <w:rPr>
          <w:rFonts w:ascii="Arial" w:hAnsi="Arial" w:cs="Arial"/>
        </w:rPr>
      </w:pPr>
      <w:r w:rsidRPr="00B8AFBC">
        <w:rPr>
          <w:rFonts w:ascii="Arial" w:hAnsi="Arial" w:cs="Arial"/>
        </w:rPr>
        <w:t xml:space="preserve">To measure performance </w:t>
      </w:r>
      <w:r w:rsidR="00D230E5" w:rsidRPr="00B8AFBC">
        <w:rPr>
          <w:rFonts w:ascii="Arial" w:hAnsi="Arial" w:cs="Arial"/>
        </w:rPr>
        <w:t>at Q</w:t>
      </w:r>
      <w:r w:rsidR="003F7B08">
        <w:rPr>
          <w:rFonts w:ascii="Arial" w:hAnsi="Arial" w:cs="Arial"/>
        </w:rPr>
        <w:t>uarter</w:t>
      </w:r>
      <w:r w:rsidR="00D230E5" w:rsidRPr="00B8AFBC">
        <w:rPr>
          <w:rFonts w:ascii="Arial" w:hAnsi="Arial" w:cs="Arial"/>
        </w:rPr>
        <w:t>1 202</w:t>
      </w:r>
      <w:r w:rsidR="00954EBB">
        <w:rPr>
          <w:rFonts w:ascii="Arial" w:hAnsi="Arial" w:cs="Arial"/>
        </w:rPr>
        <w:t>4</w:t>
      </w:r>
      <w:r w:rsidR="00A56D8D">
        <w:rPr>
          <w:rFonts w:ascii="Arial" w:hAnsi="Arial" w:cs="Arial"/>
        </w:rPr>
        <w:t>-</w:t>
      </w:r>
      <w:r w:rsidR="00B63F66">
        <w:rPr>
          <w:rFonts w:ascii="Arial" w:hAnsi="Arial" w:cs="Arial"/>
        </w:rPr>
        <w:t>2</w:t>
      </w:r>
      <w:r w:rsidR="00954EBB">
        <w:rPr>
          <w:rFonts w:ascii="Arial" w:hAnsi="Arial" w:cs="Arial"/>
        </w:rPr>
        <w:t>5</w:t>
      </w:r>
      <w:r w:rsidRPr="00B8AFBC">
        <w:rPr>
          <w:rFonts w:ascii="Arial" w:hAnsi="Arial" w:cs="Arial"/>
        </w:rPr>
        <w:t xml:space="preserve">, the Council is reporting against a total of </w:t>
      </w:r>
      <w:r w:rsidR="00465469" w:rsidRPr="00465469">
        <w:rPr>
          <w:rFonts w:ascii="Arial" w:hAnsi="Arial" w:cs="Arial"/>
        </w:rPr>
        <w:t>86</w:t>
      </w:r>
      <w:r w:rsidRPr="00B8AFBC">
        <w:rPr>
          <w:rFonts w:ascii="Arial" w:hAnsi="Arial" w:cs="Arial"/>
        </w:rPr>
        <w:t xml:space="preserve"> performance indicators</w:t>
      </w:r>
      <w:r w:rsidR="00F40693" w:rsidRPr="00B8AFBC">
        <w:rPr>
          <w:rFonts w:ascii="Arial" w:hAnsi="Arial" w:cs="Arial"/>
        </w:rPr>
        <w:t>, where targets were set</w:t>
      </w:r>
      <w:r w:rsidRPr="00B8AFBC">
        <w:rPr>
          <w:rFonts w:ascii="Arial" w:hAnsi="Arial" w:cs="Arial"/>
        </w:rPr>
        <w:t>. The indicators reported are split between Tier 1 and Tier 2:</w:t>
      </w:r>
    </w:p>
    <w:p w14:paraId="25C6C82F" w14:textId="77777777" w:rsidR="00B0379D" w:rsidRDefault="00E75E6D" w:rsidP="00B0379D">
      <w:pPr>
        <w:spacing w:after="120" w:line="240" w:lineRule="auto"/>
        <w:jc w:val="both"/>
        <w:rPr>
          <w:rFonts w:ascii="Arial" w:hAnsi="Arial" w:cs="Arial"/>
          <w:color w:val="000000" w:themeColor="text1"/>
        </w:rPr>
      </w:pPr>
      <w:r w:rsidRPr="0098231C">
        <w:rPr>
          <w:rFonts w:ascii="Arial" w:hAnsi="Arial" w:cs="Arial"/>
          <w:b/>
          <w:color w:val="000000" w:themeColor="text1"/>
        </w:rPr>
        <w:t>Tier 1</w:t>
      </w:r>
      <w:r w:rsidRPr="0098231C">
        <w:rPr>
          <w:rFonts w:ascii="Arial" w:hAnsi="Arial" w:cs="Arial"/>
          <w:color w:val="000000" w:themeColor="text1"/>
        </w:rPr>
        <w:t xml:space="preserve"> </w:t>
      </w:r>
      <w:r>
        <w:rPr>
          <w:rFonts w:ascii="Arial" w:hAnsi="Arial" w:cs="Arial"/>
          <w:color w:val="000000" w:themeColor="text1"/>
        </w:rPr>
        <w:t>–</w:t>
      </w:r>
      <w:r w:rsidRPr="0098231C">
        <w:rPr>
          <w:rFonts w:ascii="Arial" w:hAnsi="Arial" w:cs="Arial"/>
          <w:color w:val="000000" w:themeColor="text1"/>
        </w:rPr>
        <w:t xml:space="preserve"> </w:t>
      </w:r>
      <w:r>
        <w:rPr>
          <w:rFonts w:ascii="Arial" w:hAnsi="Arial" w:cs="Arial"/>
          <w:color w:val="000000" w:themeColor="text1"/>
        </w:rPr>
        <w:t>A set of high-level strategic indicators and targets that constitute the Outcomes Framework of the Borough Strategy 2021-2030.</w:t>
      </w:r>
    </w:p>
    <w:p w14:paraId="55FA692C" w14:textId="77777777" w:rsidR="00B0379D" w:rsidRDefault="00E75E6D" w:rsidP="00B0379D">
      <w:pPr>
        <w:spacing w:after="120" w:line="240" w:lineRule="auto"/>
        <w:jc w:val="both"/>
        <w:rPr>
          <w:rFonts w:ascii="Arial" w:hAnsi="Arial" w:cs="Arial"/>
          <w:color w:val="000000" w:themeColor="text1"/>
        </w:rPr>
      </w:pPr>
      <w:r w:rsidRPr="0098231C">
        <w:rPr>
          <w:rFonts w:ascii="Arial" w:hAnsi="Arial" w:cs="Arial"/>
          <w:b/>
          <w:color w:val="000000" w:themeColor="text1"/>
        </w:rPr>
        <w:t>Tier 2</w:t>
      </w:r>
      <w:r w:rsidRPr="0098231C">
        <w:rPr>
          <w:rFonts w:ascii="Arial" w:hAnsi="Arial" w:cs="Arial"/>
          <w:color w:val="000000" w:themeColor="text1"/>
        </w:rPr>
        <w:t xml:space="preserve"> – </w:t>
      </w:r>
      <w:r>
        <w:rPr>
          <w:rStyle w:val="normaltextrun"/>
          <w:rFonts w:ascii="Arial" w:hAnsi="Arial" w:cs="Arial"/>
          <w:color w:val="201F1E"/>
          <w:shd w:val="clear" w:color="auto" w:fill="FFFFFF"/>
        </w:rPr>
        <w:t xml:space="preserve">A further set of performance indicators and targets to address key priority areas of performance within Directorates / Departments. </w:t>
      </w:r>
    </w:p>
    <w:p w14:paraId="02A19C5F" w14:textId="77777777" w:rsidR="00B0379D" w:rsidRPr="005958A2" w:rsidRDefault="00E75E6D" w:rsidP="00B0379D">
      <w:pPr>
        <w:spacing w:after="120" w:line="240" w:lineRule="auto"/>
        <w:jc w:val="both"/>
        <w:rPr>
          <w:rFonts w:ascii="Arial" w:hAnsi="Arial" w:cs="Arial"/>
        </w:rPr>
      </w:pPr>
      <w:r w:rsidRPr="005958A2">
        <w:rPr>
          <w:rFonts w:ascii="Arial" w:hAnsi="Arial" w:cs="Arial"/>
        </w:rPr>
        <w:t xml:space="preserve">In the supporting </w:t>
      </w:r>
      <w:r>
        <w:rPr>
          <w:rFonts w:ascii="Arial" w:hAnsi="Arial" w:cs="Arial"/>
        </w:rPr>
        <w:t>scorecards</w:t>
      </w:r>
      <w:r w:rsidRPr="005958A2">
        <w:rPr>
          <w:rFonts w:ascii="Arial" w:hAnsi="Arial" w:cs="Arial"/>
        </w:rPr>
        <w:t xml:space="preserve"> </w:t>
      </w:r>
      <w:r>
        <w:rPr>
          <w:rFonts w:ascii="Arial" w:hAnsi="Arial" w:cs="Arial"/>
        </w:rPr>
        <w:t>for each priority area</w:t>
      </w:r>
      <w:r w:rsidRPr="005958A2">
        <w:rPr>
          <w:rFonts w:ascii="Arial" w:hAnsi="Arial" w:cs="Arial"/>
        </w:rPr>
        <w:t xml:space="preserve">, this distinction is maintained and both tiers are shown as they are all relevant to an understanding of overall performance. </w:t>
      </w:r>
    </w:p>
    <w:p w14:paraId="0CF8A4C2" w14:textId="3F635D25" w:rsidR="00B0379D" w:rsidRDefault="00E75E6D" w:rsidP="00B0379D">
      <w:pPr>
        <w:spacing w:after="120" w:line="240" w:lineRule="auto"/>
        <w:jc w:val="both"/>
        <w:rPr>
          <w:rFonts w:ascii="Arial" w:hAnsi="Arial" w:cs="Arial"/>
        </w:rPr>
      </w:pPr>
      <w:r w:rsidRPr="5ABC6228">
        <w:rPr>
          <w:rFonts w:ascii="Arial" w:hAnsi="Arial" w:cs="Arial"/>
        </w:rPr>
        <w:t xml:space="preserve">The </w:t>
      </w:r>
      <w:r w:rsidR="00AD5C2B">
        <w:rPr>
          <w:rFonts w:ascii="Arial" w:hAnsi="Arial" w:cs="Arial"/>
        </w:rPr>
        <w:t>Quarter 1</w:t>
      </w:r>
      <w:r>
        <w:rPr>
          <w:rFonts w:ascii="Arial" w:hAnsi="Arial" w:cs="Arial"/>
        </w:rPr>
        <w:t xml:space="preserve"> report </w:t>
      </w:r>
      <w:r w:rsidRPr="5ABC6228">
        <w:rPr>
          <w:rFonts w:ascii="Arial" w:hAnsi="Arial" w:cs="Arial"/>
        </w:rPr>
        <w:t xml:space="preserve">statistical analysis looks at performance under </w:t>
      </w:r>
      <w:r>
        <w:rPr>
          <w:rFonts w:ascii="Arial" w:hAnsi="Arial" w:cs="Arial"/>
        </w:rPr>
        <w:t>3</w:t>
      </w:r>
      <w:r w:rsidRPr="5ABC6228">
        <w:rPr>
          <w:rFonts w:ascii="Arial" w:hAnsi="Arial" w:cs="Arial"/>
        </w:rPr>
        <w:t xml:space="preserve"> areas:</w:t>
      </w:r>
    </w:p>
    <w:p w14:paraId="39D55B74" w14:textId="77777777" w:rsidR="00B0379D" w:rsidRPr="00F5497F" w:rsidRDefault="00E75E6D" w:rsidP="00726825">
      <w:pPr>
        <w:pStyle w:val="ListParagraph"/>
        <w:numPr>
          <w:ilvl w:val="0"/>
          <w:numId w:val="16"/>
        </w:numPr>
        <w:spacing w:after="120" w:line="240" w:lineRule="auto"/>
        <w:contextualSpacing w:val="0"/>
        <w:jc w:val="both"/>
        <w:rPr>
          <w:rFonts w:ascii="Arial" w:hAnsi="Arial" w:cs="Arial"/>
        </w:rPr>
      </w:pPr>
      <w:r>
        <w:rPr>
          <w:rFonts w:ascii="Arial" w:hAnsi="Arial" w:cs="Arial"/>
        </w:rPr>
        <w:t>Performance against targets</w:t>
      </w:r>
    </w:p>
    <w:p w14:paraId="49224BB8" w14:textId="77777777" w:rsidR="00B0379D" w:rsidRDefault="00E75E6D" w:rsidP="00726825">
      <w:pPr>
        <w:pStyle w:val="ListParagraph"/>
        <w:numPr>
          <w:ilvl w:val="0"/>
          <w:numId w:val="16"/>
        </w:numPr>
        <w:spacing w:after="120" w:line="240" w:lineRule="auto"/>
        <w:contextualSpacing w:val="0"/>
        <w:jc w:val="both"/>
        <w:rPr>
          <w:rFonts w:ascii="Arial" w:hAnsi="Arial" w:cs="Arial"/>
        </w:rPr>
      </w:pPr>
      <w:r>
        <w:rPr>
          <w:rFonts w:ascii="Arial" w:hAnsi="Arial" w:cs="Arial"/>
        </w:rPr>
        <w:t>Trend over 12-months</w:t>
      </w:r>
    </w:p>
    <w:p w14:paraId="43BFB38D" w14:textId="77777777" w:rsidR="00B0379D" w:rsidRPr="0043706F" w:rsidRDefault="00E75E6D" w:rsidP="20C39323">
      <w:pPr>
        <w:pStyle w:val="ListParagraph"/>
        <w:numPr>
          <w:ilvl w:val="0"/>
          <w:numId w:val="16"/>
        </w:numPr>
        <w:spacing w:after="120" w:line="240" w:lineRule="auto"/>
        <w:rPr>
          <w:rFonts w:ascii="Arial" w:hAnsi="Arial" w:cs="Arial"/>
        </w:rPr>
      </w:pPr>
      <w:r>
        <w:rPr>
          <w:rFonts w:ascii="Arial" w:hAnsi="Arial" w:cs="Arial"/>
        </w:rPr>
        <w:t>Inter-authority comparison</w:t>
      </w:r>
      <w:r w:rsidRPr="0043706F">
        <w:rPr>
          <w:color w:val="000000" w:themeColor="text1"/>
          <w:sz w:val="24"/>
          <w:szCs w:val="24"/>
        </w:rPr>
        <w:br w:type="page"/>
      </w:r>
    </w:p>
    <w:p w14:paraId="2C57FCAB" w14:textId="77777777" w:rsidR="00B0379D" w:rsidRDefault="00B0379D" w:rsidP="00B0379D">
      <w:pPr>
        <w:pStyle w:val="Heading2"/>
        <w:rPr>
          <w:color w:val="000000" w:themeColor="text1"/>
          <w:sz w:val="24"/>
          <w:szCs w:val="24"/>
        </w:rPr>
      </w:pPr>
    </w:p>
    <w:p w14:paraId="4684FACC" w14:textId="77777777" w:rsidR="00B0379D" w:rsidRPr="00724C92" w:rsidRDefault="00E75E6D" w:rsidP="00B0379D">
      <w:pPr>
        <w:pStyle w:val="Heading2"/>
        <w:spacing w:before="120" w:after="240" w:line="240" w:lineRule="auto"/>
        <w:rPr>
          <w:b/>
          <w:color w:val="000000" w:themeColor="text1"/>
          <w:sz w:val="24"/>
          <w:szCs w:val="24"/>
        </w:rPr>
      </w:pPr>
      <w:bookmarkStart w:id="5" w:name="_Toc174698093"/>
      <w:r w:rsidRPr="00724C92">
        <w:rPr>
          <w:b/>
          <w:color w:val="000000" w:themeColor="text1"/>
          <w:sz w:val="24"/>
          <w:szCs w:val="24"/>
        </w:rPr>
        <w:t>4.1 Performance Against Target</w:t>
      </w:r>
      <w:bookmarkEnd w:id="5"/>
    </w:p>
    <w:p w14:paraId="7696334E" w14:textId="5ABC0941" w:rsidR="00B0379D" w:rsidRPr="005958A2" w:rsidRDefault="00E75E6D" w:rsidP="00B0379D">
      <w:pPr>
        <w:spacing w:before="120" w:after="120" w:line="240" w:lineRule="auto"/>
        <w:jc w:val="both"/>
        <w:rPr>
          <w:rFonts w:ascii="Arial" w:hAnsi="Arial" w:cs="Arial"/>
        </w:rPr>
      </w:pPr>
      <w:r w:rsidRPr="005958A2">
        <w:rPr>
          <w:rFonts w:ascii="Arial" w:hAnsi="Arial" w:cs="Arial"/>
        </w:rPr>
        <w:t>This measure sets out</w:t>
      </w:r>
      <w:r>
        <w:rPr>
          <w:rFonts w:ascii="Arial" w:hAnsi="Arial" w:cs="Arial"/>
        </w:rPr>
        <w:t>:</w:t>
      </w:r>
    </w:p>
    <w:p w14:paraId="7B3B374F" w14:textId="77777777" w:rsidR="00B0379D" w:rsidRPr="005958A2" w:rsidRDefault="00E75E6D" w:rsidP="00726825">
      <w:pPr>
        <w:pStyle w:val="ListParagraph"/>
        <w:numPr>
          <w:ilvl w:val="0"/>
          <w:numId w:val="12"/>
        </w:numPr>
        <w:spacing w:before="120" w:after="120" w:line="240" w:lineRule="auto"/>
        <w:contextualSpacing w:val="0"/>
        <w:jc w:val="both"/>
        <w:rPr>
          <w:rFonts w:ascii="Arial" w:hAnsi="Arial" w:cs="Arial"/>
        </w:rPr>
      </w:pPr>
      <w:r w:rsidRPr="4276CE28">
        <w:rPr>
          <w:rFonts w:ascii="Arial" w:hAnsi="Arial" w:cs="Arial"/>
        </w:rPr>
        <w:t>The percentage of indicators by priority where targets have been fully met or exceeded.</w:t>
      </w:r>
    </w:p>
    <w:p w14:paraId="29C5DB32" w14:textId="77777777" w:rsidR="00B0379D" w:rsidRPr="005958A2" w:rsidRDefault="00E75E6D" w:rsidP="00726825">
      <w:pPr>
        <w:pStyle w:val="ListParagraph"/>
        <w:numPr>
          <w:ilvl w:val="0"/>
          <w:numId w:val="12"/>
        </w:numPr>
        <w:spacing w:before="120" w:after="120" w:line="240" w:lineRule="auto"/>
        <w:contextualSpacing w:val="0"/>
        <w:jc w:val="both"/>
        <w:rPr>
          <w:rFonts w:ascii="Arial" w:hAnsi="Arial" w:cs="Arial"/>
        </w:rPr>
      </w:pPr>
      <w:r w:rsidRPr="4276CE28">
        <w:rPr>
          <w:rFonts w:ascii="Arial" w:hAnsi="Arial" w:cs="Arial"/>
        </w:rPr>
        <w:t>The percentage of indicators by priority that have not fully met target but are within 95% of target.</w:t>
      </w:r>
    </w:p>
    <w:p w14:paraId="2676CCA1" w14:textId="77777777" w:rsidR="00B0379D" w:rsidRDefault="00E75E6D" w:rsidP="00726825">
      <w:pPr>
        <w:pStyle w:val="ListParagraph"/>
        <w:numPr>
          <w:ilvl w:val="0"/>
          <w:numId w:val="12"/>
        </w:numPr>
        <w:spacing w:before="120" w:after="240" w:line="240" w:lineRule="auto"/>
        <w:ind w:left="714" w:hanging="357"/>
        <w:contextualSpacing w:val="0"/>
        <w:jc w:val="both"/>
        <w:rPr>
          <w:rFonts w:ascii="Arial" w:hAnsi="Arial" w:cs="Arial"/>
        </w:rPr>
      </w:pPr>
      <w:r w:rsidRPr="4276CE28">
        <w:rPr>
          <w:rFonts w:ascii="Arial" w:hAnsi="Arial" w:cs="Arial"/>
        </w:rPr>
        <w:t xml:space="preserve">The percentage of indicators by priority that have failed to meet the target by more than 5%.  </w:t>
      </w:r>
    </w:p>
    <w:p w14:paraId="3695108F" w14:textId="77777777" w:rsidR="00B0379D" w:rsidRPr="001048CC" w:rsidRDefault="00E75E6D" w:rsidP="00B0379D">
      <w:pPr>
        <w:spacing w:before="120" w:after="240" w:line="240" w:lineRule="auto"/>
        <w:ind w:left="357"/>
        <w:jc w:val="both"/>
        <w:rPr>
          <w:rFonts w:ascii="Arial" w:hAnsi="Arial" w:cs="Arial"/>
        </w:rPr>
      </w:pPr>
      <w:r w:rsidRPr="117BB052">
        <w:rPr>
          <w:rFonts w:ascii="Arial" w:hAnsi="Arial" w:cs="Arial"/>
        </w:rPr>
        <w:t>In the supporting scorecards for each priority area, green, amber, and red colours are used to depict indicators in each of the above three bullet point situations.</w:t>
      </w:r>
    </w:p>
    <w:tbl>
      <w:tblPr>
        <w:tblStyle w:val="TableGrid"/>
        <w:tblW w:w="0" w:type="auto"/>
        <w:jc w:val="center"/>
        <w:tblLayout w:type="fixed"/>
        <w:tblLook w:val="04A0" w:firstRow="1" w:lastRow="0" w:firstColumn="1" w:lastColumn="0" w:noHBand="0" w:noVBand="1"/>
      </w:tblPr>
      <w:tblGrid>
        <w:gridCol w:w="3180"/>
        <w:gridCol w:w="1575"/>
        <w:gridCol w:w="1620"/>
        <w:gridCol w:w="1545"/>
        <w:gridCol w:w="1530"/>
      </w:tblGrid>
      <w:tr w:rsidR="00970157" w14:paraId="26ECAA8F" w14:textId="77777777" w:rsidTr="00B8AFBC">
        <w:trPr>
          <w:jc w:val="center"/>
        </w:trPr>
        <w:tc>
          <w:tcPr>
            <w:tcW w:w="3180" w:type="dxa"/>
          </w:tcPr>
          <w:p w14:paraId="0FA91026" w14:textId="77777777" w:rsidR="00B0379D" w:rsidRDefault="00E75E6D" w:rsidP="00B0379D">
            <w:pPr>
              <w:spacing w:before="40" w:after="40" w:line="259" w:lineRule="auto"/>
              <w:rPr>
                <w:rFonts w:ascii="Arial" w:eastAsia="Arial" w:hAnsi="Arial" w:cs="Arial"/>
                <w:color w:val="000000" w:themeColor="text1"/>
              </w:rPr>
            </w:pPr>
            <w:r>
              <w:br/>
            </w:r>
            <w:r>
              <w:br/>
            </w:r>
            <w:r w:rsidRPr="117BB052">
              <w:rPr>
                <w:rFonts w:ascii="Arial" w:eastAsia="Arial" w:hAnsi="Arial" w:cs="Arial"/>
                <w:b/>
                <w:bCs/>
                <w:color w:val="000000" w:themeColor="text1"/>
              </w:rPr>
              <w:t>Priority</w:t>
            </w:r>
          </w:p>
        </w:tc>
        <w:tc>
          <w:tcPr>
            <w:tcW w:w="1575" w:type="dxa"/>
          </w:tcPr>
          <w:p w14:paraId="63DD3F3E"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Number of Indicators with data</w:t>
            </w:r>
          </w:p>
        </w:tc>
        <w:tc>
          <w:tcPr>
            <w:tcW w:w="1620" w:type="dxa"/>
          </w:tcPr>
          <w:p w14:paraId="39D02BA1"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xml:space="preserve">% target fully met </w:t>
            </w:r>
          </w:p>
        </w:tc>
        <w:tc>
          <w:tcPr>
            <w:tcW w:w="1545" w:type="dxa"/>
          </w:tcPr>
          <w:p w14:paraId="02268DDE"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target met within 95%</w:t>
            </w:r>
          </w:p>
        </w:tc>
        <w:tc>
          <w:tcPr>
            <w:tcW w:w="1530" w:type="dxa"/>
          </w:tcPr>
          <w:p w14:paraId="1C1D30FA"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target not met</w:t>
            </w:r>
          </w:p>
        </w:tc>
      </w:tr>
      <w:tr w:rsidR="00BB1897" w14:paraId="1700F777" w14:textId="77777777" w:rsidTr="00F01C49">
        <w:trPr>
          <w:jc w:val="center"/>
        </w:trPr>
        <w:tc>
          <w:tcPr>
            <w:tcW w:w="3180" w:type="dxa"/>
            <w:shd w:val="clear" w:color="auto" w:fill="ED712C"/>
          </w:tcPr>
          <w:p w14:paraId="60580238" w14:textId="77777777" w:rsidR="00BB1897" w:rsidRDefault="00BB1897" w:rsidP="00BB1897">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1. Ensure children and young people have a positive start </w:t>
            </w:r>
          </w:p>
        </w:tc>
        <w:tc>
          <w:tcPr>
            <w:tcW w:w="1575" w:type="dxa"/>
            <w:shd w:val="clear" w:color="auto" w:fill="ED712C"/>
            <w:vAlign w:val="center"/>
          </w:tcPr>
          <w:p w14:paraId="2B5A091E" w14:textId="2FB6A95C"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21</w:t>
            </w:r>
          </w:p>
        </w:tc>
        <w:tc>
          <w:tcPr>
            <w:tcW w:w="1620" w:type="dxa"/>
            <w:shd w:val="clear" w:color="auto" w:fill="ED712C"/>
            <w:vAlign w:val="center"/>
          </w:tcPr>
          <w:p w14:paraId="381C9785" w14:textId="5098BED7"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52% (11)</w:t>
            </w:r>
          </w:p>
        </w:tc>
        <w:tc>
          <w:tcPr>
            <w:tcW w:w="1545" w:type="dxa"/>
            <w:shd w:val="clear" w:color="auto" w:fill="ED712C"/>
            <w:vAlign w:val="center"/>
          </w:tcPr>
          <w:p w14:paraId="3BED9811" w14:textId="77834504"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29% (6)</w:t>
            </w:r>
          </w:p>
        </w:tc>
        <w:tc>
          <w:tcPr>
            <w:tcW w:w="1530" w:type="dxa"/>
            <w:shd w:val="clear" w:color="auto" w:fill="ED712C"/>
            <w:vAlign w:val="center"/>
          </w:tcPr>
          <w:p w14:paraId="24EF9A58" w14:textId="2E95435E"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19% (4)</w:t>
            </w:r>
          </w:p>
        </w:tc>
      </w:tr>
      <w:tr w:rsidR="00423F51" w14:paraId="17AC88D9" w14:textId="77777777" w:rsidTr="00F01C49">
        <w:trPr>
          <w:jc w:val="center"/>
        </w:trPr>
        <w:tc>
          <w:tcPr>
            <w:tcW w:w="3180" w:type="dxa"/>
            <w:shd w:val="clear" w:color="auto" w:fill="17B0DE"/>
          </w:tcPr>
          <w:p w14:paraId="1B224D60" w14:textId="77777777" w:rsidR="00423F51" w:rsidRDefault="00423F51" w:rsidP="00423F51">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2. Health, independence, and care </w:t>
            </w:r>
          </w:p>
          <w:p w14:paraId="0DFF17BF" w14:textId="77777777" w:rsidR="00423F51" w:rsidRDefault="00423F51" w:rsidP="00423F51">
            <w:pPr>
              <w:spacing w:before="40" w:after="40" w:line="259" w:lineRule="auto"/>
              <w:rPr>
                <w:rFonts w:ascii="Arial" w:eastAsia="Arial" w:hAnsi="Arial" w:cs="Arial"/>
                <w:color w:val="FFFFFF" w:themeColor="background1"/>
              </w:rPr>
            </w:pPr>
          </w:p>
        </w:tc>
        <w:tc>
          <w:tcPr>
            <w:tcW w:w="1575" w:type="dxa"/>
            <w:shd w:val="clear" w:color="auto" w:fill="17B0DE"/>
            <w:vAlign w:val="center"/>
          </w:tcPr>
          <w:p w14:paraId="0E3EB2E3" w14:textId="4B877D9F" w:rsidR="00423F51" w:rsidRPr="00DA447F" w:rsidRDefault="00423F51" w:rsidP="00423F51">
            <w:pPr>
              <w:spacing w:before="40" w:after="40" w:line="259" w:lineRule="auto"/>
              <w:jc w:val="center"/>
              <w:rPr>
                <w:rFonts w:ascii="Arial" w:eastAsia="Arial" w:hAnsi="Arial" w:cs="Arial"/>
                <w:b/>
                <w:bCs/>
                <w:color w:val="FFFFFF" w:themeColor="background1"/>
              </w:rPr>
            </w:pPr>
            <w:r w:rsidRPr="00DA447F">
              <w:rPr>
                <w:rFonts w:ascii="Arial" w:eastAsia="Arial" w:hAnsi="Arial" w:cs="Arial"/>
                <w:b/>
                <w:bCs/>
                <w:color w:val="FFFFFF" w:themeColor="background1"/>
              </w:rPr>
              <w:t>19</w:t>
            </w:r>
          </w:p>
        </w:tc>
        <w:tc>
          <w:tcPr>
            <w:tcW w:w="1620" w:type="dxa"/>
            <w:shd w:val="clear" w:color="auto" w:fill="17B0DE"/>
            <w:vAlign w:val="center"/>
          </w:tcPr>
          <w:p w14:paraId="1661604C" w14:textId="7F5C144C" w:rsidR="00423F51" w:rsidRPr="00DA447F" w:rsidRDefault="00423F51" w:rsidP="00423F51">
            <w:pPr>
              <w:spacing w:before="40" w:after="40" w:line="259" w:lineRule="auto"/>
              <w:jc w:val="center"/>
              <w:rPr>
                <w:rFonts w:ascii="Arial" w:eastAsia="Arial" w:hAnsi="Arial" w:cs="Arial"/>
                <w:b/>
                <w:bCs/>
                <w:color w:val="FFFFFF" w:themeColor="background1"/>
              </w:rPr>
            </w:pPr>
            <w:r w:rsidRPr="00DA447F">
              <w:rPr>
                <w:rFonts w:ascii="Arial" w:eastAsia="Arial" w:hAnsi="Arial" w:cs="Arial"/>
                <w:b/>
                <w:bCs/>
                <w:color w:val="FFFFFF" w:themeColor="background1"/>
              </w:rPr>
              <w:t>47% (9)</w:t>
            </w:r>
          </w:p>
        </w:tc>
        <w:tc>
          <w:tcPr>
            <w:tcW w:w="1545" w:type="dxa"/>
            <w:shd w:val="clear" w:color="auto" w:fill="17B0DE"/>
            <w:vAlign w:val="center"/>
          </w:tcPr>
          <w:p w14:paraId="30B7EF12" w14:textId="7BF32363" w:rsidR="00423F51" w:rsidRPr="00DA447F" w:rsidRDefault="00423F51" w:rsidP="00423F51">
            <w:pPr>
              <w:spacing w:before="40" w:after="40" w:line="259" w:lineRule="auto"/>
              <w:jc w:val="center"/>
              <w:rPr>
                <w:rFonts w:ascii="Arial" w:eastAsia="Arial" w:hAnsi="Arial" w:cs="Arial"/>
                <w:b/>
                <w:bCs/>
                <w:color w:val="FFFFFF" w:themeColor="background1"/>
              </w:rPr>
            </w:pPr>
            <w:r w:rsidRPr="00DA447F">
              <w:rPr>
                <w:rFonts w:ascii="Arial" w:eastAsia="Arial" w:hAnsi="Arial" w:cs="Arial"/>
                <w:b/>
                <w:bCs/>
                <w:color w:val="FFFFFF" w:themeColor="background1"/>
              </w:rPr>
              <w:t>21% (4)</w:t>
            </w:r>
          </w:p>
        </w:tc>
        <w:tc>
          <w:tcPr>
            <w:tcW w:w="1530" w:type="dxa"/>
            <w:shd w:val="clear" w:color="auto" w:fill="17B0DE"/>
            <w:vAlign w:val="center"/>
          </w:tcPr>
          <w:p w14:paraId="1B5B4681" w14:textId="7C4A4E91" w:rsidR="00423F51" w:rsidRPr="00DA447F" w:rsidRDefault="00423F51" w:rsidP="00423F51">
            <w:pPr>
              <w:spacing w:before="40" w:after="40" w:line="259" w:lineRule="auto"/>
              <w:jc w:val="center"/>
              <w:rPr>
                <w:rFonts w:ascii="Arial" w:eastAsia="Arial" w:hAnsi="Arial" w:cs="Arial"/>
                <w:b/>
                <w:bCs/>
                <w:color w:val="FFFFFF" w:themeColor="background1"/>
              </w:rPr>
            </w:pPr>
            <w:r w:rsidRPr="00DA447F">
              <w:rPr>
                <w:rFonts w:ascii="Arial" w:eastAsia="Arial" w:hAnsi="Arial" w:cs="Arial"/>
                <w:b/>
                <w:bCs/>
                <w:color w:val="FFFFFF" w:themeColor="background1"/>
              </w:rPr>
              <w:t>32% (6)</w:t>
            </w:r>
          </w:p>
        </w:tc>
      </w:tr>
      <w:tr w:rsidR="003A4C24" w14:paraId="2C09ACE5" w14:textId="77777777" w:rsidTr="00F01C49">
        <w:trPr>
          <w:jc w:val="center"/>
        </w:trPr>
        <w:tc>
          <w:tcPr>
            <w:tcW w:w="3180" w:type="dxa"/>
            <w:shd w:val="clear" w:color="auto" w:fill="9136AF"/>
          </w:tcPr>
          <w:p w14:paraId="510AB955" w14:textId="77777777" w:rsidR="003A4C24" w:rsidRDefault="003A4C24" w:rsidP="003A4C24">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3. Safe and strong communities and neighbourhoods</w:t>
            </w:r>
          </w:p>
        </w:tc>
        <w:tc>
          <w:tcPr>
            <w:tcW w:w="1575" w:type="dxa"/>
            <w:shd w:val="clear" w:color="auto" w:fill="9136AF"/>
            <w:vAlign w:val="center"/>
          </w:tcPr>
          <w:p w14:paraId="2374DD2E" w14:textId="6C080040" w:rsidR="003A4C24" w:rsidRPr="00F9201D" w:rsidRDefault="003A4C24" w:rsidP="003A4C24">
            <w:pPr>
              <w:spacing w:before="40" w:after="40" w:line="259" w:lineRule="auto"/>
              <w:jc w:val="center"/>
              <w:rPr>
                <w:rFonts w:ascii="Arial" w:hAnsi="Arial" w:cs="Arial"/>
                <w:b/>
                <w:bCs/>
                <w:color w:val="FFFFFF" w:themeColor="background1"/>
              </w:rPr>
            </w:pPr>
            <w:r w:rsidRPr="00F9201D">
              <w:rPr>
                <w:rFonts w:ascii="Arial" w:eastAsia="Arial" w:hAnsi="Arial" w:cs="Arial"/>
                <w:b/>
                <w:bCs/>
                <w:color w:val="FFFFFF" w:themeColor="background1"/>
              </w:rPr>
              <w:t>14</w:t>
            </w:r>
          </w:p>
        </w:tc>
        <w:tc>
          <w:tcPr>
            <w:tcW w:w="1620" w:type="dxa"/>
            <w:shd w:val="clear" w:color="auto" w:fill="9136AF"/>
            <w:vAlign w:val="center"/>
          </w:tcPr>
          <w:p w14:paraId="5555E562" w14:textId="05A93E9D" w:rsidR="003A4C24" w:rsidRPr="00F9201D" w:rsidRDefault="003A4C24" w:rsidP="003A4C24">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71% (10)</w:t>
            </w:r>
          </w:p>
        </w:tc>
        <w:tc>
          <w:tcPr>
            <w:tcW w:w="1545" w:type="dxa"/>
            <w:shd w:val="clear" w:color="auto" w:fill="9136AF"/>
            <w:vAlign w:val="center"/>
          </w:tcPr>
          <w:p w14:paraId="5B4DB8DE" w14:textId="008FBC1E" w:rsidR="003A4C24" w:rsidRPr="00F9201D" w:rsidRDefault="003A4C24" w:rsidP="003A4C24">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0% (0)</w:t>
            </w:r>
          </w:p>
        </w:tc>
        <w:tc>
          <w:tcPr>
            <w:tcW w:w="1530" w:type="dxa"/>
            <w:shd w:val="clear" w:color="auto" w:fill="9136AF"/>
            <w:vAlign w:val="center"/>
          </w:tcPr>
          <w:p w14:paraId="4FB9F570" w14:textId="4F0B6A74" w:rsidR="003A4C24" w:rsidRPr="00F9201D" w:rsidRDefault="003A4C24" w:rsidP="003A4C24">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29% (4)</w:t>
            </w:r>
          </w:p>
        </w:tc>
      </w:tr>
      <w:tr w:rsidR="00756A05" w14:paraId="6FE683BC" w14:textId="77777777" w:rsidTr="00F01C49">
        <w:trPr>
          <w:jc w:val="center"/>
        </w:trPr>
        <w:tc>
          <w:tcPr>
            <w:tcW w:w="3180" w:type="dxa"/>
            <w:shd w:val="clear" w:color="auto" w:fill="8B3C45"/>
          </w:tcPr>
          <w:p w14:paraId="0A3A938D" w14:textId="77777777" w:rsidR="00756A05" w:rsidRDefault="00756A05" w:rsidP="00756A05">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4. Strong, thriving, inclusive and well-connected economy </w:t>
            </w:r>
          </w:p>
        </w:tc>
        <w:tc>
          <w:tcPr>
            <w:tcW w:w="1575" w:type="dxa"/>
            <w:shd w:val="clear" w:color="auto" w:fill="8B3C45"/>
            <w:vAlign w:val="center"/>
          </w:tcPr>
          <w:p w14:paraId="043B5135" w14:textId="121E3FBC" w:rsidR="00756A05" w:rsidRPr="00916F03" w:rsidRDefault="00756A05" w:rsidP="00756A05">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9</w:t>
            </w:r>
          </w:p>
        </w:tc>
        <w:tc>
          <w:tcPr>
            <w:tcW w:w="1620" w:type="dxa"/>
            <w:shd w:val="clear" w:color="auto" w:fill="8B3C45"/>
            <w:vAlign w:val="center"/>
          </w:tcPr>
          <w:p w14:paraId="72A70E94" w14:textId="1BFAD99A" w:rsidR="00756A05" w:rsidRPr="00916F03" w:rsidRDefault="00756A05" w:rsidP="00756A05">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67% (6)</w:t>
            </w:r>
          </w:p>
        </w:tc>
        <w:tc>
          <w:tcPr>
            <w:tcW w:w="1545" w:type="dxa"/>
            <w:shd w:val="clear" w:color="auto" w:fill="8B3C45"/>
            <w:vAlign w:val="center"/>
          </w:tcPr>
          <w:p w14:paraId="0DE74A0A" w14:textId="58316882" w:rsidR="00756A05" w:rsidRPr="00916F03" w:rsidRDefault="00756A05" w:rsidP="00756A05">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33% (3)</w:t>
            </w:r>
          </w:p>
        </w:tc>
        <w:tc>
          <w:tcPr>
            <w:tcW w:w="1530" w:type="dxa"/>
            <w:shd w:val="clear" w:color="auto" w:fill="8B3C45"/>
            <w:vAlign w:val="center"/>
          </w:tcPr>
          <w:p w14:paraId="7D102849" w14:textId="14ED5C12" w:rsidR="00756A05" w:rsidRPr="00916F03" w:rsidRDefault="00756A05" w:rsidP="00756A05">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0% (0)</w:t>
            </w:r>
          </w:p>
        </w:tc>
      </w:tr>
      <w:tr w:rsidR="005725A1" w14:paraId="472C3D68" w14:textId="77777777" w:rsidTr="00F01C49">
        <w:trPr>
          <w:jc w:val="center"/>
        </w:trPr>
        <w:tc>
          <w:tcPr>
            <w:tcW w:w="3180" w:type="dxa"/>
            <w:shd w:val="clear" w:color="auto" w:fill="5EAA41"/>
          </w:tcPr>
          <w:p w14:paraId="7958B004" w14:textId="77777777" w:rsidR="005725A1" w:rsidRDefault="005725A1" w:rsidP="005725A1">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5. Green and vibrant places reflecting our heritage and culture </w:t>
            </w:r>
          </w:p>
        </w:tc>
        <w:tc>
          <w:tcPr>
            <w:tcW w:w="1575" w:type="dxa"/>
            <w:shd w:val="clear" w:color="auto" w:fill="5EAA41"/>
            <w:vAlign w:val="center"/>
          </w:tcPr>
          <w:p w14:paraId="5A6578DF" w14:textId="3AA3D5AA" w:rsidR="005725A1" w:rsidRPr="00F9201D" w:rsidRDefault="005725A1" w:rsidP="005725A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8</w:t>
            </w:r>
          </w:p>
        </w:tc>
        <w:tc>
          <w:tcPr>
            <w:tcW w:w="1620" w:type="dxa"/>
            <w:shd w:val="clear" w:color="auto" w:fill="5EAA41"/>
            <w:vAlign w:val="center"/>
          </w:tcPr>
          <w:p w14:paraId="01DAE0C0" w14:textId="10F1F284" w:rsidR="005725A1" w:rsidRPr="00F9201D" w:rsidRDefault="005725A1" w:rsidP="005725A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88% (7)</w:t>
            </w:r>
          </w:p>
        </w:tc>
        <w:tc>
          <w:tcPr>
            <w:tcW w:w="1545" w:type="dxa"/>
            <w:shd w:val="clear" w:color="auto" w:fill="5EAA41"/>
            <w:vAlign w:val="center"/>
          </w:tcPr>
          <w:p w14:paraId="44ECE224" w14:textId="479E52A9" w:rsidR="005725A1" w:rsidRPr="00F9201D" w:rsidRDefault="005725A1" w:rsidP="005725A1">
            <w:pPr>
              <w:spacing w:before="40" w:after="40" w:line="259" w:lineRule="auto"/>
              <w:jc w:val="center"/>
              <w:rPr>
                <w:rFonts w:ascii="Arial" w:hAnsi="Arial" w:cs="Arial"/>
                <w:b/>
                <w:bCs/>
                <w:color w:val="FFFFFF" w:themeColor="background1"/>
              </w:rPr>
            </w:pPr>
            <w:r w:rsidRPr="00F9201D">
              <w:rPr>
                <w:rFonts w:ascii="Arial" w:eastAsia="Arial" w:hAnsi="Arial" w:cs="Arial"/>
                <w:b/>
                <w:bCs/>
                <w:color w:val="FFFFFF" w:themeColor="background1"/>
              </w:rPr>
              <w:t>12% (1)</w:t>
            </w:r>
          </w:p>
        </w:tc>
        <w:tc>
          <w:tcPr>
            <w:tcW w:w="1530" w:type="dxa"/>
            <w:shd w:val="clear" w:color="auto" w:fill="5EAA41"/>
            <w:vAlign w:val="center"/>
          </w:tcPr>
          <w:p w14:paraId="4EAC685B" w14:textId="7126ABB0" w:rsidR="005725A1" w:rsidRPr="00F9201D" w:rsidRDefault="005725A1" w:rsidP="005725A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0% (0)</w:t>
            </w:r>
          </w:p>
        </w:tc>
      </w:tr>
      <w:tr w:rsidR="004E0DB0" w14:paraId="16839343" w14:textId="77777777" w:rsidTr="00161C99">
        <w:trPr>
          <w:trHeight w:val="651"/>
          <w:jc w:val="center"/>
        </w:trPr>
        <w:tc>
          <w:tcPr>
            <w:tcW w:w="3180" w:type="dxa"/>
            <w:shd w:val="clear" w:color="auto" w:fill="C85348"/>
          </w:tcPr>
          <w:p w14:paraId="073C8A2A" w14:textId="77777777" w:rsidR="004E0DB0" w:rsidRDefault="004E0DB0" w:rsidP="004E0DB0">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6. Responsible Council</w:t>
            </w:r>
          </w:p>
        </w:tc>
        <w:tc>
          <w:tcPr>
            <w:tcW w:w="1575" w:type="dxa"/>
            <w:shd w:val="clear" w:color="auto" w:fill="C85348"/>
            <w:vAlign w:val="center"/>
          </w:tcPr>
          <w:p w14:paraId="388D1665" w14:textId="0B1A4E4D"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15</w:t>
            </w:r>
          </w:p>
        </w:tc>
        <w:tc>
          <w:tcPr>
            <w:tcW w:w="1620" w:type="dxa"/>
            <w:shd w:val="clear" w:color="auto" w:fill="C85348"/>
            <w:vAlign w:val="center"/>
          </w:tcPr>
          <w:p w14:paraId="17A0EFD2" w14:textId="64147378"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67%* (10)</w:t>
            </w:r>
          </w:p>
        </w:tc>
        <w:tc>
          <w:tcPr>
            <w:tcW w:w="1545" w:type="dxa"/>
            <w:shd w:val="clear" w:color="auto" w:fill="C85348"/>
            <w:vAlign w:val="center"/>
          </w:tcPr>
          <w:p w14:paraId="141CF793" w14:textId="0650D88E"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7%* (1)</w:t>
            </w:r>
          </w:p>
        </w:tc>
        <w:tc>
          <w:tcPr>
            <w:tcW w:w="1530" w:type="dxa"/>
            <w:shd w:val="clear" w:color="auto" w:fill="C85348"/>
            <w:vAlign w:val="center"/>
          </w:tcPr>
          <w:p w14:paraId="3652834B" w14:textId="4FE86F7B"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27%* (4)</w:t>
            </w:r>
          </w:p>
        </w:tc>
      </w:tr>
      <w:tr w:rsidR="00A20D57" w14:paraId="368A3119" w14:textId="77777777" w:rsidTr="00B8AFBC">
        <w:trPr>
          <w:jc w:val="center"/>
        </w:trPr>
        <w:tc>
          <w:tcPr>
            <w:tcW w:w="3180" w:type="dxa"/>
          </w:tcPr>
          <w:p w14:paraId="50B541F6" w14:textId="77777777" w:rsidR="00A20D57" w:rsidRDefault="00A20D57" w:rsidP="00A20D57">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Total</w:t>
            </w:r>
          </w:p>
        </w:tc>
        <w:tc>
          <w:tcPr>
            <w:tcW w:w="1575" w:type="dxa"/>
            <w:vAlign w:val="center"/>
          </w:tcPr>
          <w:p w14:paraId="54B0654A" w14:textId="199A1A46" w:rsidR="00A20D57" w:rsidRPr="00C60AA1" w:rsidRDefault="00A20D57" w:rsidP="00A20D57">
            <w:pPr>
              <w:spacing w:before="40" w:after="40" w:line="259" w:lineRule="auto"/>
              <w:jc w:val="center"/>
              <w:rPr>
                <w:rFonts w:ascii="Arial" w:eastAsia="Arial" w:hAnsi="Arial" w:cs="Arial"/>
                <w:b/>
              </w:rPr>
            </w:pPr>
            <w:r w:rsidRPr="00C60AA1">
              <w:rPr>
                <w:rFonts w:ascii="Arial" w:eastAsia="Arial" w:hAnsi="Arial" w:cs="Arial"/>
                <w:b/>
                <w:bCs/>
              </w:rPr>
              <w:t>8</w:t>
            </w:r>
            <w:r w:rsidR="00E2784C" w:rsidRPr="00C60AA1">
              <w:rPr>
                <w:rFonts w:ascii="Arial" w:eastAsia="Arial" w:hAnsi="Arial" w:cs="Arial"/>
                <w:b/>
                <w:bCs/>
              </w:rPr>
              <w:t>6</w:t>
            </w:r>
          </w:p>
        </w:tc>
        <w:tc>
          <w:tcPr>
            <w:tcW w:w="1620" w:type="dxa"/>
            <w:vAlign w:val="center"/>
          </w:tcPr>
          <w:p w14:paraId="0E2AA971" w14:textId="0DAB6968" w:rsidR="00A20D57" w:rsidRPr="00C60AA1" w:rsidRDefault="00DC1BE7" w:rsidP="00A20D57">
            <w:pPr>
              <w:spacing w:before="40" w:after="40" w:line="259" w:lineRule="auto"/>
              <w:jc w:val="center"/>
              <w:rPr>
                <w:rFonts w:ascii="Arial" w:eastAsia="Arial" w:hAnsi="Arial" w:cs="Arial"/>
                <w:b/>
              </w:rPr>
            </w:pPr>
            <w:r>
              <w:rPr>
                <w:rFonts w:ascii="Arial" w:eastAsia="Arial" w:hAnsi="Arial" w:cs="Arial"/>
                <w:b/>
                <w:bCs/>
              </w:rPr>
              <w:t>62</w:t>
            </w:r>
            <w:r w:rsidR="00A20D57" w:rsidRPr="00C60AA1">
              <w:rPr>
                <w:rFonts w:ascii="Arial" w:eastAsia="Arial" w:hAnsi="Arial" w:cs="Arial"/>
                <w:b/>
                <w:bCs/>
              </w:rPr>
              <w:t>% (</w:t>
            </w:r>
            <w:r w:rsidR="00D85BD6" w:rsidRPr="00C60AA1">
              <w:rPr>
                <w:rFonts w:ascii="Arial" w:eastAsia="Arial" w:hAnsi="Arial" w:cs="Arial"/>
                <w:b/>
                <w:bCs/>
              </w:rPr>
              <w:t>5</w:t>
            </w:r>
            <w:r w:rsidR="00DA447F">
              <w:rPr>
                <w:rFonts w:ascii="Arial" w:eastAsia="Arial" w:hAnsi="Arial" w:cs="Arial"/>
                <w:b/>
                <w:bCs/>
              </w:rPr>
              <w:t>3</w:t>
            </w:r>
            <w:r w:rsidR="00A20D57" w:rsidRPr="00C60AA1">
              <w:rPr>
                <w:rFonts w:ascii="Arial" w:eastAsia="Arial" w:hAnsi="Arial" w:cs="Arial"/>
                <w:b/>
                <w:bCs/>
              </w:rPr>
              <w:t>)</w:t>
            </w:r>
          </w:p>
        </w:tc>
        <w:tc>
          <w:tcPr>
            <w:tcW w:w="1545" w:type="dxa"/>
            <w:vAlign w:val="center"/>
          </w:tcPr>
          <w:p w14:paraId="15B31A90" w14:textId="1BA2814D" w:rsidR="00A20D57" w:rsidRPr="00C60AA1" w:rsidRDefault="00B9475D" w:rsidP="00A20D57">
            <w:pPr>
              <w:spacing w:before="40" w:after="40" w:line="259" w:lineRule="auto"/>
              <w:jc w:val="center"/>
              <w:rPr>
                <w:rFonts w:ascii="Arial" w:eastAsia="Arial" w:hAnsi="Arial" w:cs="Arial"/>
                <w:b/>
              </w:rPr>
            </w:pPr>
            <w:r>
              <w:rPr>
                <w:rFonts w:ascii="Arial" w:eastAsia="Arial" w:hAnsi="Arial" w:cs="Arial"/>
                <w:b/>
                <w:bCs/>
              </w:rPr>
              <w:t>17</w:t>
            </w:r>
            <w:r w:rsidR="00A20D57" w:rsidRPr="00C60AA1">
              <w:rPr>
                <w:rFonts w:ascii="Arial" w:eastAsia="Arial" w:hAnsi="Arial" w:cs="Arial"/>
                <w:b/>
                <w:bCs/>
              </w:rPr>
              <w:t>% (</w:t>
            </w:r>
            <w:r w:rsidR="000E5979" w:rsidRPr="00C60AA1">
              <w:rPr>
                <w:rFonts w:ascii="Arial" w:eastAsia="Arial" w:hAnsi="Arial" w:cs="Arial"/>
                <w:b/>
              </w:rPr>
              <w:t>1</w:t>
            </w:r>
            <w:r w:rsidR="00DA447F">
              <w:rPr>
                <w:rFonts w:ascii="Arial" w:eastAsia="Arial" w:hAnsi="Arial" w:cs="Arial"/>
                <w:b/>
              </w:rPr>
              <w:t>5</w:t>
            </w:r>
            <w:r w:rsidR="00A20D57" w:rsidRPr="00C60AA1">
              <w:rPr>
                <w:rFonts w:ascii="Arial" w:eastAsia="Arial" w:hAnsi="Arial" w:cs="Arial"/>
                <w:b/>
              </w:rPr>
              <w:t>)</w:t>
            </w:r>
          </w:p>
        </w:tc>
        <w:tc>
          <w:tcPr>
            <w:tcW w:w="1530" w:type="dxa"/>
            <w:vAlign w:val="center"/>
          </w:tcPr>
          <w:p w14:paraId="130EB6DE" w14:textId="6137149F" w:rsidR="00A20D57" w:rsidRPr="00C60AA1" w:rsidRDefault="00C60AA1" w:rsidP="00A20D57">
            <w:pPr>
              <w:spacing w:before="40" w:after="40" w:line="259" w:lineRule="auto"/>
              <w:jc w:val="center"/>
              <w:rPr>
                <w:rFonts w:ascii="Arial" w:eastAsia="Arial" w:hAnsi="Arial" w:cs="Arial"/>
                <w:b/>
              </w:rPr>
            </w:pPr>
            <w:r w:rsidRPr="00C60AA1">
              <w:rPr>
                <w:rFonts w:ascii="Arial" w:eastAsia="Arial" w:hAnsi="Arial" w:cs="Arial"/>
                <w:b/>
                <w:bCs/>
              </w:rPr>
              <w:t>21</w:t>
            </w:r>
            <w:r w:rsidR="00A20D57" w:rsidRPr="00C60AA1">
              <w:rPr>
                <w:rFonts w:ascii="Arial" w:eastAsia="Arial" w:hAnsi="Arial" w:cs="Arial"/>
                <w:b/>
                <w:bCs/>
              </w:rPr>
              <w:t>% (1</w:t>
            </w:r>
            <w:r w:rsidR="0066314E" w:rsidRPr="00C60AA1">
              <w:rPr>
                <w:rFonts w:ascii="Arial" w:eastAsia="Arial" w:hAnsi="Arial" w:cs="Arial"/>
                <w:b/>
                <w:bCs/>
              </w:rPr>
              <w:t>8</w:t>
            </w:r>
            <w:r w:rsidR="00A20D57" w:rsidRPr="00C60AA1">
              <w:rPr>
                <w:rFonts w:ascii="Arial" w:eastAsia="Arial" w:hAnsi="Arial" w:cs="Arial"/>
                <w:b/>
                <w:bCs/>
              </w:rPr>
              <w:t>)</w:t>
            </w:r>
          </w:p>
        </w:tc>
      </w:tr>
    </w:tbl>
    <w:p w14:paraId="6BB406C1" w14:textId="723E3AD7" w:rsidR="00333104" w:rsidRDefault="00333104" w:rsidP="00333104">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NB – * percentages have been rounded to nearest whole number</w:t>
      </w:r>
    </w:p>
    <w:p w14:paraId="6E8A6CBD" w14:textId="42A7FE5E" w:rsidR="00B0379D" w:rsidRDefault="00E75E6D" w:rsidP="00B0379D">
      <w:pPr>
        <w:spacing w:before="120" w:after="0" w:line="240" w:lineRule="auto"/>
        <w:jc w:val="both"/>
        <w:rPr>
          <w:rFonts w:ascii="Arial" w:hAnsi="Arial" w:cs="Arial"/>
        </w:rPr>
      </w:pPr>
      <w:r w:rsidRPr="51CFC542">
        <w:rPr>
          <w:rFonts w:ascii="Arial" w:hAnsi="Arial" w:cs="Arial"/>
        </w:rPr>
        <w:t>A list</w:t>
      </w:r>
      <w:r>
        <w:rPr>
          <w:rFonts w:ascii="Arial" w:hAnsi="Arial" w:cs="Arial"/>
        </w:rPr>
        <w:t>ing</w:t>
      </w:r>
      <w:r w:rsidRPr="51CFC542">
        <w:rPr>
          <w:rFonts w:ascii="Arial" w:hAnsi="Arial" w:cs="Arial"/>
        </w:rPr>
        <w:t xml:space="preserve"> of indicators</w:t>
      </w:r>
      <w:r>
        <w:rPr>
          <w:rFonts w:ascii="Arial" w:hAnsi="Arial" w:cs="Arial"/>
        </w:rPr>
        <w:t>,</w:t>
      </w:r>
      <w:r w:rsidRPr="51CFC542">
        <w:rPr>
          <w:rFonts w:ascii="Arial" w:hAnsi="Arial" w:cs="Arial"/>
        </w:rPr>
        <w:t xml:space="preserve"> which have met or exceeded target, have met within 95% of target, or have failed to meet target by more than 5% are shown </w:t>
      </w:r>
      <w:r>
        <w:rPr>
          <w:rFonts w:ascii="Arial" w:hAnsi="Arial" w:cs="Arial"/>
        </w:rPr>
        <w:t>within each of the 6 priority scorecards</w:t>
      </w:r>
      <w:r w:rsidRPr="51CFC542">
        <w:rPr>
          <w:rFonts w:ascii="Arial" w:hAnsi="Arial" w:cs="Arial"/>
        </w:rPr>
        <w:t xml:space="preserve">. </w:t>
      </w:r>
    </w:p>
    <w:p w14:paraId="4F7A74A3" w14:textId="77777777" w:rsidR="00B0379D" w:rsidRDefault="00B0379D" w:rsidP="00B0379D">
      <w:pPr>
        <w:spacing w:after="120" w:line="240" w:lineRule="auto"/>
        <w:rPr>
          <w:rFonts w:ascii="Arial" w:hAnsi="Arial" w:cs="Arial"/>
        </w:rPr>
      </w:pPr>
    </w:p>
    <w:p w14:paraId="27D9734C" w14:textId="77777777" w:rsidR="00B0379D" w:rsidRPr="003C26C9" w:rsidRDefault="00E75E6D" w:rsidP="00B0379D">
      <w:pPr>
        <w:pStyle w:val="Heading2"/>
        <w:spacing w:before="120" w:after="240" w:line="240" w:lineRule="auto"/>
        <w:rPr>
          <w:b/>
          <w:color w:val="000000" w:themeColor="text1"/>
          <w:sz w:val="24"/>
          <w:szCs w:val="24"/>
        </w:rPr>
      </w:pPr>
      <w:bookmarkStart w:id="6" w:name="_Toc174698094"/>
      <w:r w:rsidRPr="003C26C9">
        <w:rPr>
          <w:b/>
          <w:color w:val="000000" w:themeColor="text1"/>
          <w:sz w:val="24"/>
          <w:szCs w:val="24"/>
        </w:rPr>
        <w:t>4.2 The Performance Trend</w:t>
      </w:r>
      <w:bookmarkEnd w:id="6"/>
    </w:p>
    <w:p w14:paraId="5C28FB88" w14:textId="27E457B4" w:rsidR="00B0379D" w:rsidRPr="005958A2" w:rsidRDefault="00E75E6D" w:rsidP="00B0379D">
      <w:pPr>
        <w:spacing w:after="120" w:line="240" w:lineRule="auto"/>
        <w:jc w:val="both"/>
        <w:rPr>
          <w:rFonts w:ascii="Arial" w:hAnsi="Arial" w:cs="Arial"/>
        </w:rPr>
      </w:pPr>
      <w:r w:rsidRPr="00B8AFBC">
        <w:rPr>
          <w:rFonts w:ascii="Arial" w:hAnsi="Arial" w:cs="Arial"/>
        </w:rPr>
        <w:t xml:space="preserve">This measure compares performance at </w:t>
      </w:r>
      <w:r w:rsidR="00D230E5" w:rsidRPr="00B8AFBC">
        <w:rPr>
          <w:rFonts w:ascii="Arial" w:hAnsi="Arial" w:cs="Arial"/>
        </w:rPr>
        <w:t>Q</w:t>
      </w:r>
      <w:r w:rsidR="00A14BB1">
        <w:rPr>
          <w:rFonts w:ascii="Arial" w:hAnsi="Arial" w:cs="Arial"/>
        </w:rPr>
        <w:t>uarter</w:t>
      </w:r>
      <w:r w:rsidR="00D230E5" w:rsidRPr="00B8AFBC">
        <w:rPr>
          <w:rFonts w:ascii="Arial" w:hAnsi="Arial" w:cs="Arial"/>
        </w:rPr>
        <w:t>1</w:t>
      </w:r>
      <w:r w:rsidRPr="00B8AFBC">
        <w:rPr>
          <w:rFonts w:ascii="Arial" w:hAnsi="Arial" w:cs="Arial"/>
        </w:rPr>
        <w:t xml:space="preserve"> 202</w:t>
      </w:r>
      <w:r w:rsidR="00472C8F">
        <w:rPr>
          <w:rFonts w:ascii="Arial" w:hAnsi="Arial" w:cs="Arial"/>
        </w:rPr>
        <w:t>4</w:t>
      </w:r>
      <w:r w:rsidR="00E13B98">
        <w:rPr>
          <w:rFonts w:ascii="Arial" w:hAnsi="Arial" w:cs="Arial"/>
        </w:rPr>
        <w:t>-</w:t>
      </w:r>
      <w:r w:rsidR="004877E4">
        <w:rPr>
          <w:rFonts w:ascii="Arial" w:hAnsi="Arial" w:cs="Arial"/>
        </w:rPr>
        <w:t>2</w:t>
      </w:r>
      <w:r w:rsidR="00472C8F">
        <w:rPr>
          <w:rFonts w:ascii="Arial" w:hAnsi="Arial" w:cs="Arial"/>
        </w:rPr>
        <w:t>5</w:t>
      </w:r>
      <w:r w:rsidRPr="00B8AFBC">
        <w:rPr>
          <w:rFonts w:ascii="Arial" w:hAnsi="Arial" w:cs="Arial"/>
        </w:rPr>
        <w:t xml:space="preserve"> with performance at </w:t>
      </w:r>
      <w:r w:rsidR="00D230E5" w:rsidRPr="00B8AFBC">
        <w:rPr>
          <w:rFonts w:ascii="Arial" w:hAnsi="Arial" w:cs="Arial"/>
        </w:rPr>
        <w:t>Q</w:t>
      </w:r>
      <w:r w:rsidR="00A14BB1">
        <w:rPr>
          <w:rFonts w:ascii="Arial" w:hAnsi="Arial" w:cs="Arial"/>
        </w:rPr>
        <w:t xml:space="preserve">uarter </w:t>
      </w:r>
      <w:r w:rsidR="00D230E5" w:rsidRPr="00B8AFBC">
        <w:rPr>
          <w:rFonts w:ascii="Arial" w:hAnsi="Arial" w:cs="Arial"/>
        </w:rPr>
        <w:t xml:space="preserve">1 </w:t>
      </w:r>
      <w:r w:rsidR="004877E4" w:rsidRPr="00B8AFBC">
        <w:rPr>
          <w:rFonts w:ascii="Arial" w:hAnsi="Arial" w:cs="Arial"/>
        </w:rPr>
        <w:t>202</w:t>
      </w:r>
      <w:r w:rsidR="00472C8F">
        <w:rPr>
          <w:rFonts w:ascii="Arial" w:hAnsi="Arial" w:cs="Arial"/>
        </w:rPr>
        <w:t>3</w:t>
      </w:r>
      <w:r w:rsidR="00E13B98">
        <w:rPr>
          <w:rFonts w:ascii="Arial" w:hAnsi="Arial" w:cs="Arial"/>
        </w:rPr>
        <w:t>-</w:t>
      </w:r>
      <w:r w:rsidR="004877E4" w:rsidRPr="00B8AFBC">
        <w:rPr>
          <w:rFonts w:ascii="Arial" w:hAnsi="Arial" w:cs="Arial"/>
        </w:rPr>
        <w:t>2</w:t>
      </w:r>
      <w:r w:rsidR="00472C8F">
        <w:rPr>
          <w:rFonts w:ascii="Arial" w:hAnsi="Arial" w:cs="Arial"/>
        </w:rPr>
        <w:t>4</w:t>
      </w:r>
      <w:r w:rsidR="004877E4" w:rsidRPr="00B8AFBC">
        <w:rPr>
          <w:rFonts w:ascii="Arial" w:hAnsi="Arial" w:cs="Arial"/>
        </w:rPr>
        <w:t xml:space="preserve"> </w:t>
      </w:r>
      <w:r w:rsidRPr="00B8AFBC">
        <w:rPr>
          <w:rFonts w:ascii="Arial" w:hAnsi="Arial" w:cs="Arial"/>
        </w:rPr>
        <w:t>by setting out:</w:t>
      </w:r>
    </w:p>
    <w:p w14:paraId="2B4670D7" w14:textId="77777777" w:rsidR="00B0379D" w:rsidRPr="005958A2" w:rsidRDefault="00E75E6D" w:rsidP="00726825">
      <w:pPr>
        <w:pStyle w:val="ListParagraph"/>
        <w:numPr>
          <w:ilvl w:val="0"/>
          <w:numId w:val="13"/>
        </w:numPr>
        <w:spacing w:after="120" w:line="240" w:lineRule="auto"/>
        <w:contextualSpacing w:val="0"/>
        <w:jc w:val="both"/>
        <w:rPr>
          <w:rFonts w:ascii="Arial" w:hAnsi="Arial" w:cs="Arial"/>
        </w:rPr>
      </w:pPr>
      <w:r w:rsidRPr="4276CE28">
        <w:rPr>
          <w:rFonts w:ascii="Arial" w:hAnsi="Arial" w:cs="Arial"/>
        </w:rPr>
        <w:t>The percentage of indicators where performance compared to last year has improved.</w:t>
      </w:r>
    </w:p>
    <w:p w14:paraId="4863B92D" w14:textId="77777777" w:rsidR="00B0379D" w:rsidRPr="005958A2" w:rsidRDefault="00E75E6D" w:rsidP="00726825">
      <w:pPr>
        <w:pStyle w:val="ListParagraph"/>
        <w:numPr>
          <w:ilvl w:val="0"/>
          <w:numId w:val="13"/>
        </w:numPr>
        <w:spacing w:after="120" w:line="240" w:lineRule="auto"/>
        <w:contextualSpacing w:val="0"/>
        <w:jc w:val="both"/>
        <w:rPr>
          <w:rFonts w:ascii="Arial" w:hAnsi="Arial" w:cs="Arial"/>
        </w:rPr>
      </w:pPr>
      <w:r w:rsidRPr="4276CE28">
        <w:rPr>
          <w:rFonts w:ascii="Arial" w:hAnsi="Arial" w:cs="Arial"/>
        </w:rPr>
        <w:t>The percentage of indicators where performance compared to last year has declined.</w:t>
      </w:r>
    </w:p>
    <w:p w14:paraId="34C3E1B8" w14:textId="77777777" w:rsidR="00B0379D" w:rsidRPr="005958A2" w:rsidRDefault="00E75E6D" w:rsidP="00726825">
      <w:pPr>
        <w:pStyle w:val="ListParagraph"/>
        <w:numPr>
          <w:ilvl w:val="0"/>
          <w:numId w:val="13"/>
        </w:numPr>
        <w:spacing w:after="120" w:line="240" w:lineRule="auto"/>
        <w:contextualSpacing w:val="0"/>
        <w:jc w:val="both"/>
        <w:rPr>
          <w:rFonts w:ascii="Arial" w:hAnsi="Arial" w:cs="Arial"/>
        </w:rPr>
      </w:pPr>
      <w:r w:rsidRPr="4276CE28">
        <w:rPr>
          <w:rFonts w:ascii="Arial" w:hAnsi="Arial" w:cs="Arial"/>
        </w:rPr>
        <w:t>The percentage of indicators where performance compared to last year is the same.</w:t>
      </w:r>
    </w:p>
    <w:p w14:paraId="59B718AC" w14:textId="77777777" w:rsidR="00B0379D" w:rsidRDefault="00E75E6D" w:rsidP="00B0379D">
      <w:pPr>
        <w:spacing w:after="120" w:line="240" w:lineRule="auto"/>
        <w:jc w:val="both"/>
        <w:rPr>
          <w:rFonts w:ascii="Arial" w:hAnsi="Arial" w:cs="Arial"/>
        </w:rPr>
      </w:pPr>
      <w:r w:rsidRPr="117BB052">
        <w:rPr>
          <w:rFonts w:ascii="Arial" w:hAnsi="Arial" w:cs="Arial"/>
        </w:rPr>
        <w:t>In the supporting scorecards for each priority a black arrow pointing up, downwards or sideways is used to depict indicators in each of the above 3 scenarios.</w:t>
      </w:r>
      <w:r>
        <w:rPr>
          <w:rFonts w:ascii="Arial" w:hAnsi="Arial" w:cs="Arial"/>
        </w:rPr>
        <w:t xml:space="preserve"> </w:t>
      </w:r>
    </w:p>
    <w:p w14:paraId="603A6D9A" w14:textId="1AFDB48C" w:rsidR="00B0379D" w:rsidRDefault="00E75E6D" w:rsidP="00B0379D">
      <w:pPr>
        <w:spacing w:after="120" w:line="240" w:lineRule="auto"/>
        <w:rPr>
          <w:rFonts w:ascii="Arial" w:hAnsi="Arial" w:cs="Arial"/>
        </w:rPr>
      </w:pPr>
      <w:r w:rsidRPr="00B8AFBC">
        <w:rPr>
          <w:rFonts w:ascii="Arial" w:hAnsi="Arial" w:cs="Arial"/>
        </w:rPr>
        <w:t xml:space="preserve">NB. </w:t>
      </w:r>
      <w:r w:rsidRPr="00B57EF6">
        <w:rPr>
          <w:rFonts w:ascii="Arial" w:hAnsi="Arial" w:cs="Arial"/>
        </w:rPr>
        <w:t xml:space="preserve">There are a </w:t>
      </w:r>
      <w:r w:rsidR="00F71909" w:rsidRPr="00B57EF6">
        <w:rPr>
          <w:rFonts w:ascii="Arial" w:hAnsi="Arial" w:cs="Arial"/>
        </w:rPr>
        <w:t>small number of</w:t>
      </w:r>
      <w:r w:rsidRPr="00B57EF6">
        <w:rPr>
          <w:rFonts w:ascii="Arial" w:hAnsi="Arial" w:cs="Arial"/>
        </w:rPr>
        <w:t xml:space="preserve"> indicators for 202</w:t>
      </w:r>
      <w:r w:rsidR="00147B56" w:rsidRPr="00B57EF6">
        <w:rPr>
          <w:rFonts w:ascii="Arial" w:hAnsi="Arial" w:cs="Arial"/>
        </w:rPr>
        <w:t>4</w:t>
      </w:r>
      <w:r w:rsidR="00E13B98" w:rsidRPr="00B57EF6">
        <w:rPr>
          <w:rFonts w:ascii="Arial" w:hAnsi="Arial" w:cs="Arial"/>
        </w:rPr>
        <w:t>-</w:t>
      </w:r>
      <w:r w:rsidR="004877E4" w:rsidRPr="00B57EF6">
        <w:rPr>
          <w:rFonts w:ascii="Arial" w:hAnsi="Arial" w:cs="Arial"/>
        </w:rPr>
        <w:t>2</w:t>
      </w:r>
      <w:r w:rsidR="00147B56" w:rsidRPr="00B57EF6">
        <w:rPr>
          <w:rFonts w:ascii="Arial" w:hAnsi="Arial" w:cs="Arial"/>
        </w:rPr>
        <w:t>5</w:t>
      </w:r>
      <w:r w:rsidRPr="00B57EF6">
        <w:rPr>
          <w:rFonts w:ascii="Arial" w:hAnsi="Arial" w:cs="Arial"/>
        </w:rPr>
        <w:t xml:space="preserve">, where performance data in </w:t>
      </w:r>
      <w:r w:rsidR="004877E4" w:rsidRPr="00B57EF6">
        <w:rPr>
          <w:rFonts w:ascii="Arial" w:hAnsi="Arial" w:cs="Arial"/>
        </w:rPr>
        <w:t>202</w:t>
      </w:r>
      <w:r w:rsidR="00147B56" w:rsidRPr="00B57EF6">
        <w:rPr>
          <w:rFonts w:ascii="Arial" w:hAnsi="Arial" w:cs="Arial"/>
        </w:rPr>
        <w:t>3</w:t>
      </w:r>
      <w:r w:rsidR="00E13B98" w:rsidRPr="00B57EF6">
        <w:rPr>
          <w:rFonts w:ascii="Arial" w:hAnsi="Arial" w:cs="Arial"/>
        </w:rPr>
        <w:t>-</w:t>
      </w:r>
      <w:r w:rsidR="004877E4" w:rsidRPr="00B57EF6">
        <w:rPr>
          <w:rFonts w:ascii="Arial" w:hAnsi="Arial" w:cs="Arial"/>
        </w:rPr>
        <w:t>2</w:t>
      </w:r>
      <w:r w:rsidR="00147B56" w:rsidRPr="00B57EF6">
        <w:rPr>
          <w:rFonts w:ascii="Arial" w:hAnsi="Arial" w:cs="Arial"/>
        </w:rPr>
        <w:t>4</w:t>
      </w:r>
      <w:r w:rsidR="004877E4" w:rsidRPr="00B57EF6">
        <w:rPr>
          <w:rFonts w:ascii="Arial" w:hAnsi="Arial" w:cs="Arial"/>
        </w:rPr>
        <w:t xml:space="preserve"> </w:t>
      </w:r>
      <w:r w:rsidRPr="00B57EF6">
        <w:rPr>
          <w:rFonts w:ascii="Arial" w:hAnsi="Arial" w:cs="Arial"/>
        </w:rPr>
        <w:t>is not available and therefore it is not possible to show a performance trend.</w:t>
      </w:r>
      <w:r w:rsidR="00F71909" w:rsidRPr="00B57EF6">
        <w:rPr>
          <w:rFonts w:ascii="Arial" w:hAnsi="Arial" w:cs="Arial"/>
        </w:rPr>
        <w:t xml:space="preserve"> Where this is the case N/A </w:t>
      </w:r>
      <w:r w:rsidR="00905191" w:rsidRPr="00B57EF6">
        <w:rPr>
          <w:rFonts w:ascii="Arial" w:hAnsi="Arial" w:cs="Arial"/>
        </w:rPr>
        <w:t>appears.</w:t>
      </w:r>
      <w:r w:rsidRPr="000F689C">
        <w:rPr>
          <w:color w:val="FF0000"/>
        </w:rPr>
        <w:br/>
      </w:r>
    </w:p>
    <w:tbl>
      <w:tblPr>
        <w:tblStyle w:val="TableGrid"/>
        <w:tblW w:w="0" w:type="auto"/>
        <w:jc w:val="center"/>
        <w:tblLayout w:type="fixed"/>
        <w:tblLook w:val="04A0" w:firstRow="1" w:lastRow="0" w:firstColumn="1" w:lastColumn="0" w:noHBand="0" w:noVBand="1"/>
      </w:tblPr>
      <w:tblGrid>
        <w:gridCol w:w="3105"/>
        <w:gridCol w:w="1560"/>
        <w:gridCol w:w="1545"/>
        <w:gridCol w:w="1650"/>
        <w:gridCol w:w="1440"/>
      </w:tblGrid>
      <w:tr w:rsidR="00970157" w14:paraId="0B6D445F" w14:textId="77777777" w:rsidTr="00B8AFBC">
        <w:trPr>
          <w:jc w:val="center"/>
        </w:trPr>
        <w:tc>
          <w:tcPr>
            <w:tcW w:w="3105" w:type="dxa"/>
          </w:tcPr>
          <w:p w14:paraId="3C8B9519"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Priority</w:t>
            </w:r>
          </w:p>
        </w:tc>
        <w:tc>
          <w:tcPr>
            <w:tcW w:w="1560" w:type="dxa"/>
          </w:tcPr>
          <w:p w14:paraId="51E3A5FD"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Number of Indicators</w:t>
            </w:r>
            <w:r w:rsidRPr="00E445A2">
              <w:rPr>
                <w:rFonts w:ascii="Arial" w:eastAsia="Arial" w:hAnsi="Arial" w:cs="Arial"/>
                <w:b/>
                <w:bCs/>
                <w:color w:val="000000" w:themeColor="text1"/>
              </w:rPr>
              <w:t xml:space="preserve"> with data</w:t>
            </w:r>
          </w:p>
        </w:tc>
        <w:tc>
          <w:tcPr>
            <w:tcW w:w="1545" w:type="dxa"/>
          </w:tcPr>
          <w:p w14:paraId="2563C6CF"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improved on last year</w:t>
            </w:r>
          </w:p>
        </w:tc>
        <w:tc>
          <w:tcPr>
            <w:tcW w:w="1650" w:type="dxa"/>
          </w:tcPr>
          <w:p w14:paraId="7FCEBC40"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worse than last year</w:t>
            </w:r>
          </w:p>
        </w:tc>
        <w:tc>
          <w:tcPr>
            <w:tcW w:w="1440" w:type="dxa"/>
          </w:tcPr>
          <w:p w14:paraId="3918E746"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the same as last year</w:t>
            </w:r>
          </w:p>
        </w:tc>
      </w:tr>
      <w:tr w:rsidR="00BB1897" w14:paraId="72C0E582" w14:textId="77777777" w:rsidTr="00F01C49">
        <w:trPr>
          <w:jc w:val="center"/>
        </w:trPr>
        <w:tc>
          <w:tcPr>
            <w:tcW w:w="3105" w:type="dxa"/>
            <w:shd w:val="clear" w:color="auto" w:fill="ED712C"/>
          </w:tcPr>
          <w:p w14:paraId="79E49F1D" w14:textId="77777777" w:rsidR="00BB1897" w:rsidRDefault="00BB1897" w:rsidP="00BB1897">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1. Ensure children and young people have a positive start </w:t>
            </w:r>
          </w:p>
        </w:tc>
        <w:tc>
          <w:tcPr>
            <w:tcW w:w="1560" w:type="dxa"/>
            <w:shd w:val="clear" w:color="auto" w:fill="ED712C"/>
            <w:vAlign w:val="center"/>
          </w:tcPr>
          <w:p w14:paraId="52B91AFD" w14:textId="16AA3506"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21</w:t>
            </w:r>
          </w:p>
        </w:tc>
        <w:tc>
          <w:tcPr>
            <w:tcW w:w="1545" w:type="dxa"/>
            <w:shd w:val="clear" w:color="auto" w:fill="ED712C"/>
            <w:vAlign w:val="center"/>
          </w:tcPr>
          <w:p w14:paraId="224D34B4" w14:textId="7385B138"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62% (13)</w:t>
            </w:r>
          </w:p>
        </w:tc>
        <w:tc>
          <w:tcPr>
            <w:tcW w:w="1650" w:type="dxa"/>
            <w:shd w:val="clear" w:color="auto" w:fill="ED712C"/>
            <w:vAlign w:val="center"/>
          </w:tcPr>
          <w:p w14:paraId="06EB9A3C" w14:textId="120B8026"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33% (7)</w:t>
            </w:r>
          </w:p>
        </w:tc>
        <w:tc>
          <w:tcPr>
            <w:tcW w:w="1440" w:type="dxa"/>
            <w:shd w:val="clear" w:color="auto" w:fill="ED712C"/>
            <w:vAlign w:val="center"/>
          </w:tcPr>
          <w:p w14:paraId="1788B628" w14:textId="555A00AC" w:rsidR="00BB1897" w:rsidRPr="00F9201D" w:rsidRDefault="00BB1897" w:rsidP="00BB189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5% (1)</w:t>
            </w:r>
          </w:p>
        </w:tc>
      </w:tr>
      <w:tr w:rsidR="00761637" w14:paraId="38E38C6B" w14:textId="77777777" w:rsidTr="00F01C49">
        <w:trPr>
          <w:jc w:val="center"/>
        </w:trPr>
        <w:tc>
          <w:tcPr>
            <w:tcW w:w="3105" w:type="dxa"/>
            <w:shd w:val="clear" w:color="auto" w:fill="17B0DE"/>
          </w:tcPr>
          <w:p w14:paraId="6D31A948" w14:textId="77777777" w:rsidR="00761637" w:rsidRDefault="00761637" w:rsidP="00761637">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2. Health, independence, and care </w:t>
            </w:r>
          </w:p>
        </w:tc>
        <w:tc>
          <w:tcPr>
            <w:tcW w:w="1560" w:type="dxa"/>
            <w:shd w:val="clear" w:color="auto" w:fill="17B0DE"/>
            <w:vAlign w:val="center"/>
          </w:tcPr>
          <w:p w14:paraId="25380F24" w14:textId="2035D869" w:rsidR="00761637" w:rsidRPr="00F9201D" w:rsidRDefault="00761637" w:rsidP="0076163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19</w:t>
            </w:r>
          </w:p>
        </w:tc>
        <w:tc>
          <w:tcPr>
            <w:tcW w:w="1545" w:type="dxa"/>
            <w:shd w:val="clear" w:color="auto" w:fill="17B0DE"/>
            <w:vAlign w:val="center"/>
          </w:tcPr>
          <w:p w14:paraId="72A9A5C7" w14:textId="6354E688" w:rsidR="00761637" w:rsidRPr="00F9201D" w:rsidRDefault="00761637" w:rsidP="0076163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32% (6)</w:t>
            </w:r>
          </w:p>
        </w:tc>
        <w:tc>
          <w:tcPr>
            <w:tcW w:w="1650" w:type="dxa"/>
            <w:shd w:val="clear" w:color="auto" w:fill="17B0DE"/>
            <w:vAlign w:val="center"/>
          </w:tcPr>
          <w:p w14:paraId="7149AAFE" w14:textId="2B6F7B67" w:rsidR="00761637" w:rsidRPr="00F9201D" w:rsidRDefault="00761637" w:rsidP="0076163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47% (9)</w:t>
            </w:r>
          </w:p>
        </w:tc>
        <w:tc>
          <w:tcPr>
            <w:tcW w:w="1440" w:type="dxa"/>
            <w:shd w:val="clear" w:color="auto" w:fill="17B0DE"/>
            <w:vAlign w:val="center"/>
          </w:tcPr>
          <w:p w14:paraId="3231BB19" w14:textId="53E8D4E4" w:rsidR="00761637" w:rsidRPr="00F9201D" w:rsidRDefault="00761637" w:rsidP="00761637">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21% (4)</w:t>
            </w:r>
          </w:p>
        </w:tc>
      </w:tr>
      <w:tr w:rsidR="00925DE1" w14:paraId="1EF41790" w14:textId="77777777" w:rsidTr="00F01C49">
        <w:trPr>
          <w:jc w:val="center"/>
        </w:trPr>
        <w:tc>
          <w:tcPr>
            <w:tcW w:w="3105" w:type="dxa"/>
            <w:shd w:val="clear" w:color="auto" w:fill="9136AF"/>
          </w:tcPr>
          <w:p w14:paraId="0C8EB2A6" w14:textId="77777777" w:rsidR="00925DE1" w:rsidRDefault="00925DE1" w:rsidP="00925DE1">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3. Safe and strong communities and neighbourhoods</w:t>
            </w:r>
          </w:p>
        </w:tc>
        <w:tc>
          <w:tcPr>
            <w:tcW w:w="1560" w:type="dxa"/>
            <w:shd w:val="clear" w:color="auto" w:fill="9136AF"/>
            <w:vAlign w:val="center"/>
          </w:tcPr>
          <w:p w14:paraId="5968529C" w14:textId="229ECC15" w:rsidR="00925DE1" w:rsidRPr="00F9201D" w:rsidRDefault="00925DE1" w:rsidP="00925DE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14</w:t>
            </w:r>
          </w:p>
        </w:tc>
        <w:tc>
          <w:tcPr>
            <w:tcW w:w="1545" w:type="dxa"/>
            <w:shd w:val="clear" w:color="auto" w:fill="9136AF"/>
            <w:vAlign w:val="center"/>
          </w:tcPr>
          <w:p w14:paraId="12360F61" w14:textId="6E0FE7E7" w:rsidR="00925DE1" w:rsidRPr="00F9201D" w:rsidRDefault="00925DE1" w:rsidP="00925DE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71% (10)</w:t>
            </w:r>
          </w:p>
        </w:tc>
        <w:tc>
          <w:tcPr>
            <w:tcW w:w="1650" w:type="dxa"/>
            <w:shd w:val="clear" w:color="auto" w:fill="9136AF"/>
            <w:vAlign w:val="center"/>
          </w:tcPr>
          <w:p w14:paraId="3EF8B483" w14:textId="0BDF52C6" w:rsidR="00925DE1" w:rsidRPr="00F9201D" w:rsidRDefault="00925DE1" w:rsidP="00925DE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29% (4)</w:t>
            </w:r>
          </w:p>
        </w:tc>
        <w:tc>
          <w:tcPr>
            <w:tcW w:w="1440" w:type="dxa"/>
            <w:shd w:val="clear" w:color="auto" w:fill="9136AF"/>
            <w:vAlign w:val="center"/>
          </w:tcPr>
          <w:p w14:paraId="6631C8E0" w14:textId="23EF4748" w:rsidR="00925DE1" w:rsidRPr="00F9201D" w:rsidRDefault="00925DE1" w:rsidP="00925DE1">
            <w:pPr>
              <w:spacing w:before="40" w:after="40" w:line="259" w:lineRule="auto"/>
              <w:jc w:val="center"/>
              <w:rPr>
                <w:rFonts w:ascii="Arial" w:eastAsia="Arial" w:hAnsi="Arial" w:cs="Arial"/>
                <w:b/>
                <w:bCs/>
                <w:color w:val="FFFFFF" w:themeColor="background1"/>
              </w:rPr>
            </w:pPr>
            <w:r w:rsidRPr="00F9201D">
              <w:rPr>
                <w:rFonts w:ascii="Arial" w:eastAsia="Arial" w:hAnsi="Arial" w:cs="Arial"/>
                <w:b/>
                <w:bCs/>
                <w:color w:val="FFFFFF" w:themeColor="background1"/>
              </w:rPr>
              <w:t>0% (0)</w:t>
            </w:r>
          </w:p>
        </w:tc>
      </w:tr>
      <w:tr w:rsidR="00916F03" w14:paraId="338C2194" w14:textId="77777777" w:rsidTr="00F01C49">
        <w:trPr>
          <w:jc w:val="center"/>
        </w:trPr>
        <w:tc>
          <w:tcPr>
            <w:tcW w:w="3105" w:type="dxa"/>
            <w:shd w:val="clear" w:color="auto" w:fill="8B3C45"/>
          </w:tcPr>
          <w:p w14:paraId="1538AF28" w14:textId="77777777" w:rsidR="00916F03" w:rsidRDefault="00916F03" w:rsidP="00916F03">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4. Strong, thriving, inclusive and well-connected economy </w:t>
            </w:r>
          </w:p>
        </w:tc>
        <w:tc>
          <w:tcPr>
            <w:tcW w:w="1560" w:type="dxa"/>
            <w:shd w:val="clear" w:color="auto" w:fill="8B3C45"/>
            <w:vAlign w:val="center"/>
          </w:tcPr>
          <w:p w14:paraId="3AA43BB7" w14:textId="3D41A0CB"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9</w:t>
            </w:r>
          </w:p>
        </w:tc>
        <w:tc>
          <w:tcPr>
            <w:tcW w:w="1545" w:type="dxa"/>
            <w:shd w:val="clear" w:color="auto" w:fill="8B3C45"/>
            <w:vAlign w:val="center"/>
          </w:tcPr>
          <w:p w14:paraId="4993BF6F" w14:textId="5197BEF9"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44%* (4)</w:t>
            </w:r>
          </w:p>
        </w:tc>
        <w:tc>
          <w:tcPr>
            <w:tcW w:w="1650" w:type="dxa"/>
            <w:shd w:val="clear" w:color="auto" w:fill="8B3C45"/>
            <w:vAlign w:val="center"/>
          </w:tcPr>
          <w:p w14:paraId="4423EB01" w14:textId="4ACC04B1"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44%* (4)</w:t>
            </w:r>
          </w:p>
        </w:tc>
        <w:tc>
          <w:tcPr>
            <w:tcW w:w="1440" w:type="dxa"/>
            <w:shd w:val="clear" w:color="auto" w:fill="8B3C45"/>
            <w:vAlign w:val="center"/>
          </w:tcPr>
          <w:p w14:paraId="30FB4B7F" w14:textId="254A802F"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11%* (1)</w:t>
            </w:r>
          </w:p>
        </w:tc>
      </w:tr>
      <w:tr w:rsidR="005725A1" w14:paraId="41D561E5" w14:textId="77777777" w:rsidTr="00F01C49">
        <w:trPr>
          <w:jc w:val="center"/>
        </w:trPr>
        <w:tc>
          <w:tcPr>
            <w:tcW w:w="3105" w:type="dxa"/>
            <w:shd w:val="clear" w:color="auto" w:fill="5EAA41"/>
          </w:tcPr>
          <w:p w14:paraId="21F0E776" w14:textId="77777777" w:rsidR="005725A1" w:rsidRDefault="005725A1" w:rsidP="005725A1">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5. Green and vibrant places reflecting our heritage and culture </w:t>
            </w:r>
          </w:p>
        </w:tc>
        <w:tc>
          <w:tcPr>
            <w:tcW w:w="1560" w:type="dxa"/>
            <w:shd w:val="clear" w:color="auto" w:fill="5EAA41"/>
            <w:vAlign w:val="center"/>
          </w:tcPr>
          <w:p w14:paraId="31EC524A" w14:textId="04830966" w:rsidR="005725A1" w:rsidRPr="00D466BB" w:rsidRDefault="005725A1" w:rsidP="005725A1">
            <w:pPr>
              <w:spacing w:before="40" w:after="40" w:line="259" w:lineRule="auto"/>
              <w:jc w:val="center"/>
              <w:rPr>
                <w:rFonts w:ascii="Arial" w:eastAsia="Arial" w:hAnsi="Arial" w:cs="Arial"/>
                <w:b/>
                <w:bCs/>
                <w:color w:val="FFFFFF" w:themeColor="background1"/>
              </w:rPr>
            </w:pPr>
            <w:r w:rsidRPr="00D466BB">
              <w:rPr>
                <w:rFonts w:ascii="Arial" w:eastAsia="Arial" w:hAnsi="Arial" w:cs="Arial"/>
                <w:b/>
                <w:bCs/>
                <w:color w:val="FFFFFF" w:themeColor="background1"/>
              </w:rPr>
              <w:t>12</w:t>
            </w:r>
          </w:p>
        </w:tc>
        <w:tc>
          <w:tcPr>
            <w:tcW w:w="1545" w:type="dxa"/>
            <w:shd w:val="clear" w:color="auto" w:fill="5EAA41"/>
            <w:vAlign w:val="center"/>
          </w:tcPr>
          <w:p w14:paraId="521DB21B" w14:textId="1D8255D4" w:rsidR="005725A1" w:rsidRPr="00D466BB" w:rsidRDefault="005725A1" w:rsidP="005725A1">
            <w:pPr>
              <w:spacing w:before="40" w:after="40" w:line="259" w:lineRule="auto"/>
              <w:jc w:val="center"/>
              <w:rPr>
                <w:rFonts w:ascii="Arial" w:eastAsia="Arial" w:hAnsi="Arial" w:cs="Arial"/>
                <w:b/>
                <w:bCs/>
                <w:color w:val="FFFFFF" w:themeColor="background1"/>
              </w:rPr>
            </w:pPr>
            <w:r w:rsidRPr="00D466BB">
              <w:rPr>
                <w:rFonts w:ascii="Arial" w:eastAsia="Arial" w:hAnsi="Arial" w:cs="Arial"/>
                <w:b/>
                <w:bCs/>
                <w:color w:val="FFFFFF" w:themeColor="background1"/>
              </w:rPr>
              <w:t>50% (6)</w:t>
            </w:r>
          </w:p>
        </w:tc>
        <w:tc>
          <w:tcPr>
            <w:tcW w:w="1650" w:type="dxa"/>
            <w:shd w:val="clear" w:color="auto" w:fill="5EAA41"/>
            <w:vAlign w:val="center"/>
          </w:tcPr>
          <w:p w14:paraId="58468BC0" w14:textId="64385C6B" w:rsidR="005725A1" w:rsidRPr="00D466BB" w:rsidRDefault="005725A1" w:rsidP="005725A1">
            <w:pPr>
              <w:spacing w:before="40" w:after="40" w:line="259" w:lineRule="auto"/>
              <w:jc w:val="center"/>
              <w:rPr>
                <w:rFonts w:ascii="Arial" w:eastAsia="Arial" w:hAnsi="Arial" w:cs="Arial"/>
                <w:b/>
                <w:bCs/>
                <w:color w:val="FFFFFF" w:themeColor="background1"/>
              </w:rPr>
            </w:pPr>
            <w:r w:rsidRPr="00D466BB">
              <w:rPr>
                <w:rFonts w:ascii="Arial" w:eastAsia="Arial" w:hAnsi="Arial" w:cs="Arial"/>
                <w:b/>
                <w:bCs/>
                <w:color w:val="FFFFFF" w:themeColor="background1"/>
              </w:rPr>
              <w:t>50% (6)</w:t>
            </w:r>
          </w:p>
        </w:tc>
        <w:tc>
          <w:tcPr>
            <w:tcW w:w="1440" w:type="dxa"/>
            <w:shd w:val="clear" w:color="auto" w:fill="5EAA41"/>
            <w:vAlign w:val="center"/>
          </w:tcPr>
          <w:p w14:paraId="256C2BB4" w14:textId="2E5B8DEB" w:rsidR="005725A1" w:rsidRPr="00D466BB" w:rsidRDefault="005725A1" w:rsidP="005725A1">
            <w:pPr>
              <w:spacing w:before="40" w:after="40" w:line="259" w:lineRule="auto"/>
              <w:jc w:val="center"/>
              <w:rPr>
                <w:rFonts w:ascii="Arial" w:eastAsia="Arial" w:hAnsi="Arial" w:cs="Arial"/>
                <w:b/>
                <w:bCs/>
                <w:color w:val="FFFFFF" w:themeColor="background1"/>
              </w:rPr>
            </w:pPr>
            <w:r w:rsidRPr="00D466BB">
              <w:rPr>
                <w:rFonts w:ascii="Arial" w:eastAsia="Arial" w:hAnsi="Arial" w:cs="Arial"/>
                <w:b/>
                <w:bCs/>
                <w:color w:val="FFFFFF" w:themeColor="background1"/>
              </w:rPr>
              <w:t>0% (0)</w:t>
            </w:r>
          </w:p>
        </w:tc>
      </w:tr>
      <w:tr w:rsidR="004E0DB0" w14:paraId="13795E36" w14:textId="77777777" w:rsidTr="00161C99">
        <w:trPr>
          <w:trHeight w:val="783"/>
          <w:jc w:val="center"/>
        </w:trPr>
        <w:tc>
          <w:tcPr>
            <w:tcW w:w="3105" w:type="dxa"/>
            <w:shd w:val="clear" w:color="auto" w:fill="C85348"/>
          </w:tcPr>
          <w:p w14:paraId="32196F4D" w14:textId="77777777" w:rsidR="004E0DB0" w:rsidRDefault="004E0DB0" w:rsidP="004E0DB0">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6. Responsible Council</w:t>
            </w:r>
          </w:p>
        </w:tc>
        <w:tc>
          <w:tcPr>
            <w:tcW w:w="1560" w:type="dxa"/>
            <w:shd w:val="clear" w:color="auto" w:fill="C85348"/>
            <w:vAlign w:val="center"/>
          </w:tcPr>
          <w:p w14:paraId="14CFA009" w14:textId="31A25D3C"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12</w:t>
            </w:r>
          </w:p>
        </w:tc>
        <w:tc>
          <w:tcPr>
            <w:tcW w:w="1545" w:type="dxa"/>
            <w:shd w:val="clear" w:color="auto" w:fill="C85348"/>
            <w:vAlign w:val="center"/>
          </w:tcPr>
          <w:p w14:paraId="7C3B428C" w14:textId="6919EAC8"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42% (5)</w:t>
            </w:r>
          </w:p>
        </w:tc>
        <w:tc>
          <w:tcPr>
            <w:tcW w:w="1650" w:type="dxa"/>
            <w:shd w:val="clear" w:color="auto" w:fill="C85348"/>
            <w:vAlign w:val="center"/>
          </w:tcPr>
          <w:p w14:paraId="0874E76E" w14:textId="16F6E422"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42% (5)</w:t>
            </w:r>
          </w:p>
        </w:tc>
        <w:tc>
          <w:tcPr>
            <w:tcW w:w="1440" w:type="dxa"/>
            <w:shd w:val="clear" w:color="auto" w:fill="C85348"/>
            <w:vAlign w:val="center"/>
          </w:tcPr>
          <w:p w14:paraId="07DF101A" w14:textId="7F655483" w:rsidR="004E0DB0" w:rsidRPr="004E0DB0" w:rsidRDefault="004E0DB0" w:rsidP="004E0DB0">
            <w:pPr>
              <w:spacing w:before="40" w:after="40" w:line="259" w:lineRule="auto"/>
              <w:jc w:val="center"/>
              <w:rPr>
                <w:rFonts w:ascii="Arial" w:eastAsia="Arial" w:hAnsi="Arial" w:cs="Arial"/>
                <w:b/>
                <w:bCs/>
                <w:color w:val="FFFFFF" w:themeColor="background1"/>
              </w:rPr>
            </w:pPr>
            <w:r w:rsidRPr="004E0DB0">
              <w:rPr>
                <w:rFonts w:ascii="Arial" w:eastAsia="Arial" w:hAnsi="Arial" w:cs="Arial"/>
                <w:b/>
                <w:bCs/>
                <w:color w:val="FFFFFF" w:themeColor="background1"/>
              </w:rPr>
              <w:t>17% (2)</w:t>
            </w:r>
          </w:p>
        </w:tc>
      </w:tr>
      <w:tr w:rsidR="00DF0221" w14:paraId="09F2B135" w14:textId="77777777" w:rsidTr="00B8AFBC">
        <w:trPr>
          <w:jc w:val="center"/>
        </w:trPr>
        <w:tc>
          <w:tcPr>
            <w:tcW w:w="3105" w:type="dxa"/>
          </w:tcPr>
          <w:p w14:paraId="321FE9E7" w14:textId="77777777" w:rsidR="00DF0221" w:rsidRDefault="00DF0221" w:rsidP="00DF0221">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Total</w:t>
            </w:r>
          </w:p>
        </w:tc>
        <w:tc>
          <w:tcPr>
            <w:tcW w:w="1560" w:type="dxa"/>
            <w:vAlign w:val="center"/>
          </w:tcPr>
          <w:p w14:paraId="0D5D03CF" w14:textId="2B7F3D04" w:rsidR="00DF0221" w:rsidRPr="002418D1" w:rsidRDefault="0033757D" w:rsidP="00DF0221">
            <w:pPr>
              <w:spacing w:before="40" w:after="40" w:line="259" w:lineRule="auto"/>
              <w:jc w:val="center"/>
              <w:rPr>
                <w:rFonts w:ascii="Arial" w:eastAsia="Arial" w:hAnsi="Arial" w:cs="Arial"/>
                <w:b/>
                <w:bCs/>
              </w:rPr>
            </w:pPr>
            <w:r w:rsidRPr="002418D1">
              <w:rPr>
                <w:rFonts w:ascii="Arial" w:eastAsia="Arial" w:hAnsi="Arial" w:cs="Arial"/>
                <w:b/>
                <w:bCs/>
              </w:rPr>
              <w:t>87</w:t>
            </w:r>
          </w:p>
        </w:tc>
        <w:tc>
          <w:tcPr>
            <w:tcW w:w="1545" w:type="dxa"/>
            <w:vAlign w:val="center"/>
          </w:tcPr>
          <w:p w14:paraId="4467DB37" w14:textId="51EE6676" w:rsidR="00DF0221" w:rsidRPr="002418D1" w:rsidRDefault="001E48B1" w:rsidP="00DF0221">
            <w:pPr>
              <w:spacing w:before="40" w:after="40" w:line="259" w:lineRule="auto"/>
              <w:jc w:val="center"/>
              <w:rPr>
                <w:rFonts w:ascii="Arial" w:eastAsia="Arial" w:hAnsi="Arial" w:cs="Arial"/>
                <w:b/>
                <w:bCs/>
              </w:rPr>
            </w:pPr>
            <w:r w:rsidRPr="002418D1">
              <w:rPr>
                <w:rFonts w:ascii="Arial" w:eastAsia="Arial" w:hAnsi="Arial" w:cs="Arial"/>
                <w:b/>
                <w:bCs/>
              </w:rPr>
              <w:t>51</w:t>
            </w:r>
            <w:r w:rsidR="00DF0221" w:rsidRPr="002418D1">
              <w:rPr>
                <w:rFonts w:ascii="Arial" w:eastAsia="Arial" w:hAnsi="Arial" w:cs="Arial"/>
                <w:b/>
                <w:bCs/>
              </w:rPr>
              <w:t>% (4</w:t>
            </w:r>
            <w:r w:rsidR="004B2ECB" w:rsidRPr="002418D1">
              <w:rPr>
                <w:rFonts w:ascii="Arial" w:eastAsia="Arial" w:hAnsi="Arial" w:cs="Arial"/>
                <w:b/>
                <w:bCs/>
              </w:rPr>
              <w:t>4</w:t>
            </w:r>
            <w:r w:rsidR="00DF0221" w:rsidRPr="002418D1">
              <w:rPr>
                <w:rFonts w:ascii="Arial" w:eastAsia="Arial" w:hAnsi="Arial" w:cs="Arial"/>
                <w:b/>
                <w:bCs/>
              </w:rPr>
              <w:t>)</w:t>
            </w:r>
          </w:p>
        </w:tc>
        <w:tc>
          <w:tcPr>
            <w:tcW w:w="1650" w:type="dxa"/>
            <w:vAlign w:val="center"/>
          </w:tcPr>
          <w:p w14:paraId="5F519D9A" w14:textId="59F2C7F8" w:rsidR="00DF0221" w:rsidRPr="002418D1" w:rsidRDefault="007A4170" w:rsidP="00DF0221">
            <w:pPr>
              <w:spacing w:before="40" w:after="40" w:line="259" w:lineRule="auto"/>
              <w:jc w:val="center"/>
              <w:rPr>
                <w:rFonts w:ascii="Arial" w:eastAsia="Arial" w:hAnsi="Arial" w:cs="Arial"/>
                <w:b/>
                <w:bCs/>
              </w:rPr>
            </w:pPr>
            <w:r w:rsidRPr="002418D1">
              <w:rPr>
                <w:rFonts w:ascii="Arial" w:eastAsia="Arial" w:hAnsi="Arial" w:cs="Arial"/>
                <w:b/>
                <w:bCs/>
              </w:rPr>
              <w:t>40</w:t>
            </w:r>
            <w:r w:rsidR="00DF0221" w:rsidRPr="002418D1">
              <w:rPr>
                <w:rFonts w:ascii="Arial" w:eastAsia="Arial" w:hAnsi="Arial" w:cs="Arial"/>
                <w:b/>
                <w:bCs/>
              </w:rPr>
              <w:t>% (</w:t>
            </w:r>
            <w:r w:rsidR="00DD04ED" w:rsidRPr="002418D1">
              <w:rPr>
                <w:rFonts w:ascii="Arial" w:eastAsia="Arial" w:hAnsi="Arial" w:cs="Arial"/>
                <w:b/>
                <w:bCs/>
              </w:rPr>
              <w:t>35</w:t>
            </w:r>
            <w:r w:rsidR="00DF0221" w:rsidRPr="002418D1">
              <w:rPr>
                <w:rFonts w:ascii="Arial" w:eastAsia="Arial" w:hAnsi="Arial" w:cs="Arial"/>
                <w:b/>
                <w:bCs/>
              </w:rPr>
              <w:t>)</w:t>
            </w:r>
          </w:p>
        </w:tc>
        <w:tc>
          <w:tcPr>
            <w:tcW w:w="1440" w:type="dxa"/>
            <w:vAlign w:val="center"/>
          </w:tcPr>
          <w:p w14:paraId="591807DE" w14:textId="48ED7D75" w:rsidR="00DF0221" w:rsidRPr="002418D1" w:rsidRDefault="007A4170" w:rsidP="00DF0221">
            <w:pPr>
              <w:spacing w:before="40" w:after="40" w:line="259" w:lineRule="auto"/>
              <w:jc w:val="center"/>
              <w:rPr>
                <w:rFonts w:ascii="Arial" w:eastAsia="Arial" w:hAnsi="Arial" w:cs="Arial"/>
                <w:b/>
                <w:bCs/>
              </w:rPr>
            </w:pPr>
            <w:r w:rsidRPr="002418D1">
              <w:rPr>
                <w:rFonts w:ascii="Arial" w:eastAsia="Arial" w:hAnsi="Arial" w:cs="Arial"/>
                <w:b/>
                <w:bCs/>
              </w:rPr>
              <w:t>9</w:t>
            </w:r>
            <w:r w:rsidR="00DF0221" w:rsidRPr="002418D1">
              <w:rPr>
                <w:rFonts w:ascii="Arial" w:eastAsia="Arial" w:hAnsi="Arial" w:cs="Arial"/>
                <w:b/>
                <w:bCs/>
              </w:rPr>
              <w:t>% (</w:t>
            </w:r>
            <w:r w:rsidR="000C7B2D" w:rsidRPr="002418D1">
              <w:rPr>
                <w:rFonts w:ascii="Arial" w:eastAsia="Arial" w:hAnsi="Arial" w:cs="Arial"/>
                <w:b/>
                <w:bCs/>
              </w:rPr>
              <w:t>8</w:t>
            </w:r>
            <w:r w:rsidR="00DF0221" w:rsidRPr="002418D1">
              <w:rPr>
                <w:rFonts w:ascii="Arial" w:eastAsia="Arial" w:hAnsi="Arial" w:cs="Arial"/>
                <w:b/>
                <w:bCs/>
              </w:rPr>
              <w:t>)</w:t>
            </w:r>
          </w:p>
        </w:tc>
      </w:tr>
    </w:tbl>
    <w:p w14:paraId="334FFABC" w14:textId="77777777" w:rsidR="00F9201D" w:rsidRDefault="00F9201D" w:rsidP="00B0379D">
      <w:pPr>
        <w:pStyle w:val="Heading2"/>
        <w:spacing w:before="0" w:after="120" w:line="240" w:lineRule="auto"/>
        <w:rPr>
          <w:b/>
          <w:color w:val="000000" w:themeColor="text1"/>
          <w:sz w:val="24"/>
          <w:szCs w:val="24"/>
        </w:rPr>
      </w:pPr>
    </w:p>
    <w:p w14:paraId="101483C3" w14:textId="77777777" w:rsidR="00B0379D" w:rsidRPr="003C26C9" w:rsidRDefault="00E75E6D" w:rsidP="00B0379D">
      <w:pPr>
        <w:pStyle w:val="Heading2"/>
        <w:spacing w:before="0" w:after="120" w:line="240" w:lineRule="auto"/>
        <w:rPr>
          <w:b/>
          <w:color w:val="000000" w:themeColor="text1"/>
          <w:sz w:val="24"/>
          <w:szCs w:val="24"/>
        </w:rPr>
      </w:pPr>
      <w:bookmarkStart w:id="7" w:name="_Toc174698095"/>
      <w:r w:rsidRPr="003C26C9">
        <w:rPr>
          <w:b/>
          <w:color w:val="000000" w:themeColor="text1"/>
          <w:sz w:val="24"/>
          <w:szCs w:val="24"/>
        </w:rPr>
        <w:t>4.3 Inter Authority Comparison</w:t>
      </w:r>
      <w:bookmarkEnd w:id="7"/>
    </w:p>
    <w:p w14:paraId="7E0F77EC" w14:textId="35B2D58F" w:rsidR="00B0379D" w:rsidRPr="00750EF1" w:rsidRDefault="00E75E6D" w:rsidP="00B8AFBC">
      <w:pPr>
        <w:spacing w:after="120" w:line="240" w:lineRule="auto"/>
        <w:jc w:val="both"/>
        <w:rPr>
          <w:rFonts w:ascii="Arial" w:hAnsi="Arial" w:cs="Arial"/>
        </w:rPr>
      </w:pPr>
      <w:r w:rsidRPr="00750EF1">
        <w:rPr>
          <w:rFonts w:ascii="Arial" w:hAnsi="Arial" w:cs="Arial"/>
        </w:rPr>
        <w:t xml:space="preserve">This measure shows how performance in St Helens compares to the performance of a family group of authorities similar to St Helens. It does this by ranking each authority’s performance by quartile. The top performing 25 % are in the first quartile and the bottom 25% in the fourth quartile. Authorities in between are placed in either the 2nd or 3rd quartiles. Comparative national data is only available to be used for </w:t>
      </w:r>
      <w:r w:rsidR="008729D0" w:rsidRPr="008729D0">
        <w:rPr>
          <w:rFonts w:ascii="Arial" w:hAnsi="Arial" w:cs="Arial"/>
        </w:rPr>
        <w:t>43</w:t>
      </w:r>
      <w:r w:rsidRPr="00750EF1">
        <w:rPr>
          <w:rFonts w:ascii="Arial" w:hAnsi="Arial" w:cs="Arial"/>
          <w:b/>
        </w:rPr>
        <w:t xml:space="preserve"> </w:t>
      </w:r>
      <w:r w:rsidRPr="00750EF1">
        <w:rPr>
          <w:rFonts w:ascii="Arial" w:hAnsi="Arial" w:cs="Arial"/>
        </w:rPr>
        <w:t>indicators.</w:t>
      </w:r>
    </w:p>
    <w:p w14:paraId="32789FC2" w14:textId="53205611" w:rsidR="00B0379D" w:rsidRDefault="00E75E6D" w:rsidP="00B0379D">
      <w:pPr>
        <w:spacing w:before="120" w:after="120" w:line="240" w:lineRule="auto"/>
        <w:jc w:val="both"/>
        <w:rPr>
          <w:rFonts w:ascii="Arial" w:hAnsi="Arial" w:cs="Arial"/>
        </w:rPr>
      </w:pPr>
      <w:r w:rsidRPr="117BB052">
        <w:rPr>
          <w:rFonts w:ascii="Arial" w:hAnsi="Arial" w:cs="Arial"/>
        </w:rPr>
        <w:t xml:space="preserve">In the supporting scorecards for each priority, where this measure is used, green indicates that St Helens is in the top best performing quartile, red that it is in the </w:t>
      </w:r>
      <w:r>
        <w:rPr>
          <w:rFonts w:ascii="Arial" w:hAnsi="Arial" w:cs="Arial"/>
        </w:rPr>
        <w:t>b</w:t>
      </w:r>
      <w:r w:rsidRPr="117BB052">
        <w:rPr>
          <w:rFonts w:ascii="Arial" w:hAnsi="Arial" w:cs="Arial"/>
        </w:rPr>
        <w:t>ottom quartile or yellow/amber that St Helens is in either the 2nd or 3rd quartile).</w:t>
      </w:r>
      <w:r w:rsidR="00A52EDE">
        <w:rPr>
          <w:rFonts w:ascii="Arial" w:hAnsi="Arial" w:cs="Arial"/>
        </w:rPr>
        <w:t xml:space="preserve"> </w:t>
      </w:r>
      <w:r w:rsidR="00A756C5">
        <w:rPr>
          <w:rFonts w:ascii="Arial" w:hAnsi="Arial" w:cs="Arial"/>
        </w:rPr>
        <w:t xml:space="preserve">The England average figure </w:t>
      </w:r>
      <w:r w:rsidR="000757FF">
        <w:rPr>
          <w:rFonts w:ascii="Arial" w:hAnsi="Arial" w:cs="Arial"/>
        </w:rPr>
        <w:t xml:space="preserve">(Eng, Av) </w:t>
      </w:r>
      <w:r w:rsidR="00A756C5">
        <w:rPr>
          <w:rFonts w:ascii="Arial" w:hAnsi="Arial" w:cs="Arial"/>
        </w:rPr>
        <w:t>i</w:t>
      </w:r>
      <w:r w:rsidR="000757FF">
        <w:rPr>
          <w:rFonts w:ascii="Arial" w:hAnsi="Arial" w:cs="Arial"/>
        </w:rPr>
        <w:t>s a</w:t>
      </w:r>
      <w:r w:rsidR="00DF7FF4">
        <w:rPr>
          <w:rFonts w:ascii="Arial" w:hAnsi="Arial" w:cs="Arial"/>
        </w:rPr>
        <w:t>lso now</w:t>
      </w:r>
      <w:r w:rsidR="00A756C5">
        <w:rPr>
          <w:rFonts w:ascii="Arial" w:hAnsi="Arial" w:cs="Arial"/>
        </w:rPr>
        <w:t xml:space="preserve"> </w:t>
      </w:r>
      <w:r w:rsidR="00870498">
        <w:rPr>
          <w:rFonts w:ascii="Arial" w:hAnsi="Arial" w:cs="Arial"/>
        </w:rPr>
        <w:t>presented, as is th</w:t>
      </w:r>
      <w:r w:rsidR="0083271A">
        <w:rPr>
          <w:rFonts w:ascii="Arial" w:hAnsi="Arial" w:cs="Arial"/>
        </w:rPr>
        <w:t xml:space="preserve">e statistical </w:t>
      </w:r>
      <w:r w:rsidR="000757FF">
        <w:rPr>
          <w:rFonts w:ascii="Arial" w:hAnsi="Arial" w:cs="Arial"/>
        </w:rPr>
        <w:t>neighbour</w:t>
      </w:r>
      <w:r w:rsidR="00870498">
        <w:rPr>
          <w:rFonts w:ascii="Arial" w:hAnsi="Arial" w:cs="Arial"/>
        </w:rPr>
        <w:t xml:space="preserve"> group average</w:t>
      </w:r>
      <w:r w:rsidR="005909FF">
        <w:rPr>
          <w:rFonts w:ascii="Arial" w:hAnsi="Arial" w:cs="Arial"/>
        </w:rPr>
        <w:t xml:space="preserve"> </w:t>
      </w:r>
      <w:r w:rsidR="000757FF">
        <w:rPr>
          <w:rFonts w:ascii="Arial" w:hAnsi="Arial" w:cs="Arial"/>
        </w:rPr>
        <w:t xml:space="preserve">(LA Av.) </w:t>
      </w:r>
      <w:r w:rsidR="005909FF">
        <w:rPr>
          <w:rFonts w:ascii="Arial" w:hAnsi="Arial" w:cs="Arial"/>
        </w:rPr>
        <w:t>to provide additional context</w:t>
      </w:r>
      <w:r w:rsidR="00DF7FF4">
        <w:rPr>
          <w:rFonts w:ascii="Arial" w:hAnsi="Arial" w:cs="Arial"/>
        </w:rPr>
        <w:t xml:space="preserve"> to </w:t>
      </w:r>
      <w:r w:rsidR="0015197F">
        <w:rPr>
          <w:rFonts w:ascii="Arial" w:hAnsi="Arial" w:cs="Arial"/>
        </w:rPr>
        <w:t>comparative performance</w:t>
      </w:r>
      <w:r w:rsidR="00EC728E">
        <w:rPr>
          <w:rFonts w:ascii="Arial" w:hAnsi="Arial" w:cs="Arial"/>
        </w:rPr>
        <w:t>.</w:t>
      </w:r>
      <w:r w:rsidR="000757FF">
        <w:rPr>
          <w:rFonts w:ascii="Arial" w:hAnsi="Arial" w:cs="Arial"/>
        </w:rPr>
        <w:t xml:space="preserve"> </w:t>
      </w:r>
    </w:p>
    <w:p w14:paraId="5895953D" w14:textId="77777777" w:rsidR="00B0379D" w:rsidRPr="002601DD" w:rsidRDefault="00B0379D" w:rsidP="00B0379D">
      <w:pPr>
        <w:spacing w:before="120" w:after="120" w:line="240" w:lineRule="auto"/>
        <w:jc w:val="both"/>
        <w:rPr>
          <w:rFonts w:ascii="Arial" w:hAnsi="Arial" w:cs="Arial"/>
        </w:rPr>
      </w:pPr>
    </w:p>
    <w:tbl>
      <w:tblPr>
        <w:tblStyle w:val="TableGrid"/>
        <w:tblW w:w="0" w:type="auto"/>
        <w:jc w:val="center"/>
        <w:tblLayout w:type="fixed"/>
        <w:tblLook w:val="04A0" w:firstRow="1" w:lastRow="0" w:firstColumn="1" w:lastColumn="0" w:noHBand="0" w:noVBand="1"/>
      </w:tblPr>
      <w:tblGrid>
        <w:gridCol w:w="2685"/>
        <w:gridCol w:w="1380"/>
        <w:gridCol w:w="1200"/>
        <w:gridCol w:w="1305"/>
        <w:gridCol w:w="1260"/>
        <w:gridCol w:w="1215"/>
      </w:tblGrid>
      <w:tr w:rsidR="00970157" w14:paraId="6E23542D" w14:textId="77777777" w:rsidTr="00B8AFBC">
        <w:trPr>
          <w:tblHeader/>
          <w:jc w:val="center"/>
        </w:trPr>
        <w:tc>
          <w:tcPr>
            <w:tcW w:w="2685" w:type="dxa"/>
          </w:tcPr>
          <w:p w14:paraId="7D8B3519"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Priority</w:t>
            </w:r>
          </w:p>
        </w:tc>
        <w:tc>
          <w:tcPr>
            <w:tcW w:w="1380" w:type="dxa"/>
          </w:tcPr>
          <w:p w14:paraId="60810E85"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Number of Indicators</w:t>
            </w:r>
            <w:r w:rsidRPr="00E445A2">
              <w:rPr>
                <w:rFonts w:ascii="Arial" w:eastAsia="Arial" w:hAnsi="Arial" w:cs="Arial"/>
                <w:b/>
                <w:bCs/>
                <w:color w:val="000000" w:themeColor="text1"/>
              </w:rPr>
              <w:t xml:space="preserve"> with data</w:t>
            </w:r>
          </w:p>
        </w:tc>
        <w:tc>
          <w:tcPr>
            <w:tcW w:w="1200" w:type="dxa"/>
          </w:tcPr>
          <w:p w14:paraId="5216E9B2"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in 1st quartile</w:t>
            </w:r>
          </w:p>
        </w:tc>
        <w:tc>
          <w:tcPr>
            <w:tcW w:w="1305" w:type="dxa"/>
          </w:tcPr>
          <w:p w14:paraId="54102249"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in 2nd quartile</w:t>
            </w:r>
          </w:p>
        </w:tc>
        <w:tc>
          <w:tcPr>
            <w:tcW w:w="1260" w:type="dxa"/>
          </w:tcPr>
          <w:p w14:paraId="0A003572"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in 3rd quartile</w:t>
            </w:r>
          </w:p>
        </w:tc>
        <w:tc>
          <w:tcPr>
            <w:tcW w:w="1215" w:type="dxa"/>
          </w:tcPr>
          <w:p w14:paraId="450F119C" w14:textId="77777777" w:rsidR="00B0379D" w:rsidRDefault="00E75E6D" w:rsidP="00B0379D">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 in 4th quartile</w:t>
            </w:r>
          </w:p>
        </w:tc>
      </w:tr>
      <w:tr w:rsidR="004525B0" w14:paraId="667CD210" w14:textId="77777777" w:rsidTr="00F01C49">
        <w:trPr>
          <w:jc w:val="center"/>
        </w:trPr>
        <w:tc>
          <w:tcPr>
            <w:tcW w:w="2685" w:type="dxa"/>
            <w:shd w:val="clear" w:color="auto" w:fill="ED712C"/>
          </w:tcPr>
          <w:p w14:paraId="5C613FA0" w14:textId="77777777" w:rsidR="004525B0" w:rsidRDefault="004525B0" w:rsidP="004525B0">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1. Ensure children and young people have a positive start </w:t>
            </w:r>
          </w:p>
        </w:tc>
        <w:tc>
          <w:tcPr>
            <w:tcW w:w="1380" w:type="dxa"/>
            <w:shd w:val="clear" w:color="auto" w:fill="ED712C"/>
            <w:vAlign w:val="center"/>
          </w:tcPr>
          <w:p w14:paraId="19D2D1F1" w14:textId="648AE50E" w:rsidR="004525B0" w:rsidRPr="004525B0" w:rsidRDefault="004525B0" w:rsidP="004525B0">
            <w:pPr>
              <w:spacing w:before="40" w:after="40" w:line="259" w:lineRule="auto"/>
              <w:jc w:val="center"/>
              <w:rPr>
                <w:rFonts w:ascii="Arial" w:eastAsia="Arial" w:hAnsi="Arial" w:cs="Arial"/>
                <w:b/>
                <w:bCs/>
                <w:color w:val="FFFFFF" w:themeColor="background1"/>
              </w:rPr>
            </w:pPr>
            <w:r w:rsidRPr="004525B0">
              <w:rPr>
                <w:rFonts w:ascii="Arial" w:eastAsia="Arial" w:hAnsi="Arial" w:cs="Arial"/>
                <w:b/>
                <w:bCs/>
                <w:color w:val="FFFFFF" w:themeColor="background1"/>
              </w:rPr>
              <w:t>22</w:t>
            </w:r>
          </w:p>
        </w:tc>
        <w:tc>
          <w:tcPr>
            <w:tcW w:w="1200" w:type="dxa"/>
            <w:shd w:val="clear" w:color="auto" w:fill="ED712C"/>
            <w:vAlign w:val="center"/>
          </w:tcPr>
          <w:p w14:paraId="47CCC4D8" w14:textId="0089172D" w:rsidR="004525B0" w:rsidRPr="004525B0" w:rsidRDefault="004525B0" w:rsidP="004525B0">
            <w:pPr>
              <w:spacing w:before="40" w:after="40" w:line="259" w:lineRule="auto"/>
              <w:jc w:val="center"/>
              <w:rPr>
                <w:rFonts w:ascii="Arial" w:eastAsia="Arial" w:hAnsi="Arial" w:cs="Arial"/>
                <w:b/>
                <w:bCs/>
                <w:color w:val="FFFFFF" w:themeColor="background1"/>
              </w:rPr>
            </w:pPr>
            <w:r w:rsidRPr="004525B0">
              <w:rPr>
                <w:rFonts w:ascii="Arial" w:eastAsia="Arial" w:hAnsi="Arial" w:cs="Arial"/>
                <w:b/>
                <w:bCs/>
                <w:color w:val="FFFFFF" w:themeColor="background1"/>
              </w:rPr>
              <w:t>18% (4)</w:t>
            </w:r>
          </w:p>
        </w:tc>
        <w:tc>
          <w:tcPr>
            <w:tcW w:w="1305" w:type="dxa"/>
            <w:shd w:val="clear" w:color="auto" w:fill="ED712C"/>
            <w:vAlign w:val="center"/>
          </w:tcPr>
          <w:p w14:paraId="15A87873" w14:textId="1EE86918" w:rsidR="004525B0" w:rsidRPr="004525B0" w:rsidRDefault="004525B0" w:rsidP="004525B0">
            <w:pPr>
              <w:spacing w:before="40" w:after="40" w:line="259" w:lineRule="auto"/>
              <w:jc w:val="center"/>
              <w:rPr>
                <w:rFonts w:ascii="Arial" w:eastAsia="Arial" w:hAnsi="Arial" w:cs="Arial"/>
                <w:b/>
                <w:bCs/>
                <w:color w:val="FFFFFF" w:themeColor="background1"/>
              </w:rPr>
            </w:pPr>
            <w:r w:rsidRPr="004525B0">
              <w:rPr>
                <w:rFonts w:ascii="Arial" w:eastAsia="Arial" w:hAnsi="Arial" w:cs="Arial"/>
                <w:b/>
                <w:bCs/>
                <w:color w:val="FFFFFF" w:themeColor="background1"/>
              </w:rPr>
              <w:t>23% (5)</w:t>
            </w:r>
          </w:p>
        </w:tc>
        <w:tc>
          <w:tcPr>
            <w:tcW w:w="1260" w:type="dxa"/>
            <w:shd w:val="clear" w:color="auto" w:fill="ED712C"/>
            <w:vAlign w:val="center"/>
          </w:tcPr>
          <w:p w14:paraId="7B218F6B" w14:textId="0FBE24F1" w:rsidR="004525B0" w:rsidRPr="004525B0" w:rsidRDefault="004525B0" w:rsidP="004525B0">
            <w:pPr>
              <w:spacing w:before="40" w:after="40" w:line="259" w:lineRule="auto"/>
              <w:jc w:val="center"/>
              <w:rPr>
                <w:rFonts w:ascii="Arial" w:eastAsia="Arial" w:hAnsi="Arial" w:cs="Arial"/>
                <w:b/>
                <w:bCs/>
                <w:color w:val="FFFFFF" w:themeColor="background1"/>
              </w:rPr>
            </w:pPr>
            <w:r w:rsidRPr="004525B0">
              <w:rPr>
                <w:rFonts w:ascii="Arial" w:eastAsia="Arial" w:hAnsi="Arial" w:cs="Arial"/>
                <w:b/>
                <w:bCs/>
                <w:color w:val="FFFFFF" w:themeColor="background1"/>
              </w:rPr>
              <w:t>18% (4)</w:t>
            </w:r>
          </w:p>
        </w:tc>
        <w:tc>
          <w:tcPr>
            <w:tcW w:w="1215" w:type="dxa"/>
            <w:shd w:val="clear" w:color="auto" w:fill="ED712C"/>
            <w:vAlign w:val="center"/>
          </w:tcPr>
          <w:p w14:paraId="5187EC30" w14:textId="55B09811" w:rsidR="004525B0" w:rsidRPr="004525B0" w:rsidRDefault="004525B0" w:rsidP="004525B0">
            <w:pPr>
              <w:spacing w:before="40" w:after="40" w:line="259" w:lineRule="auto"/>
              <w:jc w:val="center"/>
              <w:rPr>
                <w:rFonts w:ascii="Arial" w:eastAsia="Arial" w:hAnsi="Arial" w:cs="Arial"/>
                <w:b/>
                <w:bCs/>
                <w:color w:val="FFFFFF" w:themeColor="background1"/>
              </w:rPr>
            </w:pPr>
            <w:r w:rsidRPr="004525B0">
              <w:rPr>
                <w:rFonts w:ascii="Arial" w:eastAsia="Arial" w:hAnsi="Arial" w:cs="Arial"/>
                <w:b/>
                <w:bCs/>
                <w:color w:val="FFFFFF" w:themeColor="background1"/>
              </w:rPr>
              <w:t>41% (9)</w:t>
            </w:r>
          </w:p>
        </w:tc>
      </w:tr>
      <w:tr w:rsidR="00761637" w14:paraId="7F0273E5" w14:textId="77777777" w:rsidTr="00F01C49">
        <w:trPr>
          <w:jc w:val="center"/>
        </w:trPr>
        <w:tc>
          <w:tcPr>
            <w:tcW w:w="2685" w:type="dxa"/>
            <w:shd w:val="clear" w:color="auto" w:fill="17B0DE"/>
          </w:tcPr>
          <w:p w14:paraId="5D93ADD7" w14:textId="77777777" w:rsidR="00761637" w:rsidRDefault="00761637" w:rsidP="00761637">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2. Health, independence, and care </w:t>
            </w:r>
          </w:p>
        </w:tc>
        <w:tc>
          <w:tcPr>
            <w:tcW w:w="1380" w:type="dxa"/>
            <w:shd w:val="clear" w:color="auto" w:fill="17B0DE"/>
            <w:vAlign w:val="center"/>
          </w:tcPr>
          <w:p w14:paraId="0580FEE1" w14:textId="6B977FAF" w:rsidR="00761637" w:rsidRPr="000E0D2D" w:rsidRDefault="00761637" w:rsidP="00761637">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11</w:t>
            </w:r>
          </w:p>
        </w:tc>
        <w:tc>
          <w:tcPr>
            <w:tcW w:w="1200" w:type="dxa"/>
            <w:shd w:val="clear" w:color="auto" w:fill="17B0DE"/>
            <w:vAlign w:val="center"/>
          </w:tcPr>
          <w:p w14:paraId="40BEB52F" w14:textId="4AB272AF" w:rsidR="00761637" w:rsidRPr="000E0D2D" w:rsidRDefault="00761637" w:rsidP="00761637">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18% (2)</w:t>
            </w:r>
          </w:p>
        </w:tc>
        <w:tc>
          <w:tcPr>
            <w:tcW w:w="1305" w:type="dxa"/>
            <w:shd w:val="clear" w:color="auto" w:fill="17B0DE"/>
            <w:vAlign w:val="center"/>
          </w:tcPr>
          <w:p w14:paraId="6F39B5CC" w14:textId="391829A7" w:rsidR="00761637" w:rsidRPr="000E0D2D" w:rsidRDefault="00761637" w:rsidP="00761637">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9%</w:t>
            </w:r>
            <w:r w:rsidR="00D466BB">
              <w:rPr>
                <w:rFonts w:ascii="Arial" w:eastAsia="Arial" w:hAnsi="Arial" w:cs="Arial"/>
                <w:b/>
                <w:bCs/>
                <w:color w:val="FFFFFF" w:themeColor="background1"/>
              </w:rPr>
              <w:t xml:space="preserve"> </w:t>
            </w:r>
            <w:r w:rsidRPr="000E0D2D">
              <w:rPr>
                <w:rFonts w:ascii="Arial" w:eastAsia="Arial" w:hAnsi="Arial" w:cs="Arial"/>
                <w:b/>
                <w:bCs/>
                <w:color w:val="FFFFFF" w:themeColor="background1"/>
              </w:rPr>
              <w:t>(1)</w:t>
            </w:r>
          </w:p>
        </w:tc>
        <w:tc>
          <w:tcPr>
            <w:tcW w:w="1260" w:type="dxa"/>
            <w:shd w:val="clear" w:color="auto" w:fill="17B0DE"/>
            <w:vAlign w:val="center"/>
          </w:tcPr>
          <w:p w14:paraId="14003844" w14:textId="6F02BC97" w:rsidR="00761637" w:rsidRPr="000E0D2D" w:rsidRDefault="00761637" w:rsidP="00761637">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27% (3)</w:t>
            </w:r>
          </w:p>
        </w:tc>
        <w:tc>
          <w:tcPr>
            <w:tcW w:w="1215" w:type="dxa"/>
            <w:shd w:val="clear" w:color="auto" w:fill="17B0DE"/>
            <w:vAlign w:val="center"/>
          </w:tcPr>
          <w:p w14:paraId="677B4492" w14:textId="5709CD49" w:rsidR="00761637" w:rsidRPr="000E0D2D" w:rsidRDefault="00761637" w:rsidP="00761637">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45% (5)</w:t>
            </w:r>
          </w:p>
        </w:tc>
      </w:tr>
      <w:tr w:rsidR="00BD0760" w14:paraId="6C5B399D" w14:textId="77777777" w:rsidTr="00B8AFBC">
        <w:trPr>
          <w:jc w:val="center"/>
        </w:trPr>
        <w:tc>
          <w:tcPr>
            <w:tcW w:w="2685" w:type="dxa"/>
            <w:shd w:val="clear" w:color="auto" w:fill="9136AF"/>
          </w:tcPr>
          <w:p w14:paraId="1C2516BF" w14:textId="77777777" w:rsidR="00BD0760" w:rsidRDefault="00BD0760" w:rsidP="00BD0760">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3. Safe and strong communities and neighbourhoods</w:t>
            </w:r>
          </w:p>
        </w:tc>
        <w:tc>
          <w:tcPr>
            <w:tcW w:w="1380" w:type="dxa"/>
            <w:shd w:val="clear" w:color="auto" w:fill="9136AF"/>
            <w:vAlign w:val="center"/>
          </w:tcPr>
          <w:p w14:paraId="55E66F48" w14:textId="2C57E778" w:rsidR="00BD0760" w:rsidRPr="000E0D2D" w:rsidRDefault="00BD0760" w:rsidP="00BD0760">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w:t>
            </w:r>
          </w:p>
        </w:tc>
        <w:tc>
          <w:tcPr>
            <w:tcW w:w="1200" w:type="dxa"/>
            <w:shd w:val="clear" w:color="auto" w:fill="9136AF"/>
            <w:vAlign w:val="center"/>
          </w:tcPr>
          <w:p w14:paraId="04480B74" w14:textId="4357B113" w:rsidR="00BD0760" w:rsidRPr="000E0D2D" w:rsidRDefault="00BD0760" w:rsidP="00BD0760">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c>
          <w:tcPr>
            <w:tcW w:w="1305" w:type="dxa"/>
            <w:shd w:val="clear" w:color="auto" w:fill="9136AF"/>
            <w:vAlign w:val="center"/>
          </w:tcPr>
          <w:p w14:paraId="5AEC2300" w14:textId="1630EE83" w:rsidR="00BD0760" w:rsidRPr="000E0D2D" w:rsidRDefault="00BD0760" w:rsidP="00BD0760">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c>
          <w:tcPr>
            <w:tcW w:w="1260" w:type="dxa"/>
            <w:shd w:val="clear" w:color="auto" w:fill="9136AF"/>
            <w:vAlign w:val="center"/>
          </w:tcPr>
          <w:p w14:paraId="3007AA3E" w14:textId="6E3ACB70" w:rsidR="00BD0760" w:rsidRPr="000E0D2D" w:rsidRDefault="00BD0760" w:rsidP="00BD0760">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c>
          <w:tcPr>
            <w:tcW w:w="1215" w:type="dxa"/>
            <w:shd w:val="clear" w:color="auto" w:fill="9136AF"/>
            <w:vAlign w:val="center"/>
          </w:tcPr>
          <w:p w14:paraId="311ACDF0" w14:textId="609B7C33" w:rsidR="00BD0760" w:rsidRPr="000E0D2D" w:rsidRDefault="00BD0760" w:rsidP="00BD0760">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r>
      <w:tr w:rsidR="00916F03" w14:paraId="1246F771" w14:textId="77777777" w:rsidTr="00F01C49">
        <w:trPr>
          <w:jc w:val="center"/>
        </w:trPr>
        <w:tc>
          <w:tcPr>
            <w:tcW w:w="2685" w:type="dxa"/>
            <w:shd w:val="clear" w:color="auto" w:fill="8B3C45"/>
          </w:tcPr>
          <w:p w14:paraId="02BE3C8B" w14:textId="77777777" w:rsidR="00916F03" w:rsidRDefault="00916F03" w:rsidP="00916F03">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4. Strong, thriving, inclusive and well-connected economy </w:t>
            </w:r>
          </w:p>
        </w:tc>
        <w:tc>
          <w:tcPr>
            <w:tcW w:w="1380" w:type="dxa"/>
            <w:shd w:val="clear" w:color="auto" w:fill="8B3C45"/>
            <w:vAlign w:val="center"/>
          </w:tcPr>
          <w:p w14:paraId="57254163" w14:textId="5D83E1E3" w:rsidR="00916F03" w:rsidRPr="00916F03" w:rsidRDefault="00916F03" w:rsidP="00916F03">
            <w:pPr>
              <w:spacing w:before="40" w:after="40" w:line="259" w:lineRule="auto"/>
              <w:rPr>
                <w:rFonts w:ascii="Arial" w:eastAsia="Arial" w:hAnsi="Arial" w:cs="Arial"/>
                <w:b/>
                <w:bCs/>
                <w:color w:val="FFFFFF" w:themeColor="background1"/>
              </w:rPr>
            </w:pPr>
            <w:r w:rsidRPr="00916F03">
              <w:rPr>
                <w:rFonts w:ascii="Arial" w:eastAsia="Arial" w:hAnsi="Arial" w:cs="Arial"/>
                <w:b/>
                <w:bCs/>
                <w:color w:val="FFFFFF" w:themeColor="background1"/>
              </w:rPr>
              <w:t xml:space="preserve">         6</w:t>
            </w:r>
          </w:p>
        </w:tc>
        <w:tc>
          <w:tcPr>
            <w:tcW w:w="1200" w:type="dxa"/>
            <w:shd w:val="clear" w:color="auto" w:fill="8B3C45"/>
            <w:vAlign w:val="center"/>
          </w:tcPr>
          <w:p w14:paraId="4B4A6934" w14:textId="69D64218"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33%* (2)</w:t>
            </w:r>
          </w:p>
        </w:tc>
        <w:tc>
          <w:tcPr>
            <w:tcW w:w="1305" w:type="dxa"/>
            <w:shd w:val="clear" w:color="auto" w:fill="8B3C45"/>
            <w:vAlign w:val="center"/>
          </w:tcPr>
          <w:p w14:paraId="00B2D280" w14:textId="6A1D7789"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33%* (2)</w:t>
            </w:r>
          </w:p>
        </w:tc>
        <w:tc>
          <w:tcPr>
            <w:tcW w:w="1260" w:type="dxa"/>
            <w:shd w:val="clear" w:color="auto" w:fill="8B3C45"/>
            <w:vAlign w:val="center"/>
          </w:tcPr>
          <w:p w14:paraId="67422D79" w14:textId="4B817AF7"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0% (0)</w:t>
            </w:r>
          </w:p>
        </w:tc>
        <w:tc>
          <w:tcPr>
            <w:tcW w:w="1215" w:type="dxa"/>
            <w:shd w:val="clear" w:color="auto" w:fill="8B3C45"/>
            <w:vAlign w:val="center"/>
          </w:tcPr>
          <w:p w14:paraId="70D764E7" w14:textId="48E8644A" w:rsidR="00916F03" w:rsidRPr="00916F03" w:rsidRDefault="00916F03" w:rsidP="00916F03">
            <w:pPr>
              <w:spacing w:before="40" w:after="40" w:line="259" w:lineRule="auto"/>
              <w:jc w:val="center"/>
              <w:rPr>
                <w:rFonts w:ascii="Arial" w:eastAsia="Arial" w:hAnsi="Arial" w:cs="Arial"/>
                <w:b/>
                <w:bCs/>
                <w:color w:val="FFFFFF" w:themeColor="background1"/>
              </w:rPr>
            </w:pPr>
            <w:r w:rsidRPr="00916F03">
              <w:rPr>
                <w:rFonts w:ascii="Arial" w:eastAsia="Arial" w:hAnsi="Arial" w:cs="Arial"/>
                <w:b/>
                <w:bCs/>
                <w:color w:val="FFFFFF" w:themeColor="background1"/>
              </w:rPr>
              <w:t>33%* (2)</w:t>
            </w:r>
          </w:p>
        </w:tc>
      </w:tr>
      <w:tr w:rsidR="00B52C85" w14:paraId="0C7C10F4" w14:textId="77777777" w:rsidTr="00F01C49">
        <w:trPr>
          <w:jc w:val="center"/>
        </w:trPr>
        <w:tc>
          <w:tcPr>
            <w:tcW w:w="2685" w:type="dxa"/>
            <w:shd w:val="clear" w:color="auto" w:fill="5EAA41"/>
          </w:tcPr>
          <w:p w14:paraId="478F77E7" w14:textId="77777777" w:rsidR="00B52C85" w:rsidRDefault="00B52C85" w:rsidP="00B52C85">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 xml:space="preserve">5. Green and vibrant places reflecting our heritage and culture </w:t>
            </w:r>
          </w:p>
        </w:tc>
        <w:tc>
          <w:tcPr>
            <w:tcW w:w="1380" w:type="dxa"/>
            <w:shd w:val="clear" w:color="auto" w:fill="5EAA41"/>
            <w:vAlign w:val="center"/>
          </w:tcPr>
          <w:p w14:paraId="65F7A831" w14:textId="184F02E8" w:rsidR="00B52C85" w:rsidRPr="000E0D2D" w:rsidRDefault="00B52C85" w:rsidP="00B52C85">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2</w:t>
            </w:r>
          </w:p>
        </w:tc>
        <w:tc>
          <w:tcPr>
            <w:tcW w:w="1200" w:type="dxa"/>
            <w:shd w:val="clear" w:color="auto" w:fill="5EAA41"/>
            <w:vAlign w:val="center"/>
          </w:tcPr>
          <w:p w14:paraId="68FC4062" w14:textId="72AB2D95" w:rsidR="00B52C85" w:rsidRPr="000E0D2D" w:rsidRDefault="00B52C85" w:rsidP="00B52C85">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c>
          <w:tcPr>
            <w:tcW w:w="1305" w:type="dxa"/>
            <w:shd w:val="clear" w:color="auto" w:fill="5EAA41"/>
            <w:vAlign w:val="center"/>
          </w:tcPr>
          <w:p w14:paraId="303ECE9D" w14:textId="2DD8EC27" w:rsidR="00B52C85" w:rsidRPr="000E0D2D" w:rsidRDefault="00B52C85" w:rsidP="00B52C85">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0% (0)</w:t>
            </w:r>
          </w:p>
        </w:tc>
        <w:tc>
          <w:tcPr>
            <w:tcW w:w="1260" w:type="dxa"/>
            <w:shd w:val="clear" w:color="auto" w:fill="5EAA41"/>
            <w:vAlign w:val="center"/>
          </w:tcPr>
          <w:p w14:paraId="74891CCC" w14:textId="6D4D5CE0" w:rsidR="00B52C85" w:rsidRPr="000E0D2D" w:rsidRDefault="00B52C85" w:rsidP="00B52C85">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50% (1)</w:t>
            </w:r>
          </w:p>
        </w:tc>
        <w:tc>
          <w:tcPr>
            <w:tcW w:w="1215" w:type="dxa"/>
            <w:shd w:val="clear" w:color="auto" w:fill="5EAA41"/>
            <w:vAlign w:val="center"/>
          </w:tcPr>
          <w:p w14:paraId="4B22AE0D" w14:textId="7503C21E" w:rsidR="00B52C85" w:rsidRPr="000E0D2D" w:rsidRDefault="00B52C85" w:rsidP="00B52C85">
            <w:pPr>
              <w:spacing w:before="40" w:after="40" w:line="259" w:lineRule="auto"/>
              <w:jc w:val="center"/>
              <w:rPr>
                <w:rFonts w:ascii="Arial" w:eastAsia="Arial" w:hAnsi="Arial" w:cs="Arial"/>
                <w:b/>
                <w:bCs/>
                <w:color w:val="FFFFFF" w:themeColor="background1"/>
              </w:rPr>
            </w:pPr>
            <w:r w:rsidRPr="000E0D2D">
              <w:rPr>
                <w:rFonts w:ascii="Arial" w:eastAsia="Arial" w:hAnsi="Arial" w:cs="Arial"/>
                <w:b/>
                <w:bCs/>
                <w:color w:val="FFFFFF" w:themeColor="background1"/>
              </w:rPr>
              <w:t>50% (1)</w:t>
            </w:r>
          </w:p>
        </w:tc>
      </w:tr>
      <w:tr w:rsidR="003167C8" w14:paraId="48A88474" w14:textId="77777777" w:rsidTr="005A4817">
        <w:trPr>
          <w:jc w:val="center"/>
        </w:trPr>
        <w:tc>
          <w:tcPr>
            <w:tcW w:w="2685" w:type="dxa"/>
            <w:shd w:val="clear" w:color="auto" w:fill="C85348"/>
          </w:tcPr>
          <w:p w14:paraId="0EA30728" w14:textId="77777777" w:rsidR="003167C8" w:rsidRDefault="003167C8" w:rsidP="003167C8">
            <w:pPr>
              <w:spacing w:before="40" w:after="40" w:line="259" w:lineRule="auto"/>
              <w:rPr>
                <w:rFonts w:ascii="Arial" w:eastAsia="Arial" w:hAnsi="Arial" w:cs="Arial"/>
                <w:color w:val="FFFFFF" w:themeColor="background1"/>
              </w:rPr>
            </w:pPr>
            <w:r w:rsidRPr="117BB052">
              <w:rPr>
                <w:rFonts w:ascii="Arial" w:eastAsia="Arial" w:hAnsi="Arial" w:cs="Arial"/>
                <w:b/>
                <w:bCs/>
                <w:color w:val="FFFFFF" w:themeColor="background1"/>
              </w:rPr>
              <w:t>6. Responsible Council</w:t>
            </w:r>
          </w:p>
        </w:tc>
        <w:tc>
          <w:tcPr>
            <w:tcW w:w="1380" w:type="dxa"/>
            <w:shd w:val="clear" w:color="auto" w:fill="C85348"/>
          </w:tcPr>
          <w:p w14:paraId="1F564AF2" w14:textId="3B1B2FC0" w:rsidR="003167C8" w:rsidRPr="0032774F" w:rsidRDefault="003167C8" w:rsidP="003167C8">
            <w:pPr>
              <w:spacing w:before="40" w:after="40" w:line="259" w:lineRule="auto"/>
              <w:jc w:val="center"/>
              <w:rPr>
                <w:rFonts w:ascii="Arial" w:eastAsia="Arial" w:hAnsi="Arial" w:cs="Arial"/>
                <w:b/>
                <w:bCs/>
                <w:color w:val="FFFFFF" w:themeColor="background1"/>
              </w:rPr>
            </w:pPr>
            <w:r w:rsidRPr="0032774F">
              <w:rPr>
                <w:rFonts w:ascii="Arial" w:hAnsi="Arial" w:cs="Arial"/>
                <w:b/>
                <w:color w:val="FFFFFF" w:themeColor="background1"/>
              </w:rPr>
              <w:t>2</w:t>
            </w:r>
          </w:p>
        </w:tc>
        <w:tc>
          <w:tcPr>
            <w:tcW w:w="1200" w:type="dxa"/>
            <w:shd w:val="clear" w:color="auto" w:fill="C85348"/>
          </w:tcPr>
          <w:p w14:paraId="4C85EF58" w14:textId="310126E0" w:rsidR="003167C8" w:rsidRPr="0032774F" w:rsidRDefault="003167C8" w:rsidP="003167C8">
            <w:pPr>
              <w:spacing w:before="40" w:after="40" w:line="259" w:lineRule="auto"/>
              <w:jc w:val="center"/>
              <w:rPr>
                <w:rFonts w:ascii="Arial" w:eastAsia="Arial" w:hAnsi="Arial" w:cs="Arial"/>
                <w:b/>
                <w:bCs/>
                <w:color w:val="FFFFFF" w:themeColor="background1"/>
              </w:rPr>
            </w:pPr>
            <w:r w:rsidRPr="0032774F">
              <w:rPr>
                <w:rFonts w:ascii="Arial" w:hAnsi="Arial" w:cs="Arial"/>
                <w:b/>
                <w:color w:val="FFFFFF" w:themeColor="background1"/>
              </w:rPr>
              <w:t>0% (0)</w:t>
            </w:r>
          </w:p>
        </w:tc>
        <w:tc>
          <w:tcPr>
            <w:tcW w:w="1305" w:type="dxa"/>
            <w:shd w:val="clear" w:color="auto" w:fill="C85348"/>
          </w:tcPr>
          <w:p w14:paraId="493BDD1B" w14:textId="0961A055" w:rsidR="003167C8" w:rsidRPr="0032774F" w:rsidRDefault="003167C8" w:rsidP="003167C8">
            <w:pPr>
              <w:spacing w:before="40" w:after="40" w:line="259" w:lineRule="auto"/>
              <w:jc w:val="center"/>
              <w:rPr>
                <w:rFonts w:ascii="Arial" w:eastAsia="Arial" w:hAnsi="Arial" w:cs="Arial"/>
                <w:b/>
                <w:bCs/>
                <w:color w:val="FFFFFF" w:themeColor="background1"/>
              </w:rPr>
            </w:pPr>
            <w:r w:rsidRPr="0032774F">
              <w:rPr>
                <w:rFonts w:ascii="Arial" w:hAnsi="Arial" w:cs="Arial"/>
                <w:b/>
                <w:color w:val="FFFFFF" w:themeColor="background1"/>
              </w:rPr>
              <w:t>0% (0)</w:t>
            </w:r>
          </w:p>
        </w:tc>
        <w:tc>
          <w:tcPr>
            <w:tcW w:w="1260" w:type="dxa"/>
            <w:shd w:val="clear" w:color="auto" w:fill="C85348"/>
          </w:tcPr>
          <w:p w14:paraId="189E425B" w14:textId="0A9C4649" w:rsidR="003167C8" w:rsidRPr="0032774F" w:rsidRDefault="003167C8" w:rsidP="003167C8">
            <w:pPr>
              <w:spacing w:before="40" w:after="40" w:line="259" w:lineRule="auto"/>
              <w:jc w:val="center"/>
              <w:rPr>
                <w:rFonts w:ascii="Arial" w:eastAsia="Arial" w:hAnsi="Arial" w:cs="Arial"/>
                <w:b/>
                <w:bCs/>
                <w:color w:val="FFFFFF" w:themeColor="background1"/>
              </w:rPr>
            </w:pPr>
            <w:r w:rsidRPr="0032774F">
              <w:rPr>
                <w:rFonts w:ascii="Arial" w:hAnsi="Arial" w:cs="Arial"/>
                <w:b/>
                <w:bCs/>
                <w:color w:val="FFFFFF" w:themeColor="background1"/>
              </w:rPr>
              <w:t>50% (1)</w:t>
            </w:r>
          </w:p>
        </w:tc>
        <w:tc>
          <w:tcPr>
            <w:tcW w:w="1215" w:type="dxa"/>
            <w:shd w:val="clear" w:color="auto" w:fill="C85348"/>
          </w:tcPr>
          <w:p w14:paraId="0A6465F8" w14:textId="64F46E72" w:rsidR="003167C8" w:rsidRPr="0032774F" w:rsidRDefault="003167C8" w:rsidP="003167C8">
            <w:pPr>
              <w:spacing w:before="40" w:after="40" w:line="259" w:lineRule="auto"/>
              <w:jc w:val="center"/>
              <w:rPr>
                <w:rFonts w:ascii="Arial" w:eastAsia="Arial" w:hAnsi="Arial" w:cs="Arial"/>
                <w:b/>
                <w:bCs/>
                <w:color w:val="FFFFFF" w:themeColor="background1"/>
              </w:rPr>
            </w:pPr>
            <w:r w:rsidRPr="0032774F">
              <w:rPr>
                <w:rFonts w:ascii="Arial" w:hAnsi="Arial" w:cs="Arial"/>
                <w:b/>
                <w:bCs/>
                <w:color w:val="FFFFFF" w:themeColor="background1"/>
              </w:rPr>
              <w:t>50% (1)</w:t>
            </w:r>
          </w:p>
        </w:tc>
      </w:tr>
      <w:tr w:rsidR="003167C8" w14:paraId="697EBCC3" w14:textId="77777777" w:rsidTr="00B8AFBC">
        <w:trPr>
          <w:jc w:val="center"/>
        </w:trPr>
        <w:tc>
          <w:tcPr>
            <w:tcW w:w="2685" w:type="dxa"/>
          </w:tcPr>
          <w:p w14:paraId="03EE3A2D" w14:textId="77777777" w:rsidR="003167C8" w:rsidRDefault="003167C8" w:rsidP="003167C8">
            <w:pPr>
              <w:spacing w:before="40" w:after="40" w:line="259" w:lineRule="auto"/>
              <w:rPr>
                <w:rFonts w:ascii="Arial" w:eastAsia="Arial" w:hAnsi="Arial" w:cs="Arial"/>
                <w:color w:val="000000" w:themeColor="text1"/>
              </w:rPr>
            </w:pPr>
            <w:r w:rsidRPr="117BB052">
              <w:rPr>
                <w:rFonts w:ascii="Arial" w:eastAsia="Arial" w:hAnsi="Arial" w:cs="Arial"/>
                <w:b/>
                <w:bCs/>
                <w:color w:val="000000" w:themeColor="text1"/>
              </w:rPr>
              <w:t>Total</w:t>
            </w:r>
          </w:p>
        </w:tc>
        <w:tc>
          <w:tcPr>
            <w:tcW w:w="1380" w:type="dxa"/>
            <w:vAlign w:val="center"/>
          </w:tcPr>
          <w:p w14:paraId="653A7044" w14:textId="4C88BBE1" w:rsidR="003167C8" w:rsidRPr="008729D0" w:rsidRDefault="6FA4230B" w:rsidP="003167C8">
            <w:pPr>
              <w:spacing w:before="40" w:after="40" w:line="259" w:lineRule="auto"/>
              <w:jc w:val="center"/>
              <w:rPr>
                <w:rFonts w:ascii="Arial" w:eastAsia="Arial" w:hAnsi="Arial" w:cs="Arial"/>
                <w:b/>
              </w:rPr>
            </w:pPr>
            <w:r w:rsidRPr="008729D0">
              <w:rPr>
                <w:rFonts w:ascii="Arial" w:eastAsia="Arial" w:hAnsi="Arial" w:cs="Arial"/>
                <w:b/>
                <w:bCs/>
              </w:rPr>
              <w:t>4</w:t>
            </w:r>
            <w:r w:rsidR="003A31C3" w:rsidRPr="008729D0">
              <w:rPr>
                <w:rFonts w:ascii="Arial" w:eastAsia="Arial" w:hAnsi="Arial" w:cs="Arial"/>
                <w:b/>
                <w:bCs/>
              </w:rPr>
              <w:t>3</w:t>
            </w:r>
          </w:p>
        </w:tc>
        <w:tc>
          <w:tcPr>
            <w:tcW w:w="1200" w:type="dxa"/>
            <w:vAlign w:val="center"/>
          </w:tcPr>
          <w:p w14:paraId="0DF1C915" w14:textId="5CC18F59" w:rsidR="003167C8" w:rsidRPr="008729D0" w:rsidRDefault="002D22F6" w:rsidP="003167C8">
            <w:pPr>
              <w:spacing w:before="40" w:after="40" w:line="259" w:lineRule="auto"/>
              <w:jc w:val="center"/>
              <w:rPr>
                <w:rFonts w:ascii="Arial" w:eastAsia="Arial" w:hAnsi="Arial" w:cs="Arial"/>
                <w:b/>
              </w:rPr>
            </w:pPr>
            <w:r w:rsidRPr="008729D0">
              <w:rPr>
                <w:rFonts w:ascii="Arial" w:eastAsia="Arial" w:hAnsi="Arial" w:cs="Arial"/>
                <w:b/>
                <w:bCs/>
              </w:rPr>
              <w:t>19</w:t>
            </w:r>
            <w:r w:rsidR="003167C8" w:rsidRPr="008729D0">
              <w:rPr>
                <w:rFonts w:ascii="Arial" w:eastAsia="Arial" w:hAnsi="Arial" w:cs="Arial"/>
                <w:b/>
                <w:bCs/>
              </w:rPr>
              <w:t>%</w:t>
            </w:r>
            <w:r w:rsidR="00B92DE1" w:rsidRPr="008729D0">
              <w:rPr>
                <w:rFonts w:ascii="Arial" w:eastAsia="Arial" w:hAnsi="Arial" w:cs="Arial"/>
                <w:b/>
                <w:bCs/>
              </w:rPr>
              <w:t>*</w:t>
            </w:r>
            <w:r w:rsidR="003167C8" w:rsidRPr="008729D0">
              <w:rPr>
                <w:rFonts w:ascii="Arial" w:eastAsia="Arial" w:hAnsi="Arial" w:cs="Arial"/>
                <w:b/>
                <w:bCs/>
              </w:rPr>
              <w:t xml:space="preserve"> (</w:t>
            </w:r>
            <w:r w:rsidR="00ED670D" w:rsidRPr="008729D0">
              <w:rPr>
                <w:rFonts w:ascii="Arial" w:eastAsia="Arial" w:hAnsi="Arial" w:cs="Arial"/>
                <w:b/>
                <w:bCs/>
              </w:rPr>
              <w:t>8</w:t>
            </w:r>
            <w:r w:rsidR="003167C8" w:rsidRPr="008729D0">
              <w:rPr>
                <w:rFonts w:ascii="Arial" w:eastAsia="Arial" w:hAnsi="Arial" w:cs="Arial"/>
                <w:b/>
                <w:bCs/>
              </w:rPr>
              <w:t>)</w:t>
            </w:r>
          </w:p>
        </w:tc>
        <w:tc>
          <w:tcPr>
            <w:tcW w:w="1305" w:type="dxa"/>
            <w:vAlign w:val="center"/>
          </w:tcPr>
          <w:p w14:paraId="0FBBDF15" w14:textId="46F5D981" w:rsidR="003167C8" w:rsidRPr="008729D0" w:rsidRDefault="002D22F6" w:rsidP="003167C8">
            <w:pPr>
              <w:spacing w:before="40" w:after="40" w:line="259" w:lineRule="auto"/>
              <w:jc w:val="center"/>
              <w:rPr>
                <w:rFonts w:ascii="Arial" w:eastAsia="Arial" w:hAnsi="Arial" w:cs="Arial"/>
                <w:b/>
              </w:rPr>
            </w:pPr>
            <w:r w:rsidRPr="008729D0">
              <w:rPr>
                <w:rFonts w:ascii="Arial" w:eastAsia="Arial" w:hAnsi="Arial" w:cs="Arial"/>
                <w:b/>
                <w:bCs/>
              </w:rPr>
              <w:t>19</w:t>
            </w:r>
            <w:r w:rsidR="003167C8" w:rsidRPr="008729D0">
              <w:rPr>
                <w:rFonts w:ascii="Arial" w:eastAsia="Arial" w:hAnsi="Arial" w:cs="Arial"/>
                <w:b/>
                <w:bCs/>
              </w:rPr>
              <w:t>%</w:t>
            </w:r>
            <w:r w:rsidR="00EA5E92" w:rsidRPr="008729D0">
              <w:rPr>
                <w:rFonts w:ascii="Arial" w:eastAsia="Arial" w:hAnsi="Arial" w:cs="Arial"/>
                <w:b/>
                <w:bCs/>
              </w:rPr>
              <w:t>*</w:t>
            </w:r>
            <w:r w:rsidR="003167C8" w:rsidRPr="008729D0">
              <w:rPr>
                <w:rFonts w:ascii="Arial" w:eastAsia="Arial" w:hAnsi="Arial" w:cs="Arial"/>
                <w:b/>
                <w:bCs/>
              </w:rPr>
              <w:t xml:space="preserve"> (</w:t>
            </w:r>
            <w:r w:rsidR="006613AC" w:rsidRPr="008729D0">
              <w:rPr>
                <w:rFonts w:ascii="Arial" w:eastAsia="Arial" w:hAnsi="Arial" w:cs="Arial"/>
                <w:b/>
                <w:bCs/>
              </w:rPr>
              <w:t>8</w:t>
            </w:r>
            <w:r w:rsidR="003167C8" w:rsidRPr="008729D0">
              <w:rPr>
                <w:rFonts w:ascii="Arial" w:eastAsia="Arial" w:hAnsi="Arial" w:cs="Arial"/>
                <w:b/>
                <w:bCs/>
              </w:rPr>
              <w:t>)</w:t>
            </w:r>
          </w:p>
        </w:tc>
        <w:tc>
          <w:tcPr>
            <w:tcW w:w="1260" w:type="dxa"/>
            <w:vAlign w:val="center"/>
          </w:tcPr>
          <w:p w14:paraId="3569E1CD" w14:textId="70A20515" w:rsidR="003167C8" w:rsidRPr="008729D0" w:rsidRDefault="00894F31" w:rsidP="003167C8">
            <w:pPr>
              <w:spacing w:before="40" w:after="40" w:line="259" w:lineRule="auto"/>
              <w:jc w:val="center"/>
              <w:rPr>
                <w:rFonts w:ascii="Arial" w:eastAsia="Arial" w:hAnsi="Arial" w:cs="Arial"/>
                <w:b/>
              </w:rPr>
            </w:pPr>
            <w:r w:rsidRPr="008729D0">
              <w:rPr>
                <w:rFonts w:ascii="Arial" w:eastAsia="Arial" w:hAnsi="Arial" w:cs="Arial"/>
                <w:b/>
                <w:bCs/>
              </w:rPr>
              <w:t>21</w:t>
            </w:r>
            <w:r w:rsidR="28634EF1" w:rsidRPr="008729D0">
              <w:rPr>
                <w:rFonts w:ascii="Arial" w:eastAsia="Arial" w:hAnsi="Arial" w:cs="Arial"/>
                <w:b/>
                <w:bCs/>
              </w:rPr>
              <w:t>% (</w:t>
            </w:r>
            <w:r w:rsidR="00BE2929" w:rsidRPr="008729D0">
              <w:rPr>
                <w:rFonts w:ascii="Arial" w:eastAsia="Arial" w:hAnsi="Arial" w:cs="Arial"/>
                <w:b/>
                <w:bCs/>
              </w:rPr>
              <w:t>9</w:t>
            </w:r>
            <w:r w:rsidR="28634EF1" w:rsidRPr="008729D0">
              <w:rPr>
                <w:rFonts w:ascii="Arial" w:eastAsia="Arial" w:hAnsi="Arial" w:cs="Arial"/>
                <w:b/>
                <w:bCs/>
              </w:rPr>
              <w:t>)</w:t>
            </w:r>
          </w:p>
        </w:tc>
        <w:tc>
          <w:tcPr>
            <w:tcW w:w="1215" w:type="dxa"/>
            <w:vAlign w:val="center"/>
          </w:tcPr>
          <w:p w14:paraId="3A083FA7" w14:textId="2C82AC13" w:rsidR="003167C8" w:rsidRPr="008729D0" w:rsidRDefault="00CA302A" w:rsidP="003167C8">
            <w:pPr>
              <w:spacing w:before="40" w:after="40" w:line="259" w:lineRule="auto"/>
              <w:jc w:val="center"/>
              <w:rPr>
                <w:rFonts w:ascii="Arial" w:eastAsia="Arial" w:hAnsi="Arial" w:cs="Arial"/>
                <w:b/>
              </w:rPr>
            </w:pPr>
            <w:r w:rsidRPr="008729D0">
              <w:rPr>
                <w:rFonts w:ascii="Arial" w:eastAsia="Arial" w:hAnsi="Arial" w:cs="Arial"/>
                <w:b/>
                <w:bCs/>
              </w:rPr>
              <w:t>42</w:t>
            </w:r>
            <w:r w:rsidR="003167C8" w:rsidRPr="008729D0">
              <w:rPr>
                <w:rFonts w:ascii="Arial" w:eastAsia="Arial" w:hAnsi="Arial" w:cs="Arial"/>
                <w:b/>
                <w:bCs/>
              </w:rPr>
              <w:t>% (1</w:t>
            </w:r>
            <w:r w:rsidR="0073358E" w:rsidRPr="008729D0">
              <w:rPr>
                <w:rFonts w:ascii="Arial" w:eastAsia="Arial" w:hAnsi="Arial" w:cs="Arial"/>
                <w:b/>
                <w:bCs/>
              </w:rPr>
              <w:t>8</w:t>
            </w:r>
            <w:r w:rsidR="003167C8" w:rsidRPr="008729D0">
              <w:rPr>
                <w:rFonts w:ascii="Arial" w:eastAsia="Arial" w:hAnsi="Arial" w:cs="Arial"/>
                <w:b/>
                <w:bCs/>
              </w:rPr>
              <w:t>)</w:t>
            </w:r>
          </w:p>
        </w:tc>
      </w:tr>
    </w:tbl>
    <w:p w14:paraId="1B745A37" w14:textId="77777777" w:rsidR="00175B43" w:rsidRPr="00175B43" w:rsidRDefault="00175B43" w:rsidP="00175B43">
      <w:pPr>
        <w:spacing w:before="120" w:after="120" w:line="240" w:lineRule="auto"/>
        <w:ind w:firstLine="720"/>
        <w:rPr>
          <w:rFonts w:ascii="Arial" w:hAnsi="Arial" w:cs="Arial"/>
          <w:sz w:val="20"/>
          <w:szCs w:val="20"/>
        </w:rPr>
      </w:pPr>
      <w:r w:rsidRPr="00175B43">
        <w:rPr>
          <w:rFonts w:ascii="Arial" w:hAnsi="Arial" w:cs="Arial"/>
          <w:sz w:val="20"/>
          <w:szCs w:val="20"/>
        </w:rPr>
        <w:t>NB - * Figures rounded to nearest whole number</w:t>
      </w:r>
      <w:r w:rsidR="00E75E6D" w:rsidRPr="00175B43">
        <w:rPr>
          <w:rFonts w:ascii="Arial" w:hAnsi="Arial" w:cs="Arial"/>
          <w:sz w:val="20"/>
          <w:szCs w:val="20"/>
        </w:rPr>
        <w:br/>
      </w:r>
    </w:p>
    <w:p w14:paraId="63EFCDC8" w14:textId="387C812D" w:rsidR="00B0379D" w:rsidRDefault="00E75E6D" w:rsidP="00175B43">
      <w:pPr>
        <w:spacing w:before="120" w:after="120" w:line="240" w:lineRule="auto"/>
        <w:jc w:val="both"/>
        <w:rPr>
          <w:rFonts w:ascii="Arial" w:hAnsi="Arial" w:cs="Arial"/>
        </w:rPr>
      </w:pPr>
      <w:r w:rsidRPr="00834BDB">
        <w:rPr>
          <w:rFonts w:ascii="Arial" w:hAnsi="Arial" w:cs="Arial"/>
        </w:rPr>
        <w:t>The latest available picture of inter authority performance largely relates to the 202</w:t>
      </w:r>
      <w:r w:rsidR="00BF0950">
        <w:rPr>
          <w:rFonts w:ascii="Arial" w:hAnsi="Arial" w:cs="Arial"/>
        </w:rPr>
        <w:t>2</w:t>
      </w:r>
      <w:r w:rsidR="009A37C9">
        <w:rPr>
          <w:rFonts w:ascii="Arial" w:hAnsi="Arial" w:cs="Arial"/>
        </w:rPr>
        <w:t>-</w:t>
      </w:r>
      <w:r w:rsidRPr="00834BDB">
        <w:rPr>
          <w:rFonts w:ascii="Arial" w:hAnsi="Arial" w:cs="Arial"/>
        </w:rPr>
        <w:t>2</w:t>
      </w:r>
      <w:r w:rsidR="00BF0950">
        <w:rPr>
          <w:rFonts w:ascii="Arial" w:hAnsi="Arial" w:cs="Arial"/>
        </w:rPr>
        <w:t>3</w:t>
      </w:r>
      <w:r w:rsidR="00D0049B" w:rsidRPr="00834BDB">
        <w:rPr>
          <w:rFonts w:ascii="Arial" w:hAnsi="Arial" w:cs="Arial"/>
        </w:rPr>
        <w:t xml:space="preserve"> </w:t>
      </w:r>
      <w:r w:rsidRPr="00834BDB">
        <w:rPr>
          <w:rFonts w:ascii="Arial" w:hAnsi="Arial" w:cs="Arial"/>
        </w:rPr>
        <w:t>financial year.</w:t>
      </w:r>
      <w:r w:rsidR="004E26FB" w:rsidRPr="00834BDB">
        <w:rPr>
          <w:rFonts w:ascii="Arial" w:hAnsi="Arial" w:cs="Arial"/>
        </w:rPr>
        <w:t xml:space="preserve"> </w:t>
      </w:r>
      <w:r w:rsidR="0009191C" w:rsidRPr="00834BDB">
        <w:rPr>
          <w:rFonts w:ascii="Arial" w:hAnsi="Arial" w:cs="Arial"/>
        </w:rPr>
        <w:t>Therefore</w:t>
      </w:r>
      <w:r w:rsidR="00524B9F">
        <w:rPr>
          <w:rFonts w:ascii="Arial" w:hAnsi="Arial" w:cs="Arial"/>
        </w:rPr>
        <w:t>,</w:t>
      </w:r>
      <w:r w:rsidR="0009191C">
        <w:rPr>
          <w:rFonts w:ascii="Arial" w:hAnsi="Arial" w:cs="Arial"/>
        </w:rPr>
        <w:t xml:space="preserve"> </w:t>
      </w:r>
      <w:r w:rsidR="00BF3013">
        <w:rPr>
          <w:rFonts w:ascii="Arial" w:hAnsi="Arial" w:cs="Arial"/>
        </w:rPr>
        <w:t xml:space="preserve">St Helens </w:t>
      </w:r>
      <w:r w:rsidR="0009191C">
        <w:rPr>
          <w:rFonts w:ascii="Arial" w:hAnsi="Arial" w:cs="Arial"/>
        </w:rPr>
        <w:t xml:space="preserve">position </w:t>
      </w:r>
      <w:r w:rsidR="007318D3">
        <w:rPr>
          <w:rFonts w:ascii="Arial" w:hAnsi="Arial" w:cs="Arial"/>
        </w:rPr>
        <w:t>vi</w:t>
      </w:r>
      <w:r w:rsidR="00D960C7">
        <w:rPr>
          <w:rFonts w:ascii="Arial" w:hAnsi="Arial" w:cs="Arial"/>
        </w:rPr>
        <w:t>s-</w:t>
      </w:r>
      <w:r w:rsidR="007318D3">
        <w:rPr>
          <w:rFonts w:ascii="Arial" w:hAnsi="Arial" w:cs="Arial"/>
        </w:rPr>
        <w:t>a</w:t>
      </w:r>
      <w:r w:rsidR="00D960C7">
        <w:rPr>
          <w:rFonts w:ascii="Arial" w:hAnsi="Arial" w:cs="Arial"/>
        </w:rPr>
        <w:t>-</w:t>
      </w:r>
      <w:r w:rsidR="007318D3">
        <w:rPr>
          <w:rFonts w:ascii="Arial" w:hAnsi="Arial" w:cs="Arial"/>
        </w:rPr>
        <w:t>vi</w:t>
      </w:r>
      <w:r w:rsidR="00D960C7">
        <w:rPr>
          <w:rFonts w:ascii="Arial" w:hAnsi="Arial" w:cs="Arial"/>
        </w:rPr>
        <w:t>s</w:t>
      </w:r>
      <w:r w:rsidR="007318D3">
        <w:rPr>
          <w:rFonts w:ascii="Arial" w:hAnsi="Arial" w:cs="Arial"/>
        </w:rPr>
        <w:t xml:space="preserve"> it</w:t>
      </w:r>
      <w:r w:rsidR="00073A17">
        <w:rPr>
          <w:rFonts w:ascii="Arial" w:hAnsi="Arial" w:cs="Arial"/>
        </w:rPr>
        <w:t xml:space="preserve">s quartile position </w:t>
      </w:r>
      <w:r w:rsidR="004C0298">
        <w:rPr>
          <w:rFonts w:ascii="Arial" w:hAnsi="Arial" w:cs="Arial"/>
        </w:rPr>
        <w:t>is based on St Helens performance in th</w:t>
      </w:r>
      <w:r w:rsidR="00751740">
        <w:rPr>
          <w:rFonts w:ascii="Arial" w:hAnsi="Arial" w:cs="Arial"/>
        </w:rPr>
        <w:t>at particular year relative to its statistical neighbour</w:t>
      </w:r>
      <w:r w:rsidR="00524B9F">
        <w:rPr>
          <w:rFonts w:ascii="Arial" w:hAnsi="Arial" w:cs="Arial"/>
        </w:rPr>
        <w:t xml:space="preserve">s. </w:t>
      </w:r>
      <w:r w:rsidR="00797949">
        <w:rPr>
          <w:rFonts w:ascii="Arial" w:hAnsi="Arial" w:cs="Arial"/>
        </w:rPr>
        <w:t>Future reports will be updated to reflect the 202</w:t>
      </w:r>
      <w:r w:rsidR="001703EE">
        <w:rPr>
          <w:rFonts w:ascii="Arial" w:hAnsi="Arial" w:cs="Arial"/>
        </w:rPr>
        <w:t>3</w:t>
      </w:r>
      <w:r w:rsidR="009A37C9">
        <w:rPr>
          <w:rFonts w:ascii="Arial" w:hAnsi="Arial" w:cs="Arial"/>
        </w:rPr>
        <w:t>-</w:t>
      </w:r>
      <w:r w:rsidR="00797949">
        <w:rPr>
          <w:rFonts w:ascii="Arial" w:hAnsi="Arial" w:cs="Arial"/>
        </w:rPr>
        <w:t>2</w:t>
      </w:r>
      <w:r w:rsidR="001703EE">
        <w:rPr>
          <w:rFonts w:ascii="Arial" w:hAnsi="Arial" w:cs="Arial"/>
        </w:rPr>
        <w:t>4</w:t>
      </w:r>
      <w:r w:rsidR="00797949">
        <w:rPr>
          <w:rFonts w:ascii="Arial" w:hAnsi="Arial" w:cs="Arial"/>
        </w:rPr>
        <w:t xml:space="preserve"> comparative </w:t>
      </w:r>
      <w:r w:rsidR="003B3AD5">
        <w:rPr>
          <w:rFonts w:ascii="Arial" w:hAnsi="Arial" w:cs="Arial"/>
        </w:rPr>
        <w:t>performance position as and when verified data is published.</w:t>
      </w:r>
    </w:p>
    <w:p w14:paraId="74B64E60" w14:textId="77777777" w:rsidR="00524B9F" w:rsidRPr="00524B9F" w:rsidRDefault="00524B9F" w:rsidP="00524B9F">
      <w:pPr>
        <w:spacing w:before="120" w:after="120" w:line="240" w:lineRule="auto"/>
        <w:jc w:val="both"/>
        <w:rPr>
          <w:rFonts w:ascii="Arial" w:hAnsi="Arial" w:cs="Arial"/>
        </w:rPr>
      </w:pPr>
    </w:p>
    <w:p w14:paraId="01B66AE5" w14:textId="77777777" w:rsidR="00B0379D" w:rsidRPr="00F31950" w:rsidRDefault="00E75E6D" w:rsidP="00B0379D">
      <w:pPr>
        <w:pStyle w:val="Heading2"/>
        <w:spacing w:before="120" w:after="240" w:line="240" w:lineRule="auto"/>
        <w:rPr>
          <w:b/>
          <w:color w:val="FF0000"/>
          <w:sz w:val="24"/>
          <w:szCs w:val="24"/>
        </w:rPr>
      </w:pPr>
      <w:bookmarkStart w:id="8" w:name="_Toc174698096"/>
      <w:r w:rsidRPr="00817E0C">
        <w:rPr>
          <w:b/>
          <w:color w:val="000000" w:themeColor="text1"/>
          <w:sz w:val="24"/>
          <w:szCs w:val="24"/>
        </w:rPr>
        <w:t>4.4 Summary and conclusion of statistical analysis</w:t>
      </w:r>
      <w:bookmarkEnd w:id="8"/>
    </w:p>
    <w:p w14:paraId="4E2F829F" w14:textId="3D01EB17" w:rsidR="00B0379D" w:rsidRPr="00DD50FD" w:rsidRDefault="00A5392B" w:rsidP="00E10B8B">
      <w:pPr>
        <w:pStyle w:val="ListBullet"/>
        <w:numPr>
          <w:ilvl w:val="0"/>
          <w:numId w:val="14"/>
        </w:numPr>
        <w:spacing w:after="80" w:line="240" w:lineRule="auto"/>
        <w:ind w:left="714" w:hanging="357"/>
        <w:contextualSpacing w:val="0"/>
        <w:jc w:val="both"/>
        <w:rPr>
          <w:rFonts w:ascii="Arial" w:hAnsi="Arial" w:cs="Arial"/>
          <w:color w:val="FF0000"/>
        </w:rPr>
      </w:pPr>
      <w:r>
        <w:rPr>
          <w:rFonts w:ascii="Arial" w:hAnsi="Arial" w:cs="Arial"/>
          <w:b/>
          <w:bCs/>
          <w:color w:val="00B050"/>
        </w:rPr>
        <w:t>79</w:t>
      </w:r>
      <w:r w:rsidR="00E75E6D" w:rsidRPr="00AA7911">
        <w:rPr>
          <w:rFonts w:ascii="Arial" w:hAnsi="Arial" w:cs="Arial"/>
          <w:b/>
          <w:color w:val="00B050"/>
        </w:rPr>
        <w:t>%</w:t>
      </w:r>
      <w:r w:rsidR="00E75E6D" w:rsidRPr="00AA7911">
        <w:rPr>
          <w:rFonts w:ascii="Arial" w:hAnsi="Arial" w:cs="Arial"/>
          <w:color w:val="00B050"/>
        </w:rPr>
        <w:t xml:space="preserve"> </w:t>
      </w:r>
      <w:r w:rsidR="00E75E6D" w:rsidRPr="001B5079">
        <w:rPr>
          <w:rFonts w:ascii="Arial" w:hAnsi="Arial" w:cs="Arial"/>
        </w:rPr>
        <w:t xml:space="preserve">of indicator targets have been either exceeded, met fully, or met within 95% </w:t>
      </w:r>
      <w:r w:rsidR="00E75E6D" w:rsidRPr="00957D36">
        <w:rPr>
          <w:rFonts w:ascii="Arial" w:hAnsi="Arial" w:cs="Arial"/>
        </w:rPr>
        <w:t xml:space="preserve">of target. This compares to </w:t>
      </w:r>
      <w:r w:rsidR="003858CD">
        <w:rPr>
          <w:rFonts w:ascii="Arial" w:hAnsi="Arial" w:cs="Arial"/>
        </w:rPr>
        <w:t>81</w:t>
      </w:r>
      <w:r w:rsidR="00E75E6D" w:rsidRPr="00957D36">
        <w:rPr>
          <w:rFonts w:ascii="Arial" w:hAnsi="Arial" w:cs="Arial"/>
        </w:rPr>
        <w:t xml:space="preserve">% of indicators at </w:t>
      </w:r>
      <w:r w:rsidR="00A2579B" w:rsidRPr="00957D36">
        <w:rPr>
          <w:rFonts w:ascii="Arial" w:hAnsi="Arial" w:cs="Arial"/>
        </w:rPr>
        <w:t>Q</w:t>
      </w:r>
      <w:r w:rsidR="00A14BB1">
        <w:rPr>
          <w:rFonts w:ascii="Arial" w:hAnsi="Arial" w:cs="Arial"/>
        </w:rPr>
        <w:t>uarter</w:t>
      </w:r>
      <w:r w:rsidR="00A2579B" w:rsidRPr="00957D36">
        <w:rPr>
          <w:rFonts w:ascii="Arial" w:hAnsi="Arial" w:cs="Arial"/>
        </w:rPr>
        <w:t>1 202</w:t>
      </w:r>
      <w:r w:rsidR="003858CD">
        <w:rPr>
          <w:rFonts w:ascii="Arial" w:hAnsi="Arial" w:cs="Arial"/>
        </w:rPr>
        <w:t>3</w:t>
      </w:r>
      <w:r w:rsidR="000E3083">
        <w:rPr>
          <w:rFonts w:ascii="Arial" w:hAnsi="Arial" w:cs="Arial"/>
        </w:rPr>
        <w:t>-</w:t>
      </w:r>
      <w:r w:rsidR="003E659F">
        <w:rPr>
          <w:rFonts w:ascii="Arial" w:hAnsi="Arial" w:cs="Arial"/>
        </w:rPr>
        <w:t>2</w:t>
      </w:r>
      <w:r w:rsidR="003858CD">
        <w:rPr>
          <w:rFonts w:ascii="Arial" w:hAnsi="Arial" w:cs="Arial"/>
        </w:rPr>
        <w:t>4</w:t>
      </w:r>
      <w:r w:rsidR="00E75E6D" w:rsidRPr="00957D36">
        <w:rPr>
          <w:rFonts w:ascii="Arial" w:hAnsi="Arial" w:cs="Arial"/>
        </w:rPr>
        <w:t>.</w:t>
      </w:r>
    </w:p>
    <w:p w14:paraId="0FB2E6C8" w14:textId="6DD0A95A" w:rsidR="00B0379D" w:rsidRPr="00DD50FD" w:rsidRDefault="003858CD" w:rsidP="00E10B8B">
      <w:pPr>
        <w:pStyle w:val="ListBullet"/>
        <w:numPr>
          <w:ilvl w:val="0"/>
          <w:numId w:val="14"/>
        </w:numPr>
        <w:spacing w:after="80" w:line="240" w:lineRule="auto"/>
        <w:ind w:left="714" w:hanging="357"/>
        <w:contextualSpacing w:val="0"/>
        <w:jc w:val="both"/>
        <w:rPr>
          <w:rFonts w:ascii="Arial" w:hAnsi="Arial" w:cs="Arial"/>
          <w:color w:val="FF0000"/>
        </w:rPr>
      </w:pPr>
      <w:r>
        <w:rPr>
          <w:rFonts w:ascii="Arial" w:hAnsi="Arial" w:cs="Arial"/>
          <w:b/>
          <w:bCs/>
          <w:color w:val="FF0000"/>
        </w:rPr>
        <w:t>21</w:t>
      </w:r>
      <w:r w:rsidR="00E75E6D" w:rsidRPr="00377A3F">
        <w:rPr>
          <w:rFonts w:ascii="Arial" w:hAnsi="Arial" w:cs="Arial"/>
          <w:b/>
          <w:color w:val="FF0000"/>
        </w:rPr>
        <w:t>%</w:t>
      </w:r>
      <w:r w:rsidR="00E75E6D" w:rsidRPr="00377A3F">
        <w:rPr>
          <w:rFonts w:ascii="Arial" w:hAnsi="Arial" w:cs="Arial"/>
          <w:color w:val="FF0000"/>
        </w:rPr>
        <w:t xml:space="preserve"> </w:t>
      </w:r>
      <w:r w:rsidR="00E75E6D" w:rsidRPr="001B5079">
        <w:rPr>
          <w:rFonts w:ascii="Arial" w:hAnsi="Arial" w:cs="Arial"/>
        </w:rPr>
        <w:t>of indicator targets were not met.</w:t>
      </w:r>
      <w:r w:rsidR="00E75E6D" w:rsidRPr="00B8AFBC">
        <w:rPr>
          <w:rFonts w:ascii="Arial" w:hAnsi="Arial" w:cs="Arial"/>
          <w:color w:val="FF0000"/>
        </w:rPr>
        <w:t xml:space="preserve"> </w:t>
      </w:r>
      <w:r w:rsidR="00E75E6D" w:rsidRPr="00957D36">
        <w:rPr>
          <w:rFonts w:ascii="Arial" w:hAnsi="Arial" w:cs="Arial"/>
        </w:rPr>
        <w:t xml:space="preserve">This compares to </w:t>
      </w:r>
      <w:r>
        <w:rPr>
          <w:rFonts w:ascii="Arial" w:hAnsi="Arial" w:cs="Arial"/>
        </w:rPr>
        <w:t>19</w:t>
      </w:r>
      <w:r w:rsidR="00E75E6D" w:rsidRPr="00957D36">
        <w:rPr>
          <w:rFonts w:ascii="Arial" w:hAnsi="Arial" w:cs="Arial"/>
        </w:rPr>
        <w:t xml:space="preserve">% of indicators at </w:t>
      </w:r>
      <w:r w:rsidR="00A22E40">
        <w:rPr>
          <w:rFonts w:ascii="Arial" w:hAnsi="Arial" w:cs="Arial"/>
        </w:rPr>
        <w:t>Quarter 1</w:t>
      </w:r>
      <w:r w:rsidR="00D230E5" w:rsidRPr="00957D36">
        <w:rPr>
          <w:rFonts w:ascii="Arial" w:hAnsi="Arial" w:cs="Arial"/>
        </w:rPr>
        <w:t xml:space="preserve"> 202</w:t>
      </w:r>
      <w:r>
        <w:rPr>
          <w:rFonts w:ascii="Arial" w:hAnsi="Arial" w:cs="Arial"/>
        </w:rPr>
        <w:t>3</w:t>
      </w:r>
      <w:r w:rsidR="000E3083">
        <w:rPr>
          <w:rFonts w:ascii="Arial" w:hAnsi="Arial" w:cs="Arial"/>
        </w:rPr>
        <w:t>-</w:t>
      </w:r>
      <w:r w:rsidR="003E659F">
        <w:rPr>
          <w:rFonts w:ascii="Arial" w:hAnsi="Arial" w:cs="Arial"/>
        </w:rPr>
        <w:t>2</w:t>
      </w:r>
      <w:r>
        <w:rPr>
          <w:rFonts w:ascii="Arial" w:hAnsi="Arial" w:cs="Arial"/>
        </w:rPr>
        <w:t>4</w:t>
      </w:r>
      <w:r w:rsidR="00E75E6D" w:rsidRPr="00957D36">
        <w:rPr>
          <w:rFonts w:ascii="Arial" w:hAnsi="Arial" w:cs="Arial"/>
        </w:rPr>
        <w:t>.</w:t>
      </w:r>
    </w:p>
    <w:p w14:paraId="5D4C490B" w14:textId="5A4FEC7B" w:rsidR="00B0379D" w:rsidRPr="00723A11" w:rsidRDefault="00E75E6D" w:rsidP="00E10B8B">
      <w:pPr>
        <w:pStyle w:val="ListBullet"/>
        <w:numPr>
          <w:ilvl w:val="0"/>
          <w:numId w:val="14"/>
        </w:numPr>
        <w:spacing w:after="80" w:line="240" w:lineRule="auto"/>
        <w:ind w:left="714" w:hanging="357"/>
        <w:contextualSpacing w:val="0"/>
        <w:jc w:val="both"/>
        <w:rPr>
          <w:rFonts w:ascii="Arial" w:hAnsi="Arial" w:cs="Arial"/>
        </w:rPr>
      </w:pPr>
      <w:r w:rsidRPr="00723A11">
        <w:rPr>
          <w:rFonts w:ascii="Arial" w:hAnsi="Arial" w:cs="Arial"/>
        </w:rPr>
        <w:t xml:space="preserve">The trend measure indicates over the course of the last 12 months </w:t>
      </w:r>
      <w:r w:rsidR="006462AE" w:rsidRPr="00723A11">
        <w:rPr>
          <w:rFonts w:ascii="Arial" w:hAnsi="Arial" w:cs="Arial"/>
          <w:b/>
          <w:bCs/>
        </w:rPr>
        <w:t>51</w:t>
      </w:r>
      <w:r w:rsidRPr="00723A11">
        <w:rPr>
          <w:rFonts w:ascii="Arial" w:hAnsi="Arial" w:cs="Arial"/>
          <w:b/>
        </w:rPr>
        <w:t>%</w:t>
      </w:r>
      <w:r w:rsidRPr="00723A11">
        <w:rPr>
          <w:rFonts w:ascii="Arial" w:hAnsi="Arial" w:cs="Arial"/>
        </w:rPr>
        <w:t xml:space="preserve"> of indicators showed improvement,</w:t>
      </w:r>
      <w:r w:rsidRPr="00723A11">
        <w:rPr>
          <w:rFonts w:ascii="Arial" w:hAnsi="Arial" w:cs="Arial"/>
          <w:b/>
        </w:rPr>
        <w:t xml:space="preserve"> </w:t>
      </w:r>
      <w:r w:rsidR="00C46B4B" w:rsidRPr="00723A11">
        <w:rPr>
          <w:rFonts w:ascii="Arial" w:hAnsi="Arial" w:cs="Arial"/>
          <w:b/>
          <w:bCs/>
        </w:rPr>
        <w:t>9</w:t>
      </w:r>
      <w:r w:rsidRPr="00723A11">
        <w:rPr>
          <w:rFonts w:ascii="Arial" w:hAnsi="Arial" w:cs="Arial"/>
          <w:b/>
        </w:rPr>
        <w:t xml:space="preserve">% </w:t>
      </w:r>
      <w:r w:rsidRPr="00723A11">
        <w:rPr>
          <w:rFonts w:ascii="Arial" w:hAnsi="Arial" w:cs="Arial"/>
        </w:rPr>
        <w:t xml:space="preserve">of indicators maintained the same performance and </w:t>
      </w:r>
      <w:r w:rsidR="00723A11" w:rsidRPr="00723A11">
        <w:rPr>
          <w:rFonts w:ascii="Arial" w:hAnsi="Arial" w:cs="Arial"/>
          <w:b/>
          <w:bCs/>
        </w:rPr>
        <w:t>40</w:t>
      </w:r>
      <w:r w:rsidRPr="00723A11">
        <w:rPr>
          <w:rFonts w:ascii="Arial" w:hAnsi="Arial" w:cs="Arial"/>
          <w:b/>
        </w:rPr>
        <w:t>%</w:t>
      </w:r>
      <w:r w:rsidRPr="00723A11">
        <w:rPr>
          <w:rFonts w:ascii="Arial" w:hAnsi="Arial" w:cs="Arial"/>
        </w:rPr>
        <w:t xml:space="preserve"> of indicators showed a downward trajector</w:t>
      </w:r>
      <w:r w:rsidR="00AC6D21">
        <w:rPr>
          <w:rFonts w:ascii="Arial" w:hAnsi="Arial" w:cs="Arial"/>
        </w:rPr>
        <w:t xml:space="preserve">y. </w:t>
      </w:r>
      <w:r w:rsidRPr="00723A11">
        <w:rPr>
          <w:rFonts w:ascii="Arial" w:hAnsi="Arial" w:cs="Arial"/>
        </w:rPr>
        <w:t>The position i</w:t>
      </w:r>
      <w:r w:rsidR="000A64C5" w:rsidRPr="00723A11">
        <w:rPr>
          <w:rFonts w:ascii="Arial" w:hAnsi="Arial" w:cs="Arial"/>
        </w:rPr>
        <w:t>n Quarter 1 20</w:t>
      </w:r>
      <w:r w:rsidR="007F0702" w:rsidRPr="00723A11">
        <w:rPr>
          <w:rFonts w:ascii="Arial" w:hAnsi="Arial" w:cs="Arial"/>
        </w:rPr>
        <w:t>2</w:t>
      </w:r>
      <w:r w:rsidR="00DA3D3A">
        <w:rPr>
          <w:rFonts w:ascii="Arial" w:hAnsi="Arial" w:cs="Arial"/>
        </w:rPr>
        <w:t>3</w:t>
      </w:r>
      <w:r w:rsidR="007F0702" w:rsidRPr="00723A11">
        <w:rPr>
          <w:rFonts w:ascii="Arial" w:hAnsi="Arial" w:cs="Arial"/>
        </w:rPr>
        <w:t>-2</w:t>
      </w:r>
      <w:r w:rsidR="00DA3D3A">
        <w:rPr>
          <w:rFonts w:ascii="Arial" w:hAnsi="Arial" w:cs="Arial"/>
        </w:rPr>
        <w:t>4</w:t>
      </w:r>
      <w:r w:rsidR="007F0702" w:rsidRPr="00723A11">
        <w:rPr>
          <w:rFonts w:ascii="Arial" w:hAnsi="Arial" w:cs="Arial"/>
        </w:rPr>
        <w:t xml:space="preserve"> was that </w:t>
      </w:r>
      <w:r w:rsidR="00C46B4B" w:rsidRPr="00723A11">
        <w:rPr>
          <w:rStyle w:val="normaltextrun"/>
          <w:rFonts w:ascii="Arial" w:hAnsi="Arial" w:cs="Arial"/>
          <w:b/>
          <w:bCs/>
          <w:shd w:val="clear" w:color="auto" w:fill="FFFFFF"/>
        </w:rPr>
        <w:t>51</w:t>
      </w:r>
      <w:r w:rsidR="007F0702" w:rsidRPr="00723A11">
        <w:rPr>
          <w:rStyle w:val="normaltextrun"/>
          <w:rFonts w:ascii="Arial" w:hAnsi="Arial" w:cs="Arial"/>
          <w:b/>
          <w:bCs/>
          <w:shd w:val="clear" w:color="auto" w:fill="FFFFFF"/>
        </w:rPr>
        <w:t>%</w:t>
      </w:r>
      <w:r w:rsidR="007F0702" w:rsidRPr="00723A11">
        <w:rPr>
          <w:rStyle w:val="normaltextrun"/>
          <w:rFonts w:ascii="Arial" w:hAnsi="Arial" w:cs="Arial"/>
          <w:shd w:val="clear" w:color="auto" w:fill="FFFFFF"/>
        </w:rPr>
        <w:t xml:space="preserve"> of indicators showed improvement,</w:t>
      </w:r>
      <w:r w:rsidR="007F0702" w:rsidRPr="00723A11">
        <w:rPr>
          <w:rStyle w:val="normaltextrun"/>
          <w:rFonts w:ascii="Arial" w:hAnsi="Arial" w:cs="Arial"/>
          <w:b/>
          <w:bCs/>
          <w:shd w:val="clear" w:color="auto" w:fill="FFFFFF"/>
        </w:rPr>
        <w:t xml:space="preserve"> </w:t>
      </w:r>
      <w:r w:rsidR="00C46B4B" w:rsidRPr="00723A11">
        <w:rPr>
          <w:rStyle w:val="normaltextrun"/>
          <w:rFonts w:ascii="Arial" w:hAnsi="Arial" w:cs="Arial"/>
          <w:b/>
          <w:bCs/>
          <w:shd w:val="clear" w:color="auto" w:fill="FFFFFF"/>
        </w:rPr>
        <w:t>13</w:t>
      </w:r>
      <w:r w:rsidR="007F0702" w:rsidRPr="00723A11">
        <w:rPr>
          <w:rStyle w:val="normaltextrun"/>
          <w:rFonts w:ascii="Arial" w:hAnsi="Arial" w:cs="Arial"/>
          <w:b/>
          <w:bCs/>
          <w:shd w:val="clear" w:color="auto" w:fill="FFFFFF"/>
        </w:rPr>
        <w:t xml:space="preserve">% </w:t>
      </w:r>
      <w:r w:rsidR="007F0702" w:rsidRPr="00723A11">
        <w:rPr>
          <w:rStyle w:val="normaltextrun"/>
          <w:rFonts w:ascii="Arial" w:hAnsi="Arial" w:cs="Arial"/>
          <w:shd w:val="clear" w:color="auto" w:fill="FFFFFF"/>
        </w:rPr>
        <w:t xml:space="preserve">of indicators maintained the same performance and </w:t>
      </w:r>
      <w:r w:rsidR="00C46B4B" w:rsidRPr="00723A11">
        <w:rPr>
          <w:rStyle w:val="normaltextrun"/>
          <w:rFonts w:ascii="Arial" w:hAnsi="Arial" w:cs="Arial"/>
          <w:b/>
          <w:bCs/>
          <w:shd w:val="clear" w:color="auto" w:fill="FFFFFF"/>
        </w:rPr>
        <w:t>37</w:t>
      </w:r>
      <w:r w:rsidR="007F0702" w:rsidRPr="00723A11">
        <w:rPr>
          <w:rStyle w:val="normaltextrun"/>
          <w:rFonts w:ascii="Arial" w:hAnsi="Arial" w:cs="Arial"/>
          <w:b/>
          <w:bCs/>
          <w:shd w:val="clear" w:color="auto" w:fill="FFFFFF"/>
        </w:rPr>
        <w:t>%</w:t>
      </w:r>
      <w:r w:rsidR="007F0702" w:rsidRPr="00723A11">
        <w:rPr>
          <w:rStyle w:val="normaltextrun"/>
          <w:rFonts w:ascii="Arial" w:hAnsi="Arial" w:cs="Arial"/>
          <w:shd w:val="clear" w:color="auto" w:fill="FFFFFF"/>
        </w:rPr>
        <w:t xml:space="preserve"> of indicators showed a downward trajectory</w:t>
      </w:r>
      <w:r w:rsidR="00CD0D67">
        <w:rPr>
          <w:rStyle w:val="normaltextrun"/>
          <w:rFonts w:ascii="Arial" w:hAnsi="Arial" w:cs="Arial"/>
          <w:shd w:val="clear" w:color="auto" w:fill="FFFFFF"/>
        </w:rPr>
        <w:t xml:space="preserve"> (</w:t>
      </w:r>
      <w:r w:rsidR="00442C61">
        <w:rPr>
          <w:rStyle w:val="normaltextrun"/>
          <w:rFonts w:ascii="Arial" w:hAnsi="Arial" w:cs="Arial"/>
          <w:shd w:val="clear" w:color="auto" w:fill="FFFFFF"/>
        </w:rPr>
        <w:t xml:space="preserve">NB </w:t>
      </w:r>
      <w:r w:rsidR="00CD0D67">
        <w:rPr>
          <w:rStyle w:val="normaltextrun"/>
          <w:rFonts w:ascii="Arial" w:hAnsi="Arial" w:cs="Arial"/>
          <w:shd w:val="clear" w:color="auto" w:fill="FFFFFF"/>
        </w:rPr>
        <w:t>numbers rounded to nearest whole number in Quarter 1 2023-24)</w:t>
      </w:r>
      <w:r w:rsidR="007F0702" w:rsidRPr="00723A11">
        <w:rPr>
          <w:rStyle w:val="normaltextrun"/>
          <w:rFonts w:ascii="Arial" w:hAnsi="Arial" w:cs="Arial"/>
          <w:shd w:val="clear" w:color="auto" w:fill="FFFFFF"/>
        </w:rPr>
        <w:t>.</w:t>
      </w:r>
      <w:r w:rsidRPr="00723A11">
        <w:rPr>
          <w:rFonts w:ascii="Arial" w:hAnsi="Arial" w:cs="Arial"/>
        </w:rPr>
        <w:t xml:space="preserve"> </w:t>
      </w:r>
    </w:p>
    <w:p w14:paraId="529B0249" w14:textId="74FF0D6E" w:rsidR="00B0379D" w:rsidRPr="006A5C3A" w:rsidRDefault="0076522F" w:rsidP="00E10B8B">
      <w:pPr>
        <w:pStyle w:val="ListBullet"/>
        <w:numPr>
          <w:ilvl w:val="0"/>
          <w:numId w:val="14"/>
        </w:numPr>
        <w:spacing w:after="80" w:line="240" w:lineRule="auto"/>
        <w:ind w:left="714" w:hanging="357"/>
        <w:contextualSpacing w:val="0"/>
        <w:jc w:val="both"/>
        <w:rPr>
          <w:rFonts w:ascii="Arial" w:hAnsi="Arial" w:cs="Arial"/>
        </w:rPr>
      </w:pPr>
      <w:r w:rsidRPr="006A5C3A">
        <w:rPr>
          <w:rFonts w:ascii="Arial" w:hAnsi="Arial" w:cs="Arial"/>
          <w:b/>
          <w:bCs/>
        </w:rPr>
        <w:t>19</w:t>
      </w:r>
      <w:r w:rsidR="00E75E6D" w:rsidRPr="006A5C3A">
        <w:rPr>
          <w:rFonts w:ascii="Arial" w:hAnsi="Arial" w:cs="Arial"/>
          <w:b/>
        </w:rPr>
        <w:t>%</w:t>
      </w:r>
      <w:r w:rsidR="00E75E6D" w:rsidRPr="006A5C3A">
        <w:rPr>
          <w:rFonts w:ascii="Arial" w:hAnsi="Arial" w:cs="Arial"/>
        </w:rPr>
        <w:t xml:space="preserve"> of all indicators where comparison is possible are in the top quartile, compared to </w:t>
      </w:r>
      <w:r w:rsidRPr="006A5C3A">
        <w:rPr>
          <w:rFonts w:ascii="Arial" w:hAnsi="Arial" w:cs="Arial"/>
        </w:rPr>
        <w:t>21</w:t>
      </w:r>
      <w:r w:rsidR="00E75E6D" w:rsidRPr="006A5C3A">
        <w:rPr>
          <w:rFonts w:ascii="Arial" w:hAnsi="Arial" w:cs="Arial"/>
        </w:rPr>
        <w:t xml:space="preserve">% </w:t>
      </w:r>
      <w:r w:rsidR="00D230E5" w:rsidRPr="006A5C3A">
        <w:rPr>
          <w:rFonts w:ascii="Arial" w:hAnsi="Arial" w:cs="Arial"/>
        </w:rPr>
        <w:t>at</w:t>
      </w:r>
      <w:r w:rsidR="00E75E6D" w:rsidRPr="006A5C3A">
        <w:rPr>
          <w:rFonts w:ascii="Arial" w:hAnsi="Arial" w:cs="Arial"/>
        </w:rPr>
        <w:t xml:space="preserve"> </w:t>
      </w:r>
      <w:r w:rsidR="00A2579B" w:rsidRPr="006A5C3A">
        <w:rPr>
          <w:rFonts w:ascii="Arial" w:hAnsi="Arial" w:cs="Arial"/>
        </w:rPr>
        <w:t>Q</w:t>
      </w:r>
      <w:r w:rsidR="00A14BB1" w:rsidRPr="006A5C3A">
        <w:rPr>
          <w:rFonts w:ascii="Arial" w:hAnsi="Arial" w:cs="Arial"/>
        </w:rPr>
        <w:t xml:space="preserve">uarter </w:t>
      </w:r>
      <w:r w:rsidR="00A2579B" w:rsidRPr="006A5C3A">
        <w:rPr>
          <w:rFonts w:ascii="Arial" w:hAnsi="Arial" w:cs="Arial"/>
        </w:rPr>
        <w:t>1 202</w:t>
      </w:r>
      <w:r w:rsidR="00EE349B" w:rsidRPr="006A5C3A">
        <w:rPr>
          <w:rFonts w:ascii="Arial" w:hAnsi="Arial" w:cs="Arial"/>
        </w:rPr>
        <w:t>3</w:t>
      </w:r>
      <w:r w:rsidR="007D2588" w:rsidRPr="006A5C3A">
        <w:rPr>
          <w:rFonts w:ascii="Arial" w:hAnsi="Arial" w:cs="Arial"/>
        </w:rPr>
        <w:t>-</w:t>
      </w:r>
      <w:r w:rsidR="00A2579B" w:rsidRPr="006A5C3A">
        <w:rPr>
          <w:rFonts w:ascii="Arial" w:hAnsi="Arial" w:cs="Arial"/>
        </w:rPr>
        <w:t>2</w:t>
      </w:r>
      <w:r w:rsidR="00EE349B" w:rsidRPr="006A5C3A">
        <w:rPr>
          <w:rFonts w:ascii="Arial" w:hAnsi="Arial" w:cs="Arial"/>
        </w:rPr>
        <w:t>4</w:t>
      </w:r>
      <w:r w:rsidR="00E75E6D" w:rsidRPr="006A5C3A">
        <w:rPr>
          <w:rFonts w:ascii="Arial" w:hAnsi="Arial" w:cs="Arial"/>
        </w:rPr>
        <w:t xml:space="preserve">, whilst </w:t>
      </w:r>
      <w:r w:rsidR="006032E1" w:rsidRPr="006A5C3A">
        <w:rPr>
          <w:rFonts w:ascii="Arial" w:hAnsi="Arial" w:cs="Arial"/>
          <w:b/>
          <w:bCs/>
        </w:rPr>
        <w:t>42</w:t>
      </w:r>
      <w:r w:rsidR="00E75E6D" w:rsidRPr="006A5C3A">
        <w:rPr>
          <w:rFonts w:ascii="Arial" w:hAnsi="Arial" w:cs="Arial"/>
          <w:b/>
        </w:rPr>
        <w:t>%</w:t>
      </w:r>
      <w:r w:rsidR="00E75E6D" w:rsidRPr="006A5C3A">
        <w:rPr>
          <w:rFonts w:ascii="Arial" w:hAnsi="Arial" w:cs="Arial"/>
        </w:rPr>
        <w:t xml:space="preserve"> are in the bottom quartile, compared to </w:t>
      </w:r>
      <w:r w:rsidR="006032E1" w:rsidRPr="006A5C3A">
        <w:rPr>
          <w:rFonts w:ascii="Arial" w:hAnsi="Arial" w:cs="Arial"/>
        </w:rPr>
        <w:t>24</w:t>
      </w:r>
      <w:r w:rsidR="00E75E6D" w:rsidRPr="006A5C3A">
        <w:rPr>
          <w:rFonts w:ascii="Arial" w:hAnsi="Arial" w:cs="Arial"/>
        </w:rPr>
        <w:t xml:space="preserve">% </w:t>
      </w:r>
      <w:r w:rsidR="00D230E5" w:rsidRPr="006A5C3A">
        <w:rPr>
          <w:rFonts w:ascii="Arial" w:hAnsi="Arial" w:cs="Arial"/>
        </w:rPr>
        <w:t xml:space="preserve">at </w:t>
      </w:r>
      <w:r w:rsidR="00A110B4" w:rsidRPr="006A5C3A">
        <w:rPr>
          <w:rFonts w:ascii="Arial" w:hAnsi="Arial" w:cs="Arial"/>
        </w:rPr>
        <w:t>Q</w:t>
      </w:r>
      <w:r w:rsidR="00A14BB1" w:rsidRPr="006A5C3A">
        <w:rPr>
          <w:rFonts w:ascii="Arial" w:hAnsi="Arial" w:cs="Arial"/>
        </w:rPr>
        <w:t xml:space="preserve">uarter </w:t>
      </w:r>
      <w:r w:rsidR="00A110B4" w:rsidRPr="006A5C3A">
        <w:rPr>
          <w:rFonts w:ascii="Arial" w:hAnsi="Arial" w:cs="Arial"/>
        </w:rPr>
        <w:t>1 202</w:t>
      </w:r>
      <w:r w:rsidR="00EE349B" w:rsidRPr="006A5C3A">
        <w:rPr>
          <w:rFonts w:ascii="Arial" w:hAnsi="Arial" w:cs="Arial"/>
        </w:rPr>
        <w:t>3</w:t>
      </w:r>
      <w:r w:rsidR="007D2588" w:rsidRPr="006A5C3A">
        <w:rPr>
          <w:rFonts w:ascii="Arial" w:hAnsi="Arial" w:cs="Arial"/>
        </w:rPr>
        <w:t>-</w:t>
      </w:r>
      <w:r w:rsidR="00A110B4" w:rsidRPr="006A5C3A">
        <w:rPr>
          <w:rFonts w:ascii="Arial" w:hAnsi="Arial" w:cs="Arial"/>
        </w:rPr>
        <w:t>2</w:t>
      </w:r>
      <w:r w:rsidR="00EE349B" w:rsidRPr="006A5C3A">
        <w:rPr>
          <w:rFonts w:ascii="Arial" w:hAnsi="Arial" w:cs="Arial"/>
        </w:rPr>
        <w:t>4</w:t>
      </w:r>
      <w:r w:rsidR="00E75E6D" w:rsidRPr="006A5C3A">
        <w:rPr>
          <w:rFonts w:ascii="Arial" w:hAnsi="Arial" w:cs="Arial"/>
        </w:rPr>
        <w:t xml:space="preserve">. </w:t>
      </w:r>
      <w:r w:rsidR="006A5C3A" w:rsidRPr="006A5C3A">
        <w:rPr>
          <w:rFonts w:ascii="Arial" w:hAnsi="Arial" w:cs="Arial"/>
        </w:rPr>
        <w:t>19</w:t>
      </w:r>
      <w:r w:rsidR="001644F5" w:rsidRPr="006A5C3A">
        <w:rPr>
          <w:rFonts w:ascii="Arial" w:hAnsi="Arial" w:cs="Arial"/>
        </w:rPr>
        <w:t xml:space="preserve">% and </w:t>
      </w:r>
      <w:r w:rsidR="006A5C3A" w:rsidRPr="006A5C3A">
        <w:rPr>
          <w:rFonts w:ascii="Arial" w:hAnsi="Arial" w:cs="Arial"/>
        </w:rPr>
        <w:t>21</w:t>
      </w:r>
      <w:r w:rsidR="001644F5" w:rsidRPr="006A5C3A">
        <w:rPr>
          <w:rFonts w:ascii="Arial" w:hAnsi="Arial" w:cs="Arial"/>
        </w:rPr>
        <w:t>% of ind</w:t>
      </w:r>
      <w:r w:rsidR="00CF32F4" w:rsidRPr="006A5C3A">
        <w:rPr>
          <w:rFonts w:ascii="Arial" w:hAnsi="Arial" w:cs="Arial"/>
        </w:rPr>
        <w:t>i</w:t>
      </w:r>
      <w:r w:rsidR="001644F5" w:rsidRPr="006A5C3A">
        <w:rPr>
          <w:rFonts w:ascii="Arial" w:hAnsi="Arial" w:cs="Arial"/>
        </w:rPr>
        <w:t>cators are in the 2</w:t>
      </w:r>
      <w:r w:rsidR="001644F5" w:rsidRPr="006A5C3A">
        <w:rPr>
          <w:rFonts w:ascii="Arial" w:hAnsi="Arial" w:cs="Arial"/>
          <w:vertAlign w:val="superscript"/>
        </w:rPr>
        <w:t>nd</w:t>
      </w:r>
      <w:r w:rsidR="001644F5" w:rsidRPr="006A5C3A">
        <w:rPr>
          <w:rFonts w:ascii="Arial" w:hAnsi="Arial" w:cs="Arial"/>
        </w:rPr>
        <w:t xml:space="preserve"> and 3</w:t>
      </w:r>
      <w:r w:rsidR="001644F5" w:rsidRPr="006A5C3A">
        <w:rPr>
          <w:rFonts w:ascii="Arial" w:hAnsi="Arial" w:cs="Arial"/>
          <w:vertAlign w:val="superscript"/>
        </w:rPr>
        <w:t>rd</w:t>
      </w:r>
      <w:r w:rsidR="001644F5" w:rsidRPr="006A5C3A">
        <w:rPr>
          <w:rFonts w:ascii="Arial" w:hAnsi="Arial" w:cs="Arial"/>
        </w:rPr>
        <w:t xml:space="preserve"> quartile </w:t>
      </w:r>
      <w:r w:rsidR="00CF32F4" w:rsidRPr="006A5C3A">
        <w:rPr>
          <w:rFonts w:ascii="Arial" w:hAnsi="Arial" w:cs="Arial"/>
        </w:rPr>
        <w:t xml:space="preserve">respectively, compared to </w:t>
      </w:r>
      <w:r w:rsidR="00EE349B" w:rsidRPr="006A5C3A">
        <w:rPr>
          <w:rFonts w:ascii="Arial" w:hAnsi="Arial" w:cs="Arial"/>
        </w:rPr>
        <w:t>21</w:t>
      </w:r>
      <w:r w:rsidR="00876197" w:rsidRPr="006A5C3A">
        <w:rPr>
          <w:rFonts w:ascii="Arial" w:hAnsi="Arial" w:cs="Arial"/>
        </w:rPr>
        <w:t xml:space="preserve">% and </w:t>
      </w:r>
      <w:r w:rsidR="00EE349B" w:rsidRPr="006A5C3A">
        <w:rPr>
          <w:rFonts w:ascii="Arial" w:hAnsi="Arial" w:cs="Arial"/>
        </w:rPr>
        <w:t>33</w:t>
      </w:r>
      <w:r w:rsidR="00876197" w:rsidRPr="006A5C3A">
        <w:rPr>
          <w:rFonts w:ascii="Arial" w:hAnsi="Arial" w:cs="Arial"/>
        </w:rPr>
        <w:t>% in Q</w:t>
      </w:r>
      <w:r w:rsidR="00A14BB1" w:rsidRPr="006A5C3A">
        <w:rPr>
          <w:rFonts w:ascii="Arial" w:hAnsi="Arial" w:cs="Arial"/>
        </w:rPr>
        <w:t xml:space="preserve">uarter </w:t>
      </w:r>
      <w:r w:rsidR="00876197" w:rsidRPr="006A5C3A">
        <w:rPr>
          <w:rFonts w:ascii="Arial" w:hAnsi="Arial" w:cs="Arial"/>
        </w:rPr>
        <w:t>1 202</w:t>
      </w:r>
      <w:r w:rsidR="00517C5E">
        <w:rPr>
          <w:rFonts w:ascii="Arial" w:hAnsi="Arial" w:cs="Arial"/>
        </w:rPr>
        <w:t>3</w:t>
      </w:r>
      <w:r w:rsidR="00876197" w:rsidRPr="006A5C3A">
        <w:rPr>
          <w:rFonts w:ascii="Arial" w:hAnsi="Arial" w:cs="Arial"/>
        </w:rPr>
        <w:t>-2</w:t>
      </w:r>
      <w:r w:rsidR="00517C5E">
        <w:rPr>
          <w:rFonts w:ascii="Arial" w:hAnsi="Arial" w:cs="Arial"/>
        </w:rPr>
        <w:t>4</w:t>
      </w:r>
      <w:r w:rsidR="00876197" w:rsidRPr="006A5C3A">
        <w:rPr>
          <w:rFonts w:ascii="Arial" w:hAnsi="Arial" w:cs="Arial"/>
        </w:rPr>
        <w:t>.</w:t>
      </w:r>
      <w:r w:rsidR="00E71157" w:rsidRPr="006A5C3A">
        <w:rPr>
          <w:rStyle w:val="normaltextrun"/>
          <w:rFonts w:ascii="Arial" w:hAnsi="Arial" w:cs="Arial"/>
          <w:shd w:val="clear" w:color="auto" w:fill="FFFFFF"/>
        </w:rPr>
        <w:t> </w:t>
      </w:r>
      <w:r w:rsidR="00E71157" w:rsidRPr="006A5C3A">
        <w:rPr>
          <w:rStyle w:val="eop"/>
          <w:rFonts w:ascii="Arial" w:hAnsi="Arial" w:cs="Arial"/>
          <w:shd w:val="clear" w:color="auto" w:fill="FFFFFF"/>
        </w:rPr>
        <w:t> </w:t>
      </w:r>
    </w:p>
    <w:p w14:paraId="06B7D16D" w14:textId="71BB48C0" w:rsidR="00F90746" w:rsidRPr="00F90746" w:rsidRDefault="00E9343E" w:rsidP="00F90746">
      <w:pPr>
        <w:pStyle w:val="ListBullet"/>
        <w:numPr>
          <w:ilvl w:val="0"/>
          <w:numId w:val="14"/>
        </w:numPr>
        <w:tabs>
          <w:tab w:val="left" w:pos="720"/>
        </w:tabs>
        <w:spacing w:after="120" w:line="240" w:lineRule="auto"/>
        <w:contextualSpacing w:val="0"/>
        <w:jc w:val="both"/>
        <w:rPr>
          <w:rFonts w:ascii="Arial" w:hAnsi="Arial" w:cs="Arial"/>
        </w:rPr>
      </w:pPr>
      <w:r>
        <w:rPr>
          <w:rFonts w:ascii="Arial" w:hAnsi="Arial" w:cs="Arial"/>
        </w:rPr>
        <w:t xml:space="preserve">Annual targets were set where possible within the context of national, regional, and local authority comparator group data. Equally targets aspire to be challenging but achievable within the context of the available resources. The targets also take account of performance during the last 3 years which has been an unprecedented period due to the impact of the Covid-19 pandemic, a cost-of-living crisis, increasing demand for services and severe financial constraints. </w:t>
      </w:r>
    </w:p>
    <w:p w14:paraId="486D469D" w14:textId="0C9D5A1D" w:rsidR="00B0379D" w:rsidRPr="003D63C0" w:rsidRDefault="00E9343E" w:rsidP="003D63C0">
      <w:pPr>
        <w:pStyle w:val="ListBullet"/>
        <w:numPr>
          <w:ilvl w:val="0"/>
          <w:numId w:val="14"/>
        </w:numPr>
        <w:tabs>
          <w:tab w:val="left" w:pos="720"/>
        </w:tabs>
        <w:spacing w:after="120" w:line="240" w:lineRule="auto"/>
        <w:contextualSpacing w:val="0"/>
        <w:jc w:val="both"/>
        <w:rPr>
          <w:rFonts w:ascii="Arial" w:hAnsi="Arial" w:cs="Arial"/>
        </w:rPr>
      </w:pPr>
      <w:r>
        <w:rPr>
          <w:rFonts w:ascii="Arial" w:hAnsi="Arial" w:cs="Arial"/>
        </w:rPr>
        <w:t>Performance should therefore be viewed within the context of what has continued to be a challenging operational period for the Council. The impact of the cost-of-living crisis, rising demand for services and the requirement to deliver significant budget savings has impacted the Council’s ability to meet targets and demonstrate improvements in performance trends. Equally in many areas the impact of these challenges on performance is yet to be fully realised and understood. However, given the effect on St Helens to date there is the strong likelihood that existing inequalities may be widened. This presents risks for future performance, but particularly in areas such as public health, education and schools and children’s services where comparative performance is already challenging.</w:t>
      </w:r>
    </w:p>
    <w:p w14:paraId="304BB44E" w14:textId="77777777" w:rsidR="00B0379D" w:rsidRDefault="00B0379D">
      <w:pPr>
        <w:rPr>
          <w:color w:val="000000" w:themeColor="text1"/>
          <w:sz w:val="28"/>
          <w:szCs w:val="28"/>
        </w:rPr>
        <w:sectPr w:rsidR="00B0379D" w:rsidSect="00EC2ED3">
          <w:pgSz w:w="11906" w:h="16838"/>
          <w:pgMar w:top="720" w:right="720" w:bottom="720" w:left="720" w:header="708" w:footer="708" w:gutter="0"/>
          <w:cols w:space="708"/>
          <w:docGrid w:linePitch="360"/>
        </w:sectPr>
      </w:pPr>
    </w:p>
    <w:p w14:paraId="6350DBE4" w14:textId="77777777" w:rsidR="00B0379D" w:rsidRPr="00DF2E2B" w:rsidRDefault="00B0379D" w:rsidP="00B0379D">
      <w:pPr>
        <w:spacing w:after="120" w:line="240" w:lineRule="auto"/>
        <w:rPr>
          <w:rFonts w:ascii="Arial" w:hAnsi="Arial" w:cs="Arial"/>
          <w:color w:val="000000" w:themeColor="text1"/>
        </w:rPr>
      </w:pPr>
    </w:p>
    <w:p w14:paraId="3010A594" w14:textId="77777777" w:rsidR="00B0379D" w:rsidRPr="003E149F" w:rsidRDefault="00E75E6D" w:rsidP="00B0379D">
      <w:pPr>
        <w:pStyle w:val="Heading1"/>
        <w:spacing w:before="120" w:after="240" w:line="240" w:lineRule="auto"/>
        <w:rPr>
          <w:b/>
          <w:color w:val="000000" w:themeColor="text1"/>
          <w:sz w:val="28"/>
          <w:szCs w:val="28"/>
        </w:rPr>
      </w:pPr>
      <w:bookmarkStart w:id="9" w:name="_Toc174698097"/>
      <w:r w:rsidRPr="00200DC6">
        <w:rPr>
          <w:rFonts w:cs="Arial"/>
          <w:b/>
          <w:color w:val="auto"/>
          <w:sz w:val="28"/>
          <w:szCs w:val="28"/>
        </w:rPr>
        <w:t>5. Part 2</w:t>
      </w:r>
      <w:r w:rsidRPr="00200DC6">
        <w:rPr>
          <w:rFonts w:cs="Arial"/>
          <w:b/>
          <w:bCs/>
          <w:color w:val="auto"/>
          <w:sz w:val="28"/>
          <w:szCs w:val="28"/>
        </w:rPr>
        <w:t xml:space="preserve"> -</w:t>
      </w:r>
      <w:r w:rsidRPr="00200DC6">
        <w:rPr>
          <w:rFonts w:cs="Arial"/>
          <w:b/>
          <w:color w:val="auto"/>
          <w:sz w:val="28"/>
          <w:szCs w:val="28"/>
        </w:rPr>
        <w:t xml:space="preserve"> </w:t>
      </w:r>
      <w:r w:rsidRPr="003E149F">
        <w:rPr>
          <w:b/>
          <w:color w:val="000000" w:themeColor="text1"/>
          <w:sz w:val="28"/>
          <w:szCs w:val="28"/>
        </w:rPr>
        <w:t>Commentary on performance against priority and outcome</w:t>
      </w:r>
      <w:bookmarkStart w:id="10" w:name="_Toc72404072"/>
      <w:bookmarkEnd w:id="9"/>
    </w:p>
    <w:p w14:paraId="09ACD9E3" w14:textId="77777777" w:rsidR="00B0379D" w:rsidRPr="00F55FBC" w:rsidRDefault="00E75E6D" w:rsidP="00B0379D">
      <w:pPr>
        <w:pStyle w:val="Heading2"/>
        <w:rPr>
          <w:b/>
          <w:bCs/>
          <w:color w:val="ED712C"/>
          <w:sz w:val="28"/>
          <w:szCs w:val="28"/>
        </w:rPr>
      </w:pPr>
      <w:bookmarkStart w:id="11" w:name="_Toc62736464"/>
      <w:bookmarkStart w:id="12" w:name="_Toc174698098"/>
      <w:bookmarkEnd w:id="10"/>
      <w:r w:rsidRPr="00A461A2">
        <w:rPr>
          <w:b/>
          <w:bCs/>
          <w:noProof/>
          <w:color w:val="E36C0A"/>
          <w:sz w:val="32"/>
          <w:szCs w:val="32"/>
        </w:rPr>
        <w:drawing>
          <wp:anchor distT="0" distB="0" distL="114300" distR="114300" simplePos="0" relativeHeight="251658250" behindDoc="1" locked="0" layoutInCell="1" allowOverlap="1" wp14:anchorId="72123ABD" wp14:editId="406454AE">
            <wp:simplePos x="0" y="0"/>
            <wp:positionH relativeFrom="margin">
              <wp:align>right</wp:align>
            </wp:positionH>
            <wp:positionV relativeFrom="paragraph">
              <wp:posOffset>6985</wp:posOffset>
            </wp:positionV>
            <wp:extent cx="909955" cy="1125220"/>
            <wp:effectExtent l="0" t="0" r="4445" b="0"/>
            <wp:wrapTight wrapText="bothSides">
              <wp:wrapPolygon edited="0">
                <wp:start x="904" y="0"/>
                <wp:lineTo x="0" y="731"/>
                <wp:lineTo x="0" y="13896"/>
                <wp:lineTo x="3165" y="17553"/>
                <wp:lineTo x="8592" y="21210"/>
                <wp:lineTo x="9044" y="21210"/>
                <wp:lineTo x="12209" y="21210"/>
                <wp:lineTo x="12662" y="21210"/>
                <wp:lineTo x="18540" y="17553"/>
                <wp:lineTo x="21253" y="13896"/>
                <wp:lineTo x="21253" y="731"/>
                <wp:lineTo x="20349" y="0"/>
                <wp:lineTo x="904" y="0"/>
              </wp:wrapPolygon>
            </wp:wrapTight>
            <wp:docPr id="22" name="Picture 10" descr="P31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310#y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9955" cy="1125220"/>
                    </a:xfrm>
                    <a:prstGeom prst="rect">
                      <a:avLst/>
                    </a:prstGeom>
                  </pic:spPr>
                </pic:pic>
              </a:graphicData>
            </a:graphic>
            <wp14:sizeRelH relativeFrom="margin">
              <wp14:pctWidth>0</wp14:pctWidth>
            </wp14:sizeRelH>
            <wp14:sizeRelV relativeFrom="margin">
              <wp14:pctHeight>0</wp14:pctHeight>
            </wp14:sizeRelV>
          </wp:anchor>
        </w:drawing>
      </w:r>
      <w:r w:rsidRPr="00A461A2">
        <w:rPr>
          <w:b/>
          <w:color w:val="ED712C"/>
          <w:sz w:val="32"/>
          <w:szCs w:val="32"/>
        </w:rPr>
        <w:t>Priority 1 - Ensure children and young people have a positive start in life</w:t>
      </w:r>
      <w:bookmarkStart w:id="13" w:name="_Toc51665956"/>
      <w:bookmarkEnd w:id="11"/>
      <w:bookmarkEnd w:id="12"/>
    </w:p>
    <w:p w14:paraId="472F9901" w14:textId="77777777" w:rsidR="00B0379D" w:rsidRPr="009B5901" w:rsidRDefault="00B0379D" w:rsidP="00B0379D">
      <w:pPr>
        <w:pStyle w:val="Heading1"/>
        <w:spacing w:before="0" w:after="120" w:line="240" w:lineRule="auto"/>
        <w:rPr>
          <w:b/>
          <w:bCs/>
          <w:color w:val="ED562F"/>
          <w:sz w:val="22"/>
          <w:szCs w:val="22"/>
        </w:rPr>
      </w:pPr>
    </w:p>
    <w:bookmarkEnd w:id="13"/>
    <w:p w14:paraId="080D9668" w14:textId="77777777" w:rsidR="00B0379D" w:rsidRPr="00BD61CD" w:rsidRDefault="00E75E6D" w:rsidP="00B0379D">
      <w:pPr>
        <w:rPr>
          <w:rFonts w:ascii="Arial" w:hAnsi="Arial" w:cs="Arial"/>
          <w:b/>
          <w:bCs/>
          <w:color w:val="E36C0A" w:themeColor="accent6" w:themeShade="BF"/>
        </w:rPr>
      </w:pPr>
      <w:r>
        <w:rPr>
          <w:rFonts w:ascii="Arial" w:hAnsi="Arial" w:cs="Arial"/>
          <w:b/>
          <w:bCs/>
          <w:color w:val="ED712C"/>
        </w:rPr>
        <w:t>Outcomes</w:t>
      </w:r>
    </w:p>
    <w:p w14:paraId="0C4FBB7F" w14:textId="77777777" w:rsidR="00B0379D" w:rsidRDefault="00E75E6D" w:rsidP="00726825">
      <w:pPr>
        <w:pStyle w:val="ListParagraph"/>
        <w:numPr>
          <w:ilvl w:val="0"/>
          <w:numId w:val="15"/>
        </w:numPr>
        <w:spacing w:after="120" w:line="240" w:lineRule="auto"/>
        <w:ind w:left="714" w:hanging="357"/>
        <w:contextualSpacing w:val="0"/>
        <w:jc w:val="both"/>
        <w:rPr>
          <w:rFonts w:eastAsiaTheme="minorEastAsia"/>
        </w:rPr>
      </w:pPr>
      <w:r w:rsidRPr="4276CE28">
        <w:rPr>
          <w:rFonts w:ascii="Arial" w:hAnsi="Arial" w:cs="Arial"/>
        </w:rPr>
        <w:t>Children and young people are safe from harm and the lives of children in care improve</w:t>
      </w:r>
    </w:p>
    <w:p w14:paraId="69D8B4F3" w14:textId="77777777" w:rsidR="00B0379D" w:rsidRDefault="00E75E6D" w:rsidP="00726825">
      <w:pPr>
        <w:pStyle w:val="ListParagraph"/>
        <w:numPr>
          <w:ilvl w:val="0"/>
          <w:numId w:val="15"/>
        </w:numPr>
        <w:spacing w:after="120" w:line="240" w:lineRule="auto"/>
        <w:ind w:left="714" w:hanging="357"/>
        <w:contextualSpacing w:val="0"/>
        <w:jc w:val="both"/>
        <w:rPr>
          <w:rFonts w:eastAsiaTheme="minorEastAsia"/>
        </w:rPr>
      </w:pPr>
      <w:r w:rsidRPr="4276CE28">
        <w:rPr>
          <w:rFonts w:ascii="Arial" w:hAnsi="Arial" w:cs="Arial"/>
        </w:rPr>
        <w:t>Children and young people's aspirations, attainment and opportunities are raised</w:t>
      </w:r>
    </w:p>
    <w:p w14:paraId="39A2C8DC" w14:textId="77777777" w:rsidR="00B0379D" w:rsidRDefault="00E75E6D" w:rsidP="00726825">
      <w:pPr>
        <w:pStyle w:val="ListParagraph"/>
        <w:numPr>
          <w:ilvl w:val="0"/>
          <w:numId w:val="15"/>
        </w:numPr>
        <w:spacing w:after="120" w:line="240" w:lineRule="auto"/>
        <w:ind w:left="714" w:hanging="357"/>
        <w:contextualSpacing w:val="0"/>
        <w:jc w:val="both"/>
        <w:rPr>
          <w:rFonts w:eastAsiaTheme="minorEastAsia"/>
        </w:rPr>
      </w:pPr>
      <w:r w:rsidRPr="4276CE28">
        <w:rPr>
          <w:rFonts w:ascii="Arial" w:hAnsi="Arial" w:cs="Arial"/>
        </w:rPr>
        <w:t>Children and young people are healthy, resilient, confident, involved and achieve their potential</w:t>
      </w:r>
    </w:p>
    <w:p w14:paraId="3500800E" w14:textId="77777777" w:rsidR="00B0379D" w:rsidRDefault="00B0379D" w:rsidP="00B0379D">
      <w:pPr>
        <w:spacing w:after="120" w:line="240" w:lineRule="auto"/>
        <w:jc w:val="both"/>
        <w:rPr>
          <w:rFonts w:ascii="Arial" w:hAnsi="Arial" w:cs="Arial"/>
          <w:b/>
          <w:color w:val="ED712C"/>
          <w:sz w:val="24"/>
          <w:szCs w:val="24"/>
        </w:rPr>
      </w:pPr>
    </w:p>
    <w:p w14:paraId="6F3D74A5" w14:textId="77777777" w:rsidR="00B0379D" w:rsidRPr="00D84108" w:rsidRDefault="00E75E6D" w:rsidP="00B0379D">
      <w:pPr>
        <w:spacing w:after="120" w:line="240" w:lineRule="auto"/>
        <w:jc w:val="both"/>
        <w:rPr>
          <w:rFonts w:ascii="Arial" w:hAnsi="Arial" w:cs="Arial"/>
          <w:b/>
          <w:bCs/>
          <w:color w:val="ED712C"/>
          <w:sz w:val="24"/>
          <w:szCs w:val="24"/>
        </w:rPr>
      </w:pPr>
      <w:r w:rsidRPr="00D84108">
        <w:rPr>
          <w:rFonts w:ascii="Arial" w:hAnsi="Arial" w:cs="Arial"/>
          <w:b/>
          <w:bCs/>
          <w:color w:val="ED712C"/>
          <w:sz w:val="24"/>
          <w:szCs w:val="24"/>
        </w:rPr>
        <w:t>Overview of Priority Performance</w:t>
      </w:r>
    </w:p>
    <w:p w14:paraId="23B0DCCC" w14:textId="043E74CC" w:rsidR="00B0379D" w:rsidRPr="00314E33" w:rsidRDefault="00E75E6D" w:rsidP="00B0379D">
      <w:pPr>
        <w:spacing w:after="240" w:line="240" w:lineRule="auto"/>
        <w:jc w:val="both"/>
        <w:rPr>
          <w:rFonts w:ascii="Arial" w:hAnsi="Arial" w:cs="Arial"/>
          <w:color w:val="FF0000"/>
        </w:rPr>
      </w:pPr>
      <w:r w:rsidRPr="00B8AFBC">
        <w:rPr>
          <w:rFonts w:ascii="Arial" w:hAnsi="Arial" w:cs="Arial"/>
        </w:rPr>
        <w:t xml:space="preserve">The tables below provide an overview of performance at </w:t>
      </w:r>
      <w:r w:rsidR="00D230E5" w:rsidRPr="00B8AFBC">
        <w:rPr>
          <w:rFonts w:ascii="Arial" w:hAnsi="Arial" w:cs="Arial"/>
        </w:rPr>
        <w:t>Q</w:t>
      </w:r>
      <w:r w:rsidR="008A41BB">
        <w:rPr>
          <w:rFonts w:ascii="Arial" w:hAnsi="Arial" w:cs="Arial"/>
        </w:rPr>
        <w:t xml:space="preserve">uarter </w:t>
      </w:r>
      <w:r w:rsidR="00D230E5" w:rsidRPr="00B8AFBC">
        <w:rPr>
          <w:rFonts w:ascii="Arial" w:hAnsi="Arial" w:cs="Arial"/>
        </w:rPr>
        <w:t>1 202</w:t>
      </w:r>
      <w:r w:rsidR="000F689C">
        <w:rPr>
          <w:rFonts w:ascii="Arial" w:hAnsi="Arial" w:cs="Arial"/>
        </w:rPr>
        <w:t>4</w:t>
      </w:r>
      <w:r w:rsidR="006F6B04">
        <w:rPr>
          <w:rFonts w:ascii="Arial" w:hAnsi="Arial" w:cs="Arial"/>
        </w:rPr>
        <w:t>-</w:t>
      </w:r>
      <w:r w:rsidR="003826DE">
        <w:rPr>
          <w:rFonts w:ascii="Arial" w:hAnsi="Arial" w:cs="Arial"/>
        </w:rPr>
        <w:t>2</w:t>
      </w:r>
      <w:r w:rsidR="000F689C">
        <w:rPr>
          <w:rFonts w:ascii="Arial" w:hAnsi="Arial" w:cs="Arial"/>
        </w:rPr>
        <w:t>5</w:t>
      </w:r>
      <w:r w:rsidRPr="00B8AFBC">
        <w:rPr>
          <w:rFonts w:ascii="Arial" w:hAnsi="Arial" w:cs="Arial"/>
        </w:rPr>
        <w:t xml:space="preserve"> for the indicators reported </w:t>
      </w:r>
    </w:p>
    <w:p w14:paraId="53134584" w14:textId="77777777" w:rsidR="00B0379D" w:rsidRPr="00451AB5" w:rsidRDefault="00E75E6D" w:rsidP="00B0379D">
      <w:pPr>
        <w:spacing w:after="120" w:line="240" w:lineRule="auto"/>
        <w:jc w:val="both"/>
        <w:rPr>
          <w:rFonts w:ascii="Arial" w:hAnsi="Arial" w:cs="Arial"/>
          <w:b/>
          <w:bCs/>
          <w:color w:val="ED712C"/>
        </w:rPr>
      </w:pPr>
      <w:r w:rsidRPr="00451AB5">
        <w:rPr>
          <w:rFonts w:ascii="Arial" w:hAnsi="Arial" w:cs="Arial"/>
          <w:b/>
          <w:bCs/>
          <w:color w:val="ED712C"/>
        </w:rPr>
        <w:t>Performance Against Target</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ayout w:type="fixed"/>
        <w:tblLook w:val="04A0" w:firstRow="1" w:lastRow="0" w:firstColumn="1" w:lastColumn="0" w:noHBand="0" w:noVBand="1"/>
      </w:tblPr>
      <w:tblGrid>
        <w:gridCol w:w="2122"/>
        <w:gridCol w:w="2551"/>
        <w:gridCol w:w="2552"/>
        <w:gridCol w:w="2551"/>
      </w:tblGrid>
      <w:tr w:rsidR="00970157" w14:paraId="62C089FC" w14:textId="77777777" w:rsidTr="00B8AFBC">
        <w:tc>
          <w:tcPr>
            <w:tcW w:w="2122" w:type="dxa"/>
            <w:shd w:val="clear" w:color="auto" w:fill="ED712C"/>
          </w:tcPr>
          <w:p w14:paraId="255EB6C4"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ED712C"/>
          </w:tcPr>
          <w:p w14:paraId="3D96409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ED712C"/>
          </w:tcPr>
          <w:p w14:paraId="4837B977"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ED712C"/>
          </w:tcPr>
          <w:p w14:paraId="1CD2EC5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0DFE7EFF" w14:textId="77777777" w:rsidTr="00B8AFBC">
        <w:tc>
          <w:tcPr>
            <w:tcW w:w="2122" w:type="dxa"/>
            <w:shd w:val="clear" w:color="auto" w:fill="FFFFFF" w:themeFill="background1"/>
            <w:vAlign w:val="center"/>
          </w:tcPr>
          <w:p w14:paraId="0F7A68FC" w14:textId="03A9D728" w:rsidR="00B0379D" w:rsidRPr="00073E1E" w:rsidRDefault="004953AA" w:rsidP="00B8AFBC">
            <w:pPr>
              <w:spacing w:after="120"/>
              <w:jc w:val="center"/>
              <w:rPr>
                <w:rFonts w:ascii="Arial" w:eastAsia="Arial" w:hAnsi="Arial" w:cs="Arial"/>
              </w:rPr>
            </w:pPr>
            <w:r w:rsidRPr="00073E1E">
              <w:rPr>
                <w:rFonts w:ascii="Arial" w:eastAsia="Arial" w:hAnsi="Arial" w:cs="Arial"/>
              </w:rPr>
              <w:t>2</w:t>
            </w:r>
            <w:r w:rsidR="00F370C6" w:rsidRPr="00073E1E">
              <w:rPr>
                <w:rFonts w:ascii="Arial" w:eastAsia="Arial" w:hAnsi="Arial" w:cs="Arial"/>
              </w:rPr>
              <w:t>1</w:t>
            </w:r>
          </w:p>
        </w:tc>
        <w:tc>
          <w:tcPr>
            <w:tcW w:w="2551" w:type="dxa"/>
            <w:shd w:val="clear" w:color="auto" w:fill="FFFFFF" w:themeFill="background1"/>
            <w:vAlign w:val="center"/>
          </w:tcPr>
          <w:p w14:paraId="661A3641" w14:textId="0CB122CD" w:rsidR="00B0379D" w:rsidRPr="00073E1E" w:rsidRDefault="00B9548C" w:rsidP="00B8AFBC">
            <w:pPr>
              <w:spacing w:after="120"/>
              <w:jc w:val="center"/>
              <w:rPr>
                <w:rFonts w:ascii="Arial" w:eastAsia="Arial" w:hAnsi="Arial" w:cs="Arial"/>
              </w:rPr>
            </w:pPr>
            <w:r w:rsidRPr="00073E1E">
              <w:rPr>
                <w:rFonts w:ascii="Arial" w:eastAsia="Arial" w:hAnsi="Arial" w:cs="Arial"/>
              </w:rPr>
              <w:t>5</w:t>
            </w:r>
            <w:r w:rsidR="00D11F0B" w:rsidRPr="00073E1E">
              <w:rPr>
                <w:rFonts w:ascii="Arial" w:eastAsia="Arial" w:hAnsi="Arial" w:cs="Arial"/>
              </w:rPr>
              <w:t>2</w:t>
            </w:r>
            <w:r w:rsidR="00E75E6D" w:rsidRPr="00073E1E">
              <w:rPr>
                <w:rFonts w:ascii="Arial" w:eastAsia="Arial" w:hAnsi="Arial" w:cs="Arial"/>
              </w:rPr>
              <w:t>% (</w:t>
            </w:r>
            <w:r w:rsidRPr="00073E1E">
              <w:rPr>
                <w:rFonts w:ascii="Arial" w:eastAsia="Arial" w:hAnsi="Arial" w:cs="Arial"/>
              </w:rPr>
              <w:t>1</w:t>
            </w:r>
            <w:r w:rsidR="00F542C4" w:rsidRPr="00073E1E">
              <w:rPr>
                <w:rFonts w:ascii="Arial" w:eastAsia="Arial" w:hAnsi="Arial" w:cs="Arial"/>
              </w:rPr>
              <w:t>1</w:t>
            </w:r>
            <w:r w:rsidR="00E75E6D" w:rsidRPr="00073E1E">
              <w:rPr>
                <w:rFonts w:ascii="Arial" w:eastAsia="Arial" w:hAnsi="Arial" w:cs="Arial"/>
              </w:rPr>
              <w:t>)</w:t>
            </w:r>
          </w:p>
        </w:tc>
        <w:tc>
          <w:tcPr>
            <w:tcW w:w="2552" w:type="dxa"/>
            <w:shd w:val="clear" w:color="auto" w:fill="FFFFFF" w:themeFill="background1"/>
            <w:vAlign w:val="center"/>
          </w:tcPr>
          <w:p w14:paraId="16A049FC" w14:textId="031BBC52" w:rsidR="00B0379D" w:rsidRPr="00073E1E" w:rsidRDefault="00B9548C" w:rsidP="00B8AFBC">
            <w:pPr>
              <w:spacing w:after="120"/>
              <w:jc w:val="center"/>
              <w:rPr>
                <w:rFonts w:ascii="Arial" w:eastAsia="Arial" w:hAnsi="Arial" w:cs="Arial"/>
              </w:rPr>
            </w:pPr>
            <w:r w:rsidRPr="00073E1E">
              <w:rPr>
                <w:rFonts w:ascii="Arial" w:eastAsia="Arial" w:hAnsi="Arial" w:cs="Arial"/>
              </w:rPr>
              <w:t>2</w:t>
            </w:r>
            <w:r w:rsidR="00EC054C" w:rsidRPr="00073E1E">
              <w:rPr>
                <w:rFonts w:ascii="Arial" w:eastAsia="Arial" w:hAnsi="Arial" w:cs="Arial"/>
              </w:rPr>
              <w:t>9</w:t>
            </w:r>
            <w:r w:rsidR="00E75E6D" w:rsidRPr="00073E1E">
              <w:rPr>
                <w:rFonts w:ascii="Arial" w:eastAsia="Arial" w:hAnsi="Arial" w:cs="Arial"/>
              </w:rPr>
              <w:t>% (</w:t>
            </w:r>
            <w:r w:rsidR="00955A03" w:rsidRPr="00073E1E">
              <w:rPr>
                <w:rFonts w:ascii="Arial" w:eastAsia="Arial" w:hAnsi="Arial" w:cs="Arial"/>
              </w:rPr>
              <w:t>6</w:t>
            </w:r>
            <w:r w:rsidR="00E75E6D" w:rsidRPr="00073E1E">
              <w:rPr>
                <w:rFonts w:ascii="Arial" w:eastAsia="Arial" w:hAnsi="Arial" w:cs="Arial"/>
              </w:rPr>
              <w:t>)</w:t>
            </w:r>
          </w:p>
        </w:tc>
        <w:tc>
          <w:tcPr>
            <w:tcW w:w="2551" w:type="dxa"/>
            <w:shd w:val="clear" w:color="auto" w:fill="FFFFFF" w:themeFill="background1"/>
            <w:vAlign w:val="center"/>
          </w:tcPr>
          <w:p w14:paraId="1E431161" w14:textId="4E30A121" w:rsidR="00B0379D" w:rsidRPr="00073E1E" w:rsidRDefault="00073E1E" w:rsidP="00B8AFBC">
            <w:pPr>
              <w:spacing w:after="120"/>
              <w:jc w:val="center"/>
              <w:rPr>
                <w:rFonts w:ascii="Arial" w:eastAsia="Arial" w:hAnsi="Arial" w:cs="Arial"/>
              </w:rPr>
            </w:pPr>
            <w:r w:rsidRPr="00073E1E">
              <w:rPr>
                <w:rFonts w:ascii="Arial" w:eastAsia="Arial" w:hAnsi="Arial" w:cs="Arial"/>
              </w:rPr>
              <w:t>19</w:t>
            </w:r>
            <w:r w:rsidR="00E75E6D" w:rsidRPr="00073E1E">
              <w:rPr>
                <w:rFonts w:ascii="Arial" w:eastAsia="Arial" w:hAnsi="Arial" w:cs="Arial"/>
              </w:rPr>
              <w:t>% (</w:t>
            </w:r>
            <w:r w:rsidR="00955A03" w:rsidRPr="00073E1E">
              <w:rPr>
                <w:rFonts w:ascii="Arial" w:eastAsia="Arial" w:hAnsi="Arial" w:cs="Arial"/>
              </w:rPr>
              <w:t>4</w:t>
            </w:r>
            <w:r w:rsidR="00A3156F" w:rsidRPr="00073E1E">
              <w:rPr>
                <w:rFonts w:ascii="Arial" w:eastAsia="Arial" w:hAnsi="Arial" w:cs="Arial"/>
              </w:rPr>
              <w:t>)</w:t>
            </w:r>
          </w:p>
        </w:tc>
      </w:tr>
    </w:tbl>
    <w:p w14:paraId="775ABE6C" w14:textId="77777777" w:rsidR="00B0379D" w:rsidRDefault="00B0379D" w:rsidP="00B0379D">
      <w:pPr>
        <w:spacing w:after="120" w:line="240" w:lineRule="auto"/>
        <w:jc w:val="both"/>
        <w:rPr>
          <w:rFonts w:ascii="Arial" w:hAnsi="Arial" w:cs="Arial"/>
          <w:b/>
          <w:bCs/>
          <w:color w:val="ED712C"/>
          <w:sz w:val="24"/>
          <w:szCs w:val="24"/>
        </w:rPr>
      </w:pPr>
    </w:p>
    <w:p w14:paraId="6F482181" w14:textId="77777777" w:rsidR="00B0379D" w:rsidRPr="00451AB5" w:rsidRDefault="00E75E6D" w:rsidP="00B0379D">
      <w:pPr>
        <w:spacing w:after="120" w:line="240" w:lineRule="auto"/>
        <w:rPr>
          <w:b/>
          <w:bCs/>
          <w:color w:val="ED712C"/>
        </w:rPr>
      </w:pPr>
      <w:r w:rsidRPr="00814AE0">
        <w:rPr>
          <w:rFonts w:ascii="Arial" w:hAnsi="Arial" w:cs="Arial"/>
          <w:b/>
          <w:color w:val="ED712C"/>
        </w:rPr>
        <w:t>The Performance Trend</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ayout w:type="fixed"/>
        <w:tblLook w:val="04A0" w:firstRow="1" w:lastRow="0" w:firstColumn="1" w:lastColumn="0" w:noHBand="0" w:noVBand="1"/>
      </w:tblPr>
      <w:tblGrid>
        <w:gridCol w:w="2122"/>
        <w:gridCol w:w="2551"/>
        <w:gridCol w:w="2552"/>
        <w:gridCol w:w="2551"/>
      </w:tblGrid>
      <w:tr w:rsidR="00970157" w14:paraId="7C3F5026" w14:textId="77777777" w:rsidTr="00B8AFBC">
        <w:tc>
          <w:tcPr>
            <w:tcW w:w="2122" w:type="dxa"/>
            <w:shd w:val="clear" w:color="auto" w:fill="ED712C"/>
          </w:tcPr>
          <w:p w14:paraId="3D3A3DD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2551" w:type="dxa"/>
            <w:shd w:val="clear" w:color="auto" w:fill="ED712C"/>
          </w:tcPr>
          <w:p w14:paraId="7E630AD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improved on last year</w:t>
            </w:r>
          </w:p>
        </w:tc>
        <w:tc>
          <w:tcPr>
            <w:tcW w:w="2552" w:type="dxa"/>
            <w:shd w:val="clear" w:color="auto" w:fill="ED712C"/>
          </w:tcPr>
          <w:p w14:paraId="38A3BA9D"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worse than last year</w:t>
            </w:r>
          </w:p>
        </w:tc>
        <w:tc>
          <w:tcPr>
            <w:tcW w:w="2551" w:type="dxa"/>
            <w:shd w:val="clear" w:color="auto" w:fill="ED712C"/>
          </w:tcPr>
          <w:p w14:paraId="7C3AF113"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the same as last year</w:t>
            </w:r>
          </w:p>
        </w:tc>
      </w:tr>
      <w:tr w:rsidR="00970157" w14:paraId="67E6BB5A" w14:textId="77777777" w:rsidTr="00B8AFBC">
        <w:tc>
          <w:tcPr>
            <w:tcW w:w="2122" w:type="dxa"/>
            <w:shd w:val="clear" w:color="auto" w:fill="FFFFFF" w:themeFill="background1"/>
            <w:vAlign w:val="center"/>
          </w:tcPr>
          <w:p w14:paraId="23F2B186" w14:textId="1AE88CBB" w:rsidR="00B0379D" w:rsidRPr="00952C73" w:rsidRDefault="00B9548C" w:rsidP="00B8AFBC">
            <w:pPr>
              <w:spacing w:after="120"/>
              <w:jc w:val="center"/>
              <w:rPr>
                <w:rFonts w:ascii="Arial" w:eastAsia="Arial" w:hAnsi="Arial" w:cs="Arial"/>
              </w:rPr>
            </w:pPr>
            <w:r w:rsidRPr="00952C73">
              <w:rPr>
                <w:rFonts w:ascii="Arial" w:eastAsia="Arial" w:hAnsi="Arial" w:cs="Arial"/>
              </w:rPr>
              <w:t>2</w:t>
            </w:r>
            <w:r w:rsidR="00CF18BA" w:rsidRPr="00952C73">
              <w:rPr>
                <w:rFonts w:ascii="Arial" w:eastAsia="Arial" w:hAnsi="Arial" w:cs="Arial"/>
              </w:rPr>
              <w:t>1</w:t>
            </w:r>
          </w:p>
        </w:tc>
        <w:tc>
          <w:tcPr>
            <w:tcW w:w="2551" w:type="dxa"/>
            <w:shd w:val="clear" w:color="auto" w:fill="FFFFFF" w:themeFill="background1"/>
            <w:vAlign w:val="center"/>
          </w:tcPr>
          <w:p w14:paraId="309134ED" w14:textId="127EFB65" w:rsidR="00B0379D" w:rsidRPr="00952C73" w:rsidRDefault="005168AF" w:rsidP="00B8AFBC">
            <w:pPr>
              <w:spacing w:after="120"/>
              <w:jc w:val="center"/>
              <w:rPr>
                <w:rFonts w:ascii="Arial" w:eastAsia="Arial" w:hAnsi="Arial" w:cs="Arial"/>
              </w:rPr>
            </w:pPr>
            <w:r w:rsidRPr="00952C73">
              <w:rPr>
                <w:rFonts w:ascii="Arial" w:eastAsia="Arial" w:hAnsi="Arial" w:cs="Arial"/>
              </w:rPr>
              <w:t>6</w:t>
            </w:r>
            <w:r w:rsidR="00952C73" w:rsidRPr="00952C73">
              <w:rPr>
                <w:rFonts w:ascii="Arial" w:eastAsia="Arial" w:hAnsi="Arial" w:cs="Arial"/>
              </w:rPr>
              <w:t>2</w:t>
            </w:r>
            <w:r w:rsidR="00E75E6D" w:rsidRPr="00952C73">
              <w:rPr>
                <w:rFonts w:ascii="Arial" w:eastAsia="Arial" w:hAnsi="Arial" w:cs="Arial"/>
              </w:rPr>
              <w:t>% (</w:t>
            </w:r>
            <w:r w:rsidR="0080669F" w:rsidRPr="00952C73">
              <w:rPr>
                <w:rFonts w:ascii="Arial" w:eastAsia="Arial" w:hAnsi="Arial" w:cs="Arial"/>
              </w:rPr>
              <w:t>1</w:t>
            </w:r>
            <w:r w:rsidR="00CF18BA" w:rsidRPr="00952C73">
              <w:rPr>
                <w:rFonts w:ascii="Arial" w:eastAsia="Arial" w:hAnsi="Arial" w:cs="Arial"/>
              </w:rPr>
              <w:t>3</w:t>
            </w:r>
            <w:r w:rsidR="00E75E6D" w:rsidRPr="00952C73">
              <w:rPr>
                <w:rFonts w:ascii="Arial" w:eastAsia="Arial" w:hAnsi="Arial" w:cs="Arial"/>
              </w:rPr>
              <w:t>)</w:t>
            </w:r>
          </w:p>
        </w:tc>
        <w:tc>
          <w:tcPr>
            <w:tcW w:w="2552" w:type="dxa"/>
            <w:shd w:val="clear" w:color="auto" w:fill="FFFFFF" w:themeFill="background1"/>
            <w:vAlign w:val="center"/>
          </w:tcPr>
          <w:p w14:paraId="4DA83A5E" w14:textId="1ED0ECFD" w:rsidR="00B0379D" w:rsidRPr="00952C73" w:rsidRDefault="00A546C9" w:rsidP="00B8AFBC">
            <w:pPr>
              <w:spacing w:after="120"/>
              <w:jc w:val="center"/>
              <w:rPr>
                <w:rFonts w:ascii="Arial" w:eastAsia="Arial" w:hAnsi="Arial" w:cs="Arial"/>
              </w:rPr>
            </w:pPr>
            <w:r w:rsidRPr="00952C73">
              <w:rPr>
                <w:rFonts w:ascii="Arial" w:eastAsia="Arial" w:hAnsi="Arial" w:cs="Arial"/>
              </w:rPr>
              <w:t>3</w:t>
            </w:r>
            <w:r w:rsidR="00952C73" w:rsidRPr="00952C73">
              <w:rPr>
                <w:rFonts w:ascii="Arial" w:eastAsia="Arial" w:hAnsi="Arial" w:cs="Arial"/>
              </w:rPr>
              <w:t>3</w:t>
            </w:r>
            <w:r w:rsidR="00E75E6D" w:rsidRPr="00952C73">
              <w:rPr>
                <w:rFonts w:ascii="Arial" w:eastAsia="Arial" w:hAnsi="Arial" w:cs="Arial"/>
              </w:rPr>
              <w:t>% (</w:t>
            </w:r>
            <w:r w:rsidR="00CF18BA" w:rsidRPr="00952C73">
              <w:rPr>
                <w:rFonts w:ascii="Arial" w:eastAsia="Arial" w:hAnsi="Arial" w:cs="Arial"/>
              </w:rPr>
              <w:t>7</w:t>
            </w:r>
            <w:r w:rsidR="00E75E6D" w:rsidRPr="00952C73">
              <w:rPr>
                <w:rFonts w:ascii="Arial" w:eastAsia="Arial" w:hAnsi="Arial" w:cs="Arial"/>
              </w:rPr>
              <w:t>)</w:t>
            </w:r>
          </w:p>
        </w:tc>
        <w:tc>
          <w:tcPr>
            <w:tcW w:w="2551" w:type="dxa"/>
            <w:shd w:val="clear" w:color="auto" w:fill="FFFFFF" w:themeFill="background1"/>
            <w:vAlign w:val="center"/>
          </w:tcPr>
          <w:p w14:paraId="49D412EC" w14:textId="1A691E04" w:rsidR="00B0379D" w:rsidRPr="00952C73" w:rsidRDefault="002E534E" w:rsidP="00B8AFBC">
            <w:pPr>
              <w:spacing w:after="120"/>
              <w:jc w:val="center"/>
              <w:rPr>
                <w:rFonts w:ascii="Arial" w:eastAsia="Arial" w:hAnsi="Arial" w:cs="Arial"/>
              </w:rPr>
            </w:pPr>
            <w:r w:rsidRPr="00952C73">
              <w:rPr>
                <w:rFonts w:ascii="Arial" w:eastAsia="Arial" w:hAnsi="Arial" w:cs="Arial"/>
              </w:rPr>
              <w:t>5</w:t>
            </w:r>
            <w:r w:rsidR="00E75E6D" w:rsidRPr="00952C73">
              <w:rPr>
                <w:rFonts w:ascii="Arial" w:eastAsia="Arial" w:hAnsi="Arial" w:cs="Arial"/>
              </w:rPr>
              <w:t>% (</w:t>
            </w:r>
            <w:r w:rsidR="00722254" w:rsidRPr="00952C73">
              <w:rPr>
                <w:rFonts w:ascii="Arial" w:eastAsia="Arial" w:hAnsi="Arial" w:cs="Arial"/>
              </w:rPr>
              <w:t>1</w:t>
            </w:r>
            <w:r w:rsidR="00E75E6D" w:rsidRPr="00952C73">
              <w:rPr>
                <w:rFonts w:ascii="Arial" w:eastAsia="Arial" w:hAnsi="Arial" w:cs="Arial"/>
              </w:rPr>
              <w:t>)</w:t>
            </w:r>
          </w:p>
        </w:tc>
      </w:tr>
    </w:tbl>
    <w:p w14:paraId="65AA5C8F" w14:textId="77777777" w:rsidR="00952C73" w:rsidRDefault="00952C73" w:rsidP="00B0379D">
      <w:pPr>
        <w:spacing w:after="120" w:line="240" w:lineRule="auto"/>
        <w:jc w:val="both"/>
        <w:rPr>
          <w:rFonts w:ascii="Arial" w:hAnsi="Arial" w:cs="Arial"/>
          <w:b/>
          <w:bCs/>
          <w:color w:val="ED712C"/>
        </w:rPr>
      </w:pPr>
    </w:p>
    <w:p w14:paraId="51C4BB5E" w14:textId="68281B40" w:rsidR="00B0379D" w:rsidRPr="00451AB5" w:rsidRDefault="00E75E6D" w:rsidP="00B0379D">
      <w:pPr>
        <w:spacing w:after="120" w:line="240" w:lineRule="auto"/>
        <w:jc w:val="both"/>
        <w:rPr>
          <w:rFonts w:ascii="Arial" w:hAnsi="Arial" w:cs="Arial"/>
          <w:b/>
          <w:bCs/>
          <w:color w:val="ED712C"/>
        </w:rPr>
      </w:pPr>
      <w:r w:rsidRPr="00451AB5">
        <w:rPr>
          <w:rFonts w:ascii="Arial" w:hAnsi="Arial" w:cs="Arial"/>
          <w:b/>
          <w:bCs/>
          <w:color w:val="ED712C"/>
        </w:rPr>
        <w:t>Inter Authority Comparison</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ayout w:type="fixed"/>
        <w:tblLook w:val="04A0" w:firstRow="1" w:lastRow="0" w:firstColumn="1" w:lastColumn="0" w:noHBand="0" w:noVBand="1"/>
      </w:tblPr>
      <w:tblGrid>
        <w:gridCol w:w="1838"/>
        <w:gridCol w:w="1985"/>
        <w:gridCol w:w="1984"/>
        <w:gridCol w:w="1985"/>
        <w:gridCol w:w="1984"/>
      </w:tblGrid>
      <w:tr w:rsidR="00970157" w14:paraId="6AEEE4F5" w14:textId="77777777" w:rsidTr="00B8AFBC">
        <w:trPr>
          <w:tblHeader/>
        </w:trPr>
        <w:tc>
          <w:tcPr>
            <w:tcW w:w="1838" w:type="dxa"/>
            <w:shd w:val="clear" w:color="auto" w:fill="ED712C"/>
          </w:tcPr>
          <w:p w14:paraId="0354DAA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ED712C"/>
          </w:tcPr>
          <w:p w14:paraId="6954A91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ED712C"/>
          </w:tcPr>
          <w:p w14:paraId="6FE76CDC"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ED712C"/>
          </w:tcPr>
          <w:p w14:paraId="1C4829C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ED712C"/>
          </w:tcPr>
          <w:p w14:paraId="1777D33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522B30BE" w14:textId="77777777" w:rsidTr="00B8AFBC">
        <w:tc>
          <w:tcPr>
            <w:tcW w:w="1838" w:type="dxa"/>
            <w:shd w:val="clear" w:color="auto" w:fill="FFFFFF" w:themeFill="background1"/>
            <w:vAlign w:val="center"/>
          </w:tcPr>
          <w:p w14:paraId="69D26E22" w14:textId="5200B368" w:rsidR="00B0379D" w:rsidRPr="00927898" w:rsidRDefault="004F237E" w:rsidP="00B8AFBC">
            <w:pPr>
              <w:spacing w:after="120"/>
              <w:jc w:val="center"/>
              <w:rPr>
                <w:rFonts w:ascii="Arial" w:eastAsia="Arial" w:hAnsi="Arial" w:cs="Arial"/>
              </w:rPr>
            </w:pPr>
            <w:r w:rsidRPr="00927898">
              <w:rPr>
                <w:rFonts w:ascii="Arial" w:eastAsia="Arial" w:hAnsi="Arial" w:cs="Arial"/>
              </w:rPr>
              <w:t>22</w:t>
            </w:r>
          </w:p>
        </w:tc>
        <w:tc>
          <w:tcPr>
            <w:tcW w:w="1985" w:type="dxa"/>
            <w:shd w:val="clear" w:color="auto" w:fill="FFFFFF" w:themeFill="background1"/>
            <w:vAlign w:val="center"/>
          </w:tcPr>
          <w:p w14:paraId="48D7F42E" w14:textId="51EC54D2" w:rsidR="00B0379D" w:rsidRPr="00927898" w:rsidRDefault="00652657" w:rsidP="00B8AFBC">
            <w:pPr>
              <w:spacing w:after="120"/>
              <w:jc w:val="center"/>
              <w:rPr>
                <w:rFonts w:ascii="Arial" w:eastAsia="Arial" w:hAnsi="Arial" w:cs="Arial"/>
              </w:rPr>
            </w:pPr>
            <w:r>
              <w:rPr>
                <w:rFonts w:ascii="Arial" w:eastAsia="Arial" w:hAnsi="Arial" w:cs="Arial"/>
              </w:rPr>
              <w:t>18</w:t>
            </w:r>
            <w:r w:rsidR="00E75E6D" w:rsidRPr="00927898">
              <w:rPr>
                <w:rFonts w:ascii="Arial" w:eastAsia="Arial" w:hAnsi="Arial" w:cs="Arial"/>
              </w:rPr>
              <w:t>% (</w:t>
            </w:r>
            <w:r w:rsidR="001E24D1">
              <w:rPr>
                <w:rFonts w:ascii="Arial" w:eastAsia="Arial" w:hAnsi="Arial" w:cs="Arial"/>
              </w:rPr>
              <w:t>4</w:t>
            </w:r>
            <w:r w:rsidR="00E75E6D" w:rsidRPr="00927898">
              <w:rPr>
                <w:rFonts w:ascii="Arial" w:eastAsia="Arial" w:hAnsi="Arial" w:cs="Arial"/>
              </w:rPr>
              <w:t>)</w:t>
            </w:r>
          </w:p>
        </w:tc>
        <w:tc>
          <w:tcPr>
            <w:tcW w:w="1984" w:type="dxa"/>
            <w:shd w:val="clear" w:color="auto" w:fill="FFFFFF" w:themeFill="background1"/>
            <w:vAlign w:val="center"/>
          </w:tcPr>
          <w:p w14:paraId="1FBF5CC8" w14:textId="617F5013" w:rsidR="00B0379D" w:rsidRPr="00927898" w:rsidRDefault="00627110" w:rsidP="00B8AFBC">
            <w:pPr>
              <w:spacing w:after="120"/>
              <w:jc w:val="center"/>
              <w:rPr>
                <w:rFonts w:ascii="Arial" w:eastAsia="Arial" w:hAnsi="Arial" w:cs="Arial"/>
              </w:rPr>
            </w:pPr>
            <w:r w:rsidRPr="00927898">
              <w:rPr>
                <w:rFonts w:ascii="Arial" w:eastAsia="Arial" w:hAnsi="Arial" w:cs="Arial"/>
              </w:rPr>
              <w:t>2</w:t>
            </w:r>
            <w:r w:rsidR="00520E2B">
              <w:rPr>
                <w:rFonts w:ascii="Arial" w:eastAsia="Arial" w:hAnsi="Arial" w:cs="Arial"/>
              </w:rPr>
              <w:t>3</w:t>
            </w:r>
            <w:r w:rsidR="00E75E6D" w:rsidRPr="00927898">
              <w:rPr>
                <w:rFonts w:ascii="Arial" w:eastAsia="Arial" w:hAnsi="Arial" w:cs="Arial"/>
              </w:rPr>
              <w:t>% (</w:t>
            </w:r>
            <w:r w:rsidR="001E24D1">
              <w:rPr>
                <w:rFonts w:ascii="Arial" w:eastAsia="Arial" w:hAnsi="Arial" w:cs="Arial"/>
              </w:rPr>
              <w:t>5</w:t>
            </w:r>
            <w:r w:rsidR="00E75E6D" w:rsidRPr="00927898">
              <w:rPr>
                <w:rFonts w:ascii="Arial" w:eastAsia="Arial" w:hAnsi="Arial" w:cs="Arial"/>
              </w:rPr>
              <w:t>)</w:t>
            </w:r>
          </w:p>
        </w:tc>
        <w:tc>
          <w:tcPr>
            <w:tcW w:w="1985" w:type="dxa"/>
            <w:shd w:val="clear" w:color="auto" w:fill="FFFFFF" w:themeFill="background1"/>
            <w:vAlign w:val="center"/>
          </w:tcPr>
          <w:p w14:paraId="0B5736DB" w14:textId="37167A19" w:rsidR="00B0379D" w:rsidRPr="00927898" w:rsidRDefault="00652657" w:rsidP="00B8AFBC">
            <w:pPr>
              <w:spacing w:after="120"/>
              <w:jc w:val="center"/>
              <w:rPr>
                <w:rFonts w:ascii="Arial" w:eastAsia="Arial" w:hAnsi="Arial" w:cs="Arial"/>
              </w:rPr>
            </w:pPr>
            <w:r>
              <w:rPr>
                <w:rFonts w:ascii="Arial" w:eastAsia="Arial" w:hAnsi="Arial" w:cs="Arial"/>
              </w:rPr>
              <w:t>18</w:t>
            </w:r>
            <w:r w:rsidR="00E75E6D" w:rsidRPr="00927898">
              <w:rPr>
                <w:rFonts w:ascii="Arial" w:eastAsia="Arial" w:hAnsi="Arial" w:cs="Arial"/>
              </w:rPr>
              <w:t>% (</w:t>
            </w:r>
            <w:r w:rsidR="00E2320B" w:rsidRPr="00927898">
              <w:rPr>
                <w:rFonts w:ascii="Arial" w:eastAsia="Arial" w:hAnsi="Arial" w:cs="Arial"/>
              </w:rPr>
              <w:t>4</w:t>
            </w:r>
            <w:r w:rsidR="00E75E6D" w:rsidRPr="00927898">
              <w:rPr>
                <w:rFonts w:ascii="Arial" w:eastAsia="Arial" w:hAnsi="Arial" w:cs="Arial"/>
              </w:rPr>
              <w:t>)</w:t>
            </w:r>
          </w:p>
        </w:tc>
        <w:tc>
          <w:tcPr>
            <w:tcW w:w="1984" w:type="dxa"/>
            <w:shd w:val="clear" w:color="auto" w:fill="FFFFFF" w:themeFill="background1"/>
            <w:vAlign w:val="center"/>
          </w:tcPr>
          <w:p w14:paraId="2BE02D00" w14:textId="417341F1" w:rsidR="00B0379D" w:rsidRPr="00927898" w:rsidRDefault="00E665A8" w:rsidP="00B8AFBC">
            <w:pPr>
              <w:spacing w:after="120"/>
              <w:jc w:val="center"/>
              <w:rPr>
                <w:rFonts w:ascii="Arial" w:eastAsia="Arial" w:hAnsi="Arial" w:cs="Arial"/>
              </w:rPr>
            </w:pPr>
            <w:r>
              <w:rPr>
                <w:rFonts w:ascii="Arial" w:eastAsia="Arial" w:hAnsi="Arial" w:cs="Arial"/>
              </w:rPr>
              <w:t>41</w:t>
            </w:r>
            <w:r w:rsidR="00E75E6D" w:rsidRPr="00927898">
              <w:rPr>
                <w:rFonts w:ascii="Arial" w:eastAsia="Arial" w:hAnsi="Arial" w:cs="Arial"/>
              </w:rPr>
              <w:t>% (</w:t>
            </w:r>
            <w:r w:rsidR="007C4C73">
              <w:rPr>
                <w:rFonts w:ascii="Arial" w:eastAsia="Arial" w:hAnsi="Arial" w:cs="Arial"/>
              </w:rPr>
              <w:t>9</w:t>
            </w:r>
            <w:r w:rsidR="00E75E6D" w:rsidRPr="00927898">
              <w:rPr>
                <w:rFonts w:ascii="Arial" w:eastAsia="Arial" w:hAnsi="Arial" w:cs="Arial"/>
              </w:rPr>
              <w:t>)</w:t>
            </w:r>
          </w:p>
        </w:tc>
      </w:tr>
    </w:tbl>
    <w:p w14:paraId="5DF9B766" w14:textId="77777777" w:rsidR="00B0379D" w:rsidRDefault="00B0379D" w:rsidP="00B0379D">
      <w:pPr>
        <w:spacing w:after="240" w:line="240" w:lineRule="auto"/>
        <w:jc w:val="both"/>
        <w:rPr>
          <w:rFonts w:ascii="Arial" w:hAnsi="Arial" w:cs="Arial"/>
          <w:b/>
          <w:color w:val="ED712C"/>
          <w:sz w:val="32"/>
          <w:szCs w:val="32"/>
        </w:rPr>
        <w:sectPr w:rsidR="00B0379D" w:rsidSect="00EC2ED3">
          <w:pgSz w:w="11906" w:h="16838" w:code="9"/>
          <w:pgMar w:top="720" w:right="720" w:bottom="720" w:left="720" w:header="709" w:footer="709" w:gutter="0"/>
          <w:cols w:space="708"/>
          <w:docGrid w:linePitch="360"/>
        </w:sectPr>
      </w:pPr>
    </w:p>
    <w:p w14:paraId="4FFD9DBE" w14:textId="77777777" w:rsidR="00B0379D" w:rsidRPr="005222F8" w:rsidRDefault="00E75E6D" w:rsidP="00B0379D">
      <w:pPr>
        <w:spacing w:after="240" w:line="240" w:lineRule="auto"/>
        <w:jc w:val="both"/>
        <w:rPr>
          <w:rFonts w:ascii="Arial" w:hAnsi="Arial" w:cs="Arial"/>
          <w:b/>
          <w:bCs/>
          <w:color w:val="ED712C"/>
          <w:sz w:val="24"/>
          <w:szCs w:val="24"/>
        </w:rPr>
      </w:pPr>
      <w:r w:rsidRPr="00AB1B48">
        <w:rPr>
          <w:rFonts w:ascii="Arial" w:hAnsi="Arial" w:cs="Arial"/>
          <w:b/>
          <w:color w:val="ED712C"/>
          <w:sz w:val="32"/>
          <w:szCs w:val="32"/>
        </w:rPr>
        <w:t>Priority 1 - Ensure children and young people have a positive start in life</w:t>
      </w:r>
    </w:p>
    <w:p w14:paraId="4F996C1F" w14:textId="77777777" w:rsidR="00B0379D" w:rsidRPr="00AB1B48" w:rsidRDefault="00E75E6D" w:rsidP="00B0379D">
      <w:pPr>
        <w:spacing w:after="120" w:line="240" w:lineRule="auto"/>
        <w:rPr>
          <w:rFonts w:ascii="Arial" w:hAnsi="Arial" w:cs="Arial"/>
          <w:b/>
          <w:color w:val="ED712C"/>
          <w:sz w:val="32"/>
          <w:szCs w:val="32"/>
        </w:rPr>
      </w:pPr>
      <w:r w:rsidRPr="4276CE28">
        <w:rPr>
          <w:rFonts w:ascii="Arial" w:hAnsi="Arial" w:cs="Arial"/>
          <w:b/>
          <w:bCs/>
          <w:color w:val="ED712C"/>
          <w:sz w:val="32"/>
          <w:szCs w:val="32"/>
        </w:rPr>
        <w:t>Tier 1</w:t>
      </w:r>
    </w:p>
    <w:tbl>
      <w:tblPr>
        <w:tblW w:w="0" w:type="auto"/>
        <w:tblLook w:val="04A0" w:firstRow="1" w:lastRow="0" w:firstColumn="1" w:lastColumn="0" w:noHBand="0" w:noVBand="1"/>
      </w:tblPr>
      <w:tblGrid>
        <w:gridCol w:w="2375"/>
        <w:gridCol w:w="747"/>
        <w:gridCol w:w="3345"/>
        <w:gridCol w:w="1341"/>
        <w:gridCol w:w="1082"/>
        <w:gridCol w:w="1013"/>
        <w:gridCol w:w="891"/>
        <w:gridCol w:w="971"/>
        <w:gridCol w:w="1050"/>
        <w:gridCol w:w="772"/>
        <w:gridCol w:w="1806"/>
      </w:tblGrid>
      <w:tr w:rsidR="007C1C9E" w:rsidRPr="007C1C9E" w14:paraId="28AB42DB" w14:textId="77777777" w:rsidTr="00340BE7">
        <w:trPr>
          <w:trHeight w:val="420"/>
          <w:tblHeader/>
        </w:trPr>
        <w:tc>
          <w:tcPr>
            <w:tcW w:w="0" w:type="auto"/>
            <w:vMerge w:val="restart"/>
            <w:tcBorders>
              <w:top w:val="nil"/>
              <w:left w:val="nil"/>
              <w:bottom w:val="nil"/>
              <w:right w:val="single" w:sz="4" w:space="0" w:color="ED712C"/>
            </w:tcBorders>
            <w:shd w:val="clear" w:color="000000" w:fill="ED712C"/>
            <w:vAlign w:val="center"/>
            <w:hideMark/>
          </w:tcPr>
          <w:p w14:paraId="1F0FE7DA"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Outcome</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403E4B78"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Ref</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30E21A0E"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Performance Indicator</w:t>
            </w:r>
          </w:p>
        </w:tc>
        <w:tc>
          <w:tcPr>
            <w:tcW w:w="0" w:type="auto"/>
            <w:vMerge w:val="restart"/>
            <w:tcBorders>
              <w:top w:val="single" w:sz="4" w:space="0" w:color="ED712C"/>
              <w:left w:val="single" w:sz="4" w:space="0" w:color="ED712C"/>
              <w:bottom w:val="single" w:sz="4" w:space="0" w:color="ED712C"/>
              <w:right w:val="nil"/>
            </w:tcBorders>
            <w:shd w:val="clear" w:color="000000" w:fill="ED712C"/>
            <w:vAlign w:val="center"/>
            <w:hideMark/>
          </w:tcPr>
          <w:p w14:paraId="6D0E4E4B"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Reporting Frequency</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58DE90D3"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ED712C"/>
              <w:left w:val="nil"/>
              <w:bottom w:val="single" w:sz="4" w:space="0" w:color="ED712C"/>
              <w:right w:val="single" w:sz="4" w:space="0" w:color="ED712C"/>
            </w:tcBorders>
            <w:shd w:val="clear" w:color="000000" w:fill="ED712C"/>
            <w:vAlign w:val="center"/>
            <w:hideMark/>
          </w:tcPr>
          <w:p w14:paraId="6D66D8F9"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23/24 Outturn</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1D9EBEFF"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24/25 Target</w:t>
            </w:r>
          </w:p>
        </w:tc>
        <w:tc>
          <w:tcPr>
            <w:tcW w:w="971" w:type="dxa"/>
            <w:tcBorders>
              <w:top w:val="single" w:sz="4" w:space="0" w:color="ED712C"/>
              <w:left w:val="nil"/>
              <w:bottom w:val="single" w:sz="4" w:space="0" w:color="ED712C"/>
              <w:right w:val="single" w:sz="4" w:space="0" w:color="ED712C"/>
            </w:tcBorders>
            <w:shd w:val="clear" w:color="000000" w:fill="ED712C"/>
            <w:vAlign w:val="center"/>
            <w:hideMark/>
          </w:tcPr>
          <w:p w14:paraId="43464269"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Q1</w:t>
            </w:r>
          </w:p>
        </w:tc>
        <w:tc>
          <w:tcPr>
            <w:tcW w:w="1021"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22E3F938"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1EDCA134"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Trend</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3A74AA05"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Comparative Performance</w:t>
            </w:r>
          </w:p>
        </w:tc>
      </w:tr>
      <w:tr w:rsidR="007C1C9E" w:rsidRPr="007C1C9E" w14:paraId="7759ECCF" w14:textId="77777777" w:rsidTr="00340BE7">
        <w:trPr>
          <w:trHeight w:val="920"/>
        </w:trPr>
        <w:tc>
          <w:tcPr>
            <w:tcW w:w="0" w:type="auto"/>
            <w:vMerge/>
            <w:tcBorders>
              <w:top w:val="nil"/>
              <w:left w:val="nil"/>
              <w:bottom w:val="nil"/>
              <w:right w:val="single" w:sz="4" w:space="0" w:color="ED712C"/>
            </w:tcBorders>
            <w:vAlign w:val="center"/>
            <w:hideMark/>
          </w:tcPr>
          <w:p w14:paraId="4D309882"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5C57A1F8"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28ED92C4"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nil"/>
            </w:tcBorders>
            <w:vAlign w:val="center"/>
            <w:hideMark/>
          </w:tcPr>
          <w:p w14:paraId="3D2443B8"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3346AD81"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nil"/>
              <w:bottom w:val="single" w:sz="4" w:space="0" w:color="ED712C"/>
              <w:right w:val="single" w:sz="4" w:space="0" w:color="ED712C"/>
            </w:tcBorders>
            <w:vAlign w:val="center"/>
            <w:hideMark/>
          </w:tcPr>
          <w:p w14:paraId="397B0887"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4002F4A4"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971" w:type="dxa"/>
            <w:tcBorders>
              <w:top w:val="nil"/>
              <w:left w:val="nil"/>
              <w:bottom w:val="single" w:sz="4" w:space="0" w:color="ED712C"/>
              <w:right w:val="single" w:sz="4" w:space="0" w:color="ED712C"/>
            </w:tcBorders>
            <w:shd w:val="clear" w:color="000000" w:fill="ED712C"/>
            <w:vAlign w:val="center"/>
            <w:hideMark/>
          </w:tcPr>
          <w:p w14:paraId="013C745A" w14:textId="77777777" w:rsidR="007C1C9E" w:rsidRPr="007C1C9E" w:rsidRDefault="007C1C9E" w:rsidP="007C1C9E">
            <w:pPr>
              <w:spacing w:after="0" w:line="240" w:lineRule="auto"/>
              <w:jc w:val="center"/>
              <w:rPr>
                <w:rFonts w:ascii="Arial" w:eastAsia="Times New Roman" w:hAnsi="Arial" w:cs="Arial"/>
                <w:b/>
                <w:bCs/>
                <w:color w:val="FFFFFF"/>
                <w:sz w:val="20"/>
                <w:szCs w:val="20"/>
                <w:lang w:eastAsia="en-GB"/>
              </w:rPr>
            </w:pPr>
            <w:r w:rsidRPr="007C1C9E">
              <w:rPr>
                <w:rFonts w:ascii="Arial" w:eastAsia="Times New Roman" w:hAnsi="Arial" w:cs="Arial"/>
                <w:b/>
                <w:bCs/>
                <w:color w:val="FFFFFF"/>
                <w:sz w:val="20"/>
                <w:szCs w:val="20"/>
                <w:lang w:eastAsia="en-GB"/>
              </w:rPr>
              <w:t>June</w:t>
            </w:r>
          </w:p>
        </w:tc>
        <w:tc>
          <w:tcPr>
            <w:tcW w:w="1021" w:type="dxa"/>
            <w:vMerge/>
            <w:tcBorders>
              <w:top w:val="single" w:sz="4" w:space="0" w:color="ED712C"/>
              <w:left w:val="single" w:sz="4" w:space="0" w:color="ED712C"/>
              <w:bottom w:val="single" w:sz="4" w:space="0" w:color="ED712C"/>
              <w:right w:val="single" w:sz="4" w:space="0" w:color="ED712C"/>
            </w:tcBorders>
            <w:vAlign w:val="center"/>
            <w:hideMark/>
          </w:tcPr>
          <w:p w14:paraId="7AA7269D"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79815605"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07B64AA2" w14:textId="77777777" w:rsidR="007C1C9E" w:rsidRPr="007C1C9E" w:rsidRDefault="007C1C9E" w:rsidP="007C1C9E">
            <w:pPr>
              <w:spacing w:after="0" w:line="240" w:lineRule="auto"/>
              <w:rPr>
                <w:rFonts w:ascii="Arial" w:eastAsia="Times New Roman" w:hAnsi="Arial" w:cs="Arial"/>
                <w:b/>
                <w:bCs/>
                <w:color w:val="FFFFFF"/>
                <w:sz w:val="20"/>
                <w:szCs w:val="20"/>
                <w:lang w:eastAsia="en-GB"/>
              </w:rPr>
            </w:pPr>
          </w:p>
        </w:tc>
      </w:tr>
      <w:tr w:rsidR="007C1C9E" w:rsidRPr="007C1C9E" w14:paraId="1C286040" w14:textId="77777777" w:rsidTr="00340BE7">
        <w:trPr>
          <w:trHeight w:val="1305"/>
        </w:trPr>
        <w:tc>
          <w:tcPr>
            <w:tcW w:w="0" w:type="auto"/>
            <w:vMerge w:val="restart"/>
            <w:tcBorders>
              <w:top w:val="single" w:sz="4" w:space="0" w:color="ED712C"/>
              <w:left w:val="single" w:sz="4" w:space="0" w:color="ED712C"/>
              <w:bottom w:val="nil"/>
              <w:right w:val="single" w:sz="4" w:space="0" w:color="ED712C"/>
            </w:tcBorders>
            <w:shd w:val="clear" w:color="000000" w:fill="FAD3BE"/>
            <w:vAlign w:val="center"/>
            <w:hideMark/>
          </w:tcPr>
          <w:p w14:paraId="4FDEB7BC" w14:textId="77777777" w:rsidR="007C1C9E" w:rsidRPr="007C1C9E" w:rsidRDefault="007C1C9E" w:rsidP="007C1C9E">
            <w:pPr>
              <w:spacing w:after="0" w:line="240" w:lineRule="auto"/>
              <w:jc w:val="center"/>
              <w:rPr>
                <w:rFonts w:ascii="Arial" w:eastAsia="Times New Roman" w:hAnsi="Arial" w:cs="Arial"/>
                <w:b/>
                <w:bCs/>
                <w:color w:val="000000"/>
                <w:sz w:val="20"/>
                <w:szCs w:val="20"/>
                <w:lang w:eastAsia="en-GB"/>
              </w:rPr>
            </w:pPr>
            <w:r w:rsidRPr="007C1C9E">
              <w:rPr>
                <w:rFonts w:ascii="Arial" w:eastAsia="Times New Roman" w:hAnsi="Arial" w:cs="Arial"/>
                <w:b/>
                <w:bCs/>
                <w:color w:val="000000"/>
                <w:sz w:val="20"/>
                <w:szCs w:val="20"/>
                <w:lang w:eastAsia="en-GB"/>
              </w:rPr>
              <w:t>Children and young people are safe from harm and the lives of children in care improve</w:t>
            </w: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2E3B8EE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CYP-001</w:t>
            </w:r>
          </w:p>
        </w:tc>
        <w:tc>
          <w:tcPr>
            <w:tcW w:w="0" w:type="auto"/>
            <w:tcBorders>
              <w:top w:val="nil"/>
              <w:left w:val="nil"/>
              <w:bottom w:val="single" w:sz="4" w:space="0" w:color="ED712C"/>
              <w:right w:val="single" w:sz="4" w:space="0" w:color="ED712C"/>
            </w:tcBorders>
            <w:shd w:val="clear" w:color="auto" w:fill="auto"/>
            <w:vAlign w:val="center"/>
            <w:hideMark/>
          </w:tcPr>
          <w:p w14:paraId="3DE6D597"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The number of open Early Help episodes starting</w:t>
            </w:r>
          </w:p>
        </w:tc>
        <w:tc>
          <w:tcPr>
            <w:tcW w:w="0" w:type="auto"/>
            <w:tcBorders>
              <w:top w:val="nil"/>
              <w:left w:val="nil"/>
              <w:bottom w:val="single" w:sz="4" w:space="0" w:color="ED712C"/>
              <w:right w:val="single" w:sz="4" w:space="0" w:color="ED712C"/>
            </w:tcBorders>
            <w:shd w:val="clear" w:color="auto" w:fill="auto"/>
            <w:vAlign w:val="center"/>
            <w:hideMark/>
          </w:tcPr>
          <w:p w14:paraId="5B9CE43C"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2CECBE98"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92D050"/>
            <w:vAlign w:val="center"/>
            <w:hideMark/>
          </w:tcPr>
          <w:p w14:paraId="11589D2C"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1580</w:t>
            </w:r>
          </w:p>
        </w:tc>
        <w:tc>
          <w:tcPr>
            <w:tcW w:w="0" w:type="auto"/>
            <w:tcBorders>
              <w:top w:val="nil"/>
              <w:left w:val="nil"/>
              <w:bottom w:val="single" w:sz="4" w:space="0" w:color="ED712C"/>
              <w:right w:val="single" w:sz="4" w:space="0" w:color="ED712C"/>
            </w:tcBorders>
            <w:shd w:val="clear" w:color="auto" w:fill="auto"/>
            <w:vAlign w:val="center"/>
            <w:hideMark/>
          </w:tcPr>
          <w:p w14:paraId="0F924D3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1600</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216FDC2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402</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0D95223F"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0.5%</w:t>
            </w:r>
          </w:p>
        </w:tc>
        <w:tc>
          <w:tcPr>
            <w:tcW w:w="0" w:type="auto"/>
            <w:tcBorders>
              <w:top w:val="nil"/>
              <w:left w:val="nil"/>
              <w:bottom w:val="single" w:sz="4" w:space="0" w:color="ED712C"/>
              <w:right w:val="single" w:sz="4" w:space="0" w:color="ED712C"/>
            </w:tcBorders>
            <w:shd w:val="clear" w:color="000000" w:fill="FFFFFF"/>
            <w:vAlign w:val="center"/>
            <w:hideMark/>
          </w:tcPr>
          <w:p w14:paraId="2D4F7453" w14:textId="5E0466F0"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noProof/>
                <w:sz w:val="20"/>
                <w:szCs w:val="20"/>
                <w:lang w:eastAsia="en-GB"/>
              </w:rPr>
              <w:drawing>
                <wp:anchor distT="0" distB="0" distL="114300" distR="114300" simplePos="0" relativeHeight="251658259" behindDoc="0" locked="0" layoutInCell="1" allowOverlap="1" wp14:anchorId="03B9D346" wp14:editId="54322666">
                  <wp:simplePos x="0" y="0"/>
                  <wp:positionH relativeFrom="column">
                    <wp:posOffset>61595</wp:posOffset>
                  </wp:positionH>
                  <wp:positionV relativeFrom="paragraph">
                    <wp:posOffset>160655</wp:posOffset>
                  </wp:positionV>
                  <wp:extent cx="266700" cy="254000"/>
                  <wp:effectExtent l="0" t="0" r="0" b="0"/>
                  <wp:wrapNone/>
                  <wp:docPr id="813167034" name="Picture 11" descr="P392C22T8#y1">
                    <a:extLst xmlns:a="http://schemas.openxmlformats.org/drawingml/2006/main">
                      <a:ext uri="{FF2B5EF4-FFF2-40B4-BE49-F238E27FC236}">
                        <a16:creationId xmlns:a16="http://schemas.microsoft.com/office/drawing/2014/main" id="{FFE70AAD-67EF-4B9F-819E-563F42BBCA7F}"/>
                      </a:ext>
                      <a:ext uri="{147F2762-F138-4A5C-976F-8EAC2B608ADB}">
                        <a16:predDERef xmlns:a16="http://schemas.microsoft.com/office/drawing/2014/main" pred="{542E8718-FFAA-47B6-86C4-B4742CB3289E}"/>
                      </a:ext>
                    </a:extLst>
                  </wp:docPr>
                  <wp:cNvGraphicFramePr/>
                  <a:graphic xmlns:a="http://schemas.openxmlformats.org/drawingml/2006/main">
                    <a:graphicData uri="http://schemas.openxmlformats.org/drawingml/2006/picture">
                      <pic:pic xmlns:pic="http://schemas.openxmlformats.org/drawingml/2006/picture">
                        <pic:nvPicPr>
                          <pic:cNvPr id="813167034" name="Picture 17" descr="P392C22T8#y1">
                            <a:extLst>
                              <a:ext uri="{FF2B5EF4-FFF2-40B4-BE49-F238E27FC236}">
                                <a16:creationId xmlns:a16="http://schemas.microsoft.com/office/drawing/2014/main" id="{FFE70AAD-67EF-4B9F-819E-563F42BBCA7F}"/>
                              </a:ext>
                              <a:ext uri="{147F2762-F138-4A5C-976F-8EAC2B608ADB}">
                                <a16:predDERef xmlns:a16="http://schemas.microsoft.com/office/drawing/2014/main" pred="{542E8718-FFAA-47B6-86C4-B4742CB3289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7910FF8B" w14:textId="3246B7C2"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N/A</w:t>
            </w:r>
          </w:p>
        </w:tc>
      </w:tr>
      <w:tr w:rsidR="007C1C9E" w:rsidRPr="007C1C9E" w14:paraId="269741D1" w14:textId="77777777" w:rsidTr="00340BE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54012854"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4B74F761"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CYP-002</w:t>
            </w:r>
          </w:p>
        </w:tc>
        <w:tc>
          <w:tcPr>
            <w:tcW w:w="0" w:type="auto"/>
            <w:tcBorders>
              <w:top w:val="nil"/>
              <w:left w:val="nil"/>
              <w:bottom w:val="single" w:sz="4" w:space="0" w:color="ED712C"/>
              <w:right w:val="single" w:sz="4" w:space="0" w:color="ED712C"/>
            </w:tcBorders>
            <w:shd w:val="clear" w:color="auto" w:fill="auto"/>
            <w:vAlign w:val="center"/>
            <w:hideMark/>
          </w:tcPr>
          <w:p w14:paraId="61432E69"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The number of early help episodes that have been closed and have subsequently not gone on to have a social care intervention in the following 12 months as a percentage of total closures</w:t>
            </w:r>
          </w:p>
        </w:tc>
        <w:tc>
          <w:tcPr>
            <w:tcW w:w="0" w:type="auto"/>
            <w:tcBorders>
              <w:top w:val="nil"/>
              <w:left w:val="nil"/>
              <w:bottom w:val="single" w:sz="4" w:space="0" w:color="ED712C"/>
              <w:right w:val="single" w:sz="4" w:space="0" w:color="ED712C"/>
            </w:tcBorders>
            <w:shd w:val="clear" w:color="auto" w:fill="auto"/>
            <w:vAlign w:val="center"/>
            <w:hideMark/>
          </w:tcPr>
          <w:p w14:paraId="69585ABE"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7D9E1AB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92D050"/>
            <w:vAlign w:val="center"/>
            <w:hideMark/>
          </w:tcPr>
          <w:p w14:paraId="3574BE3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87</w:t>
            </w:r>
          </w:p>
        </w:tc>
        <w:tc>
          <w:tcPr>
            <w:tcW w:w="0" w:type="auto"/>
            <w:tcBorders>
              <w:top w:val="nil"/>
              <w:left w:val="nil"/>
              <w:bottom w:val="single" w:sz="4" w:space="0" w:color="ED712C"/>
              <w:right w:val="single" w:sz="4" w:space="0" w:color="ED712C"/>
            </w:tcBorders>
            <w:shd w:val="clear" w:color="000000" w:fill="FFFFFF"/>
            <w:vAlign w:val="center"/>
            <w:hideMark/>
          </w:tcPr>
          <w:p w14:paraId="5AB14F9E"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87</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706DADA6"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89</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67F2EDAA"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2.3%</w:t>
            </w:r>
          </w:p>
        </w:tc>
        <w:tc>
          <w:tcPr>
            <w:tcW w:w="0" w:type="auto"/>
            <w:tcBorders>
              <w:top w:val="nil"/>
              <w:left w:val="nil"/>
              <w:bottom w:val="single" w:sz="4" w:space="0" w:color="ED712C"/>
              <w:right w:val="single" w:sz="4" w:space="0" w:color="ED712C"/>
            </w:tcBorders>
            <w:shd w:val="clear" w:color="000000" w:fill="FFFFFF"/>
            <w:vAlign w:val="center"/>
            <w:hideMark/>
          </w:tcPr>
          <w:p w14:paraId="6D9489E4" w14:textId="3ECAEAAB"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1" behindDoc="0" locked="0" layoutInCell="1" allowOverlap="1" wp14:anchorId="0AEAD80F" wp14:editId="376F6EAE">
                  <wp:simplePos x="0" y="0"/>
                  <wp:positionH relativeFrom="column">
                    <wp:posOffset>61595</wp:posOffset>
                  </wp:positionH>
                  <wp:positionV relativeFrom="paragraph">
                    <wp:posOffset>-40640</wp:posOffset>
                  </wp:positionV>
                  <wp:extent cx="292100" cy="247650"/>
                  <wp:effectExtent l="0" t="0" r="0" b="0"/>
                  <wp:wrapNone/>
                  <wp:docPr id="19" name="Picture 12" descr="P404C32T8#y1">
                    <a:extLst xmlns:a="http://schemas.openxmlformats.org/drawingml/2006/main">
                      <a:ext uri="{FF2B5EF4-FFF2-40B4-BE49-F238E27FC236}">
                        <a16:creationId xmlns:a16="http://schemas.microsoft.com/office/drawing/2014/main" id="{3D4DB671-4A2F-4A80-96E3-C81FE8DCAF27}"/>
                      </a:ext>
                      <a:ext uri="{147F2762-F138-4A5C-976F-8EAC2B608ADB}">
                        <a16:predDERef xmlns:a16="http://schemas.microsoft.com/office/drawing/2014/main" pred="{3DA8D2FB-169D-462D-BF8F-3E7411B45FF5}"/>
                      </a:ext>
                    </a:extLst>
                  </wp:docPr>
                  <wp:cNvGraphicFramePr/>
                  <a:graphic xmlns:a="http://schemas.openxmlformats.org/drawingml/2006/main">
                    <a:graphicData uri="http://schemas.openxmlformats.org/drawingml/2006/picture">
                      <pic:pic xmlns:pic="http://schemas.openxmlformats.org/drawingml/2006/picture">
                        <pic:nvPicPr>
                          <pic:cNvPr id="19" name="Picture 16" descr="P404C32T8#y1">
                            <a:extLst>
                              <a:ext uri="{FF2B5EF4-FFF2-40B4-BE49-F238E27FC236}">
                                <a16:creationId xmlns:a16="http://schemas.microsoft.com/office/drawing/2014/main" id="{3D4DB671-4A2F-4A80-96E3-C81FE8DCAF27}"/>
                              </a:ext>
                              <a:ext uri="{147F2762-F138-4A5C-976F-8EAC2B608ADB}">
                                <a16:predDERef xmlns:a16="http://schemas.microsoft.com/office/drawing/2014/main" pred="{3DA8D2FB-169D-462D-BF8F-3E7411B45FF5}"/>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643D8153"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N/A</w:t>
            </w:r>
          </w:p>
        </w:tc>
      </w:tr>
      <w:tr w:rsidR="007C1C9E" w:rsidRPr="007C1C9E" w14:paraId="544D3934" w14:textId="77777777" w:rsidTr="0070564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13C4C1A6"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7E45C528"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CYP-003</w:t>
            </w:r>
          </w:p>
        </w:tc>
        <w:tc>
          <w:tcPr>
            <w:tcW w:w="0" w:type="auto"/>
            <w:tcBorders>
              <w:top w:val="nil"/>
              <w:left w:val="nil"/>
              <w:bottom w:val="single" w:sz="4" w:space="0" w:color="ED712C"/>
              <w:right w:val="single" w:sz="4" w:space="0" w:color="ED712C"/>
            </w:tcBorders>
            <w:shd w:val="clear" w:color="auto" w:fill="auto"/>
            <w:vAlign w:val="center"/>
            <w:hideMark/>
          </w:tcPr>
          <w:p w14:paraId="55A99727"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Number of children in need at 31 March, per 10,000 children aged 0-17 years</w:t>
            </w:r>
          </w:p>
        </w:tc>
        <w:tc>
          <w:tcPr>
            <w:tcW w:w="0" w:type="auto"/>
            <w:tcBorders>
              <w:top w:val="nil"/>
              <w:left w:val="nil"/>
              <w:bottom w:val="single" w:sz="4" w:space="0" w:color="ED712C"/>
              <w:right w:val="single" w:sz="4" w:space="0" w:color="ED712C"/>
            </w:tcBorders>
            <w:shd w:val="clear" w:color="auto" w:fill="auto"/>
            <w:vAlign w:val="center"/>
            <w:hideMark/>
          </w:tcPr>
          <w:p w14:paraId="66188450"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5598E66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FFC000"/>
            <w:vAlign w:val="center"/>
            <w:hideMark/>
          </w:tcPr>
          <w:p w14:paraId="65CBC220"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453.1</w:t>
            </w:r>
          </w:p>
        </w:tc>
        <w:tc>
          <w:tcPr>
            <w:tcW w:w="0" w:type="auto"/>
            <w:tcBorders>
              <w:top w:val="nil"/>
              <w:left w:val="nil"/>
              <w:bottom w:val="single" w:sz="4" w:space="0" w:color="ED712C"/>
              <w:right w:val="single" w:sz="4" w:space="0" w:color="ED712C"/>
            </w:tcBorders>
            <w:shd w:val="clear" w:color="000000" w:fill="FFFFFF"/>
            <w:vAlign w:val="center"/>
            <w:hideMark/>
          </w:tcPr>
          <w:p w14:paraId="54E3351E"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438</w:t>
            </w:r>
          </w:p>
        </w:tc>
        <w:tc>
          <w:tcPr>
            <w:tcW w:w="971" w:type="dxa"/>
            <w:tcBorders>
              <w:top w:val="single" w:sz="4" w:space="0" w:color="ED712C"/>
              <w:left w:val="single" w:sz="4" w:space="0" w:color="ED712C"/>
              <w:bottom w:val="single" w:sz="4" w:space="0" w:color="ED712C"/>
              <w:right w:val="single" w:sz="4" w:space="0" w:color="ED712C"/>
            </w:tcBorders>
            <w:shd w:val="clear" w:color="auto" w:fill="FFC000"/>
            <w:vAlign w:val="center"/>
            <w:hideMark/>
          </w:tcPr>
          <w:p w14:paraId="74A9A6B5"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444.2</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1D5D0191" w14:textId="77777777" w:rsidR="007C1C9E" w:rsidRPr="00705647" w:rsidRDefault="007C1C9E" w:rsidP="007C1C9E">
            <w:pPr>
              <w:spacing w:after="0" w:line="240" w:lineRule="auto"/>
              <w:jc w:val="center"/>
              <w:rPr>
                <w:rFonts w:ascii="Arial" w:eastAsia="Times New Roman" w:hAnsi="Arial" w:cs="Arial"/>
                <w:sz w:val="20"/>
                <w:szCs w:val="20"/>
                <w:lang w:eastAsia="en-GB"/>
              </w:rPr>
            </w:pPr>
            <w:r w:rsidRPr="00705647">
              <w:rPr>
                <w:rFonts w:ascii="Arial" w:eastAsia="Times New Roman" w:hAnsi="Arial" w:cs="Arial"/>
                <w:sz w:val="20"/>
                <w:szCs w:val="20"/>
                <w:lang w:eastAsia="en-GB"/>
              </w:rPr>
              <w:t>-1.2%</w:t>
            </w:r>
          </w:p>
        </w:tc>
        <w:tc>
          <w:tcPr>
            <w:tcW w:w="0" w:type="auto"/>
            <w:tcBorders>
              <w:top w:val="nil"/>
              <w:left w:val="nil"/>
              <w:bottom w:val="single" w:sz="4" w:space="0" w:color="ED712C"/>
              <w:right w:val="single" w:sz="4" w:space="0" w:color="ED712C"/>
            </w:tcBorders>
            <w:shd w:val="clear" w:color="000000" w:fill="FFFFFF"/>
            <w:vAlign w:val="center"/>
            <w:hideMark/>
          </w:tcPr>
          <w:p w14:paraId="1411E202" w14:textId="103D75F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5" behindDoc="0" locked="0" layoutInCell="1" allowOverlap="1" wp14:anchorId="6E6F70B1" wp14:editId="42936162">
                  <wp:simplePos x="0" y="0"/>
                  <wp:positionH relativeFrom="column">
                    <wp:posOffset>67945</wp:posOffset>
                  </wp:positionH>
                  <wp:positionV relativeFrom="paragraph">
                    <wp:posOffset>-38100</wp:posOffset>
                  </wp:positionV>
                  <wp:extent cx="292100" cy="241300"/>
                  <wp:effectExtent l="0" t="0" r="0" b="6350"/>
                  <wp:wrapNone/>
                  <wp:docPr id="607094861" name="Picture 13" descr="P416C42T8#y1">
                    <a:extLst xmlns:a="http://schemas.openxmlformats.org/drawingml/2006/main">
                      <a:ext uri="{FF2B5EF4-FFF2-40B4-BE49-F238E27FC236}">
                        <a16:creationId xmlns:a16="http://schemas.microsoft.com/office/drawing/2014/main" id="{198F6269-E9B2-46B3-86AE-FE51050D7F53}"/>
                      </a:ext>
                      <a:ext uri="{147F2762-F138-4A5C-976F-8EAC2B608ADB}">
                        <a16:predDERef xmlns:a16="http://schemas.microsoft.com/office/drawing/2014/main" pred="{682AA91F-E0E8-4168-92FC-BCDC460E57CE}"/>
                      </a:ext>
                    </a:extLst>
                  </wp:docPr>
                  <wp:cNvGraphicFramePr/>
                  <a:graphic xmlns:a="http://schemas.openxmlformats.org/drawingml/2006/main">
                    <a:graphicData uri="http://schemas.openxmlformats.org/drawingml/2006/picture">
                      <pic:pic xmlns:pic="http://schemas.openxmlformats.org/drawingml/2006/picture">
                        <pic:nvPicPr>
                          <pic:cNvPr id="607094861" name="Picture 15" descr="P416C42T8#y1">
                            <a:extLst>
                              <a:ext uri="{FF2B5EF4-FFF2-40B4-BE49-F238E27FC236}">
                                <a16:creationId xmlns:a16="http://schemas.microsoft.com/office/drawing/2014/main" id="{198F6269-E9B2-46B3-86AE-FE51050D7F53}"/>
                              </a:ext>
                              <a:ext uri="{147F2762-F138-4A5C-976F-8EAC2B608ADB}">
                                <a16:predDERef xmlns:a16="http://schemas.microsoft.com/office/drawing/2014/main" pred="{682AA91F-E0E8-4168-92FC-BCDC460E57C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C000"/>
            <w:vAlign w:val="center"/>
            <w:hideMark/>
          </w:tcPr>
          <w:p w14:paraId="71C60225"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3rd Quartile Eng Av. 343.0 LA Av. 439 (2022/23)</w:t>
            </w:r>
          </w:p>
        </w:tc>
      </w:tr>
      <w:tr w:rsidR="007C1C9E" w:rsidRPr="007C1C9E" w14:paraId="4B027E40" w14:textId="77777777" w:rsidTr="00340BE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31987228"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40604272"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CYP-004</w:t>
            </w:r>
          </w:p>
        </w:tc>
        <w:tc>
          <w:tcPr>
            <w:tcW w:w="0" w:type="auto"/>
            <w:tcBorders>
              <w:top w:val="nil"/>
              <w:left w:val="nil"/>
              <w:bottom w:val="single" w:sz="4" w:space="0" w:color="ED712C"/>
              <w:right w:val="single" w:sz="4" w:space="0" w:color="ED712C"/>
            </w:tcBorders>
            <w:shd w:val="clear" w:color="auto" w:fill="auto"/>
            <w:vAlign w:val="center"/>
            <w:hideMark/>
          </w:tcPr>
          <w:p w14:paraId="47E1E80E"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Rate of children subject to a Child Protection Plan per 10,000 under 18 year olds</w:t>
            </w:r>
          </w:p>
        </w:tc>
        <w:tc>
          <w:tcPr>
            <w:tcW w:w="0" w:type="auto"/>
            <w:tcBorders>
              <w:top w:val="nil"/>
              <w:left w:val="nil"/>
              <w:bottom w:val="single" w:sz="4" w:space="0" w:color="ED712C"/>
              <w:right w:val="single" w:sz="4" w:space="0" w:color="ED712C"/>
            </w:tcBorders>
            <w:shd w:val="clear" w:color="auto" w:fill="auto"/>
            <w:vAlign w:val="center"/>
            <w:hideMark/>
          </w:tcPr>
          <w:p w14:paraId="4090365B"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77820FA8"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92D050"/>
            <w:vAlign w:val="center"/>
            <w:hideMark/>
          </w:tcPr>
          <w:p w14:paraId="539F8EA0"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48.3</w:t>
            </w:r>
          </w:p>
        </w:tc>
        <w:tc>
          <w:tcPr>
            <w:tcW w:w="0" w:type="auto"/>
            <w:tcBorders>
              <w:top w:val="nil"/>
              <w:left w:val="nil"/>
              <w:bottom w:val="single" w:sz="4" w:space="0" w:color="ED712C"/>
              <w:right w:val="single" w:sz="4" w:space="0" w:color="ED712C"/>
            </w:tcBorders>
            <w:shd w:val="clear" w:color="auto" w:fill="auto"/>
            <w:vAlign w:val="center"/>
            <w:hideMark/>
          </w:tcPr>
          <w:p w14:paraId="2B2F6DDD"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49</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07E09D20"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46.9</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30B7F18A"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4.29%</w:t>
            </w:r>
          </w:p>
        </w:tc>
        <w:tc>
          <w:tcPr>
            <w:tcW w:w="0" w:type="auto"/>
            <w:tcBorders>
              <w:top w:val="nil"/>
              <w:left w:val="nil"/>
              <w:bottom w:val="single" w:sz="4" w:space="0" w:color="ED712C"/>
              <w:right w:val="single" w:sz="4" w:space="0" w:color="ED712C"/>
            </w:tcBorders>
            <w:shd w:val="clear" w:color="000000" w:fill="FFFFFF"/>
            <w:vAlign w:val="center"/>
            <w:hideMark/>
          </w:tcPr>
          <w:p w14:paraId="1BBA09CF" w14:textId="3B26F4A3"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58" behindDoc="0" locked="0" layoutInCell="1" allowOverlap="1" wp14:anchorId="44432DD0" wp14:editId="7D84F498">
                  <wp:simplePos x="0" y="0"/>
                  <wp:positionH relativeFrom="column">
                    <wp:posOffset>41275</wp:posOffset>
                  </wp:positionH>
                  <wp:positionV relativeFrom="paragraph">
                    <wp:posOffset>-76200</wp:posOffset>
                  </wp:positionV>
                  <wp:extent cx="323850" cy="254000"/>
                  <wp:effectExtent l="0" t="0" r="0" b="0"/>
                  <wp:wrapNone/>
                  <wp:docPr id="420472238" name="Picture 14" descr="P428C52T8#y1">
                    <a:extLst xmlns:a="http://schemas.openxmlformats.org/drawingml/2006/main">
                      <a:ext uri="{FF2B5EF4-FFF2-40B4-BE49-F238E27FC236}">
                        <a16:creationId xmlns:a16="http://schemas.microsoft.com/office/drawing/2014/main" id="{D5C4AD2A-A0D5-4FD3-9630-21A1FCAE584D}"/>
                      </a:ext>
                      <a:ext uri="{147F2762-F138-4A5C-976F-8EAC2B608ADB}">
                        <a16:predDERef xmlns:a16="http://schemas.microsoft.com/office/drawing/2014/main" pred="{3BE72107-1DAB-493E-9306-FC3EC68BB92E}"/>
                      </a:ext>
                    </a:extLst>
                  </wp:docPr>
                  <wp:cNvGraphicFramePr/>
                  <a:graphic xmlns:a="http://schemas.openxmlformats.org/drawingml/2006/main">
                    <a:graphicData uri="http://schemas.openxmlformats.org/drawingml/2006/picture">
                      <pic:pic xmlns:pic="http://schemas.openxmlformats.org/drawingml/2006/picture">
                        <pic:nvPicPr>
                          <pic:cNvPr id="420472238" name="Picture 14" descr="P428C52T8#y1">
                            <a:extLst>
                              <a:ext uri="{FF2B5EF4-FFF2-40B4-BE49-F238E27FC236}">
                                <a16:creationId xmlns:a16="http://schemas.microsoft.com/office/drawing/2014/main" id="{D5C4AD2A-A0D5-4FD3-9630-21A1FCAE584D}"/>
                              </a:ext>
                              <a:ext uri="{147F2762-F138-4A5C-976F-8EAC2B608ADB}">
                                <a16:predDERef xmlns:a16="http://schemas.microsoft.com/office/drawing/2014/main" pred="{3BE72107-1DAB-493E-9306-FC3EC68BB92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3238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503637AB" w14:textId="06EFDE11"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43     LA Av. 60.5 (2022/23)</w:t>
            </w:r>
          </w:p>
        </w:tc>
      </w:tr>
      <w:tr w:rsidR="007C1C9E" w:rsidRPr="007C1C9E" w14:paraId="154092F9" w14:textId="77777777" w:rsidTr="00340BE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39B24301"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06C14A78"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CYP-005</w:t>
            </w:r>
          </w:p>
        </w:tc>
        <w:tc>
          <w:tcPr>
            <w:tcW w:w="0" w:type="auto"/>
            <w:tcBorders>
              <w:top w:val="nil"/>
              <w:left w:val="nil"/>
              <w:bottom w:val="single" w:sz="4" w:space="0" w:color="ED712C"/>
              <w:right w:val="single" w:sz="4" w:space="0" w:color="ED712C"/>
            </w:tcBorders>
            <w:shd w:val="clear" w:color="auto" w:fill="auto"/>
            <w:vAlign w:val="center"/>
            <w:hideMark/>
          </w:tcPr>
          <w:p w14:paraId="40528D8C"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children becoming the subject of a Child Protection Plan for a second or subsequent time.</w:t>
            </w:r>
          </w:p>
        </w:tc>
        <w:tc>
          <w:tcPr>
            <w:tcW w:w="0" w:type="auto"/>
            <w:tcBorders>
              <w:top w:val="nil"/>
              <w:left w:val="nil"/>
              <w:bottom w:val="single" w:sz="4" w:space="0" w:color="ED712C"/>
              <w:right w:val="single" w:sz="4" w:space="0" w:color="ED712C"/>
            </w:tcBorders>
            <w:shd w:val="clear" w:color="auto" w:fill="auto"/>
            <w:vAlign w:val="center"/>
            <w:hideMark/>
          </w:tcPr>
          <w:p w14:paraId="3A0D174A"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23434D2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FF0000"/>
            <w:vAlign w:val="center"/>
            <w:hideMark/>
          </w:tcPr>
          <w:p w14:paraId="67F3676B"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26.5%</w:t>
            </w:r>
          </w:p>
        </w:tc>
        <w:tc>
          <w:tcPr>
            <w:tcW w:w="0" w:type="auto"/>
            <w:tcBorders>
              <w:top w:val="nil"/>
              <w:left w:val="nil"/>
              <w:bottom w:val="single" w:sz="4" w:space="0" w:color="ED712C"/>
              <w:right w:val="single" w:sz="4" w:space="0" w:color="ED712C"/>
            </w:tcBorders>
            <w:shd w:val="clear" w:color="auto" w:fill="auto"/>
            <w:vAlign w:val="center"/>
            <w:hideMark/>
          </w:tcPr>
          <w:p w14:paraId="7FD3720C"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21%</w:t>
            </w:r>
          </w:p>
        </w:tc>
        <w:tc>
          <w:tcPr>
            <w:tcW w:w="971" w:type="dxa"/>
            <w:tcBorders>
              <w:top w:val="single" w:sz="4" w:space="0" w:color="ED712C"/>
              <w:left w:val="single" w:sz="4" w:space="0" w:color="ED712C"/>
              <w:bottom w:val="single" w:sz="4" w:space="0" w:color="ED712C"/>
              <w:right w:val="single" w:sz="4" w:space="0" w:color="ED712C"/>
            </w:tcBorders>
            <w:shd w:val="clear" w:color="000000" w:fill="FF0000"/>
            <w:vAlign w:val="center"/>
            <w:hideMark/>
          </w:tcPr>
          <w:p w14:paraId="274C8BD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33</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1EDC4A03" w14:textId="77777777" w:rsidR="007C1C9E" w:rsidRPr="007C1C9E" w:rsidRDefault="007C1C9E" w:rsidP="007C1C9E">
            <w:pPr>
              <w:spacing w:after="0" w:line="240" w:lineRule="auto"/>
              <w:jc w:val="center"/>
              <w:rPr>
                <w:rFonts w:ascii="Arial" w:eastAsia="Times New Roman" w:hAnsi="Arial" w:cs="Arial"/>
                <w:color w:val="FF0000"/>
                <w:sz w:val="20"/>
                <w:szCs w:val="20"/>
                <w:lang w:eastAsia="en-GB"/>
              </w:rPr>
            </w:pPr>
            <w:r w:rsidRPr="007C1C9E">
              <w:rPr>
                <w:rFonts w:ascii="Arial" w:eastAsia="Times New Roman" w:hAnsi="Arial" w:cs="Arial"/>
                <w:color w:val="FF0000"/>
                <w:sz w:val="20"/>
                <w:szCs w:val="20"/>
                <w:lang w:eastAsia="en-GB"/>
              </w:rPr>
              <w:t>-57.14%</w:t>
            </w:r>
          </w:p>
        </w:tc>
        <w:tc>
          <w:tcPr>
            <w:tcW w:w="0" w:type="auto"/>
            <w:tcBorders>
              <w:top w:val="nil"/>
              <w:left w:val="nil"/>
              <w:bottom w:val="single" w:sz="4" w:space="0" w:color="ED712C"/>
              <w:right w:val="single" w:sz="4" w:space="0" w:color="ED712C"/>
            </w:tcBorders>
            <w:shd w:val="clear" w:color="000000" w:fill="FFFFFF"/>
            <w:vAlign w:val="center"/>
            <w:hideMark/>
          </w:tcPr>
          <w:p w14:paraId="04100A38" w14:textId="079DA574"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noProof/>
                <w:sz w:val="20"/>
                <w:szCs w:val="20"/>
                <w:lang w:eastAsia="en-GB"/>
              </w:rPr>
              <w:drawing>
                <wp:anchor distT="0" distB="0" distL="114300" distR="114300" simplePos="0" relativeHeight="251658256" behindDoc="0" locked="0" layoutInCell="1" allowOverlap="1" wp14:anchorId="6041539C" wp14:editId="162AECEC">
                  <wp:simplePos x="0" y="0"/>
                  <wp:positionH relativeFrom="column">
                    <wp:posOffset>59690</wp:posOffset>
                  </wp:positionH>
                  <wp:positionV relativeFrom="paragraph">
                    <wp:posOffset>47625</wp:posOffset>
                  </wp:positionV>
                  <wp:extent cx="298450" cy="247650"/>
                  <wp:effectExtent l="0" t="0" r="0" b="0"/>
                  <wp:wrapNone/>
                  <wp:docPr id="1469505155" name="Picture 15" descr="P440C62T8#y1">
                    <a:extLst xmlns:a="http://schemas.openxmlformats.org/drawingml/2006/main">
                      <a:ext uri="{FF2B5EF4-FFF2-40B4-BE49-F238E27FC236}">
                        <a16:creationId xmlns:a16="http://schemas.microsoft.com/office/drawing/2014/main" id="{2D7F0494-32BF-48A7-BC8A-AF760050CBB3}"/>
                      </a:ext>
                      <a:ext uri="{147F2762-F138-4A5C-976F-8EAC2B608ADB}">
                        <a16:predDERef xmlns:a16="http://schemas.microsoft.com/office/drawing/2014/main" pred="{542E8718-FFAA-47B6-86C4-B4742CB3289E}"/>
                      </a:ext>
                    </a:extLst>
                  </wp:docPr>
                  <wp:cNvGraphicFramePr/>
                  <a:graphic xmlns:a="http://schemas.openxmlformats.org/drawingml/2006/main">
                    <a:graphicData uri="http://schemas.openxmlformats.org/drawingml/2006/picture">
                      <pic:pic xmlns:pic="http://schemas.openxmlformats.org/drawingml/2006/picture">
                        <pic:nvPicPr>
                          <pic:cNvPr id="1469505155" name="Picture 13" descr="P440C62T8#y1">
                            <a:extLst>
                              <a:ext uri="{FF2B5EF4-FFF2-40B4-BE49-F238E27FC236}">
                                <a16:creationId xmlns:a16="http://schemas.microsoft.com/office/drawing/2014/main" id="{2D7F0494-32BF-48A7-BC8A-AF760050CBB3}"/>
                              </a:ext>
                              <a:ext uri="{147F2762-F138-4A5C-976F-8EAC2B608ADB}">
                                <a16:predDERef xmlns:a16="http://schemas.microsoft.com/office/drawing/2014/main" pred="{542E8718-FFAA-47B6-86C4-B4742CB3289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C000"/>
            <w:vAlign w:val="center"/>
            <w:hideMark/>
          </w:tcPr>
          <w:p w14:paraId="0FFA6D52" w14:textId="783796B5"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3rd Quartile Eng Av. 23.6     LA Av. 21.8 (2022/23)</w:t>
            </w:r>
          </w:p>
        </w:tc>
      </w:tr>
      <w:tr w:rsidR="007C1C9E" w:rsidRPr="007C1C9E" w14:paraId="6D016CA2" w14:textId="77777777" w:rsidTr="0070564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69530610"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311C891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CYP-006</w:t>
            </w:r>
          </w:p>
        </w:tc>
        <w:tc>
          <w:tcPr>
            <w:tcW w:w="0" w:type="auto"/>
            <w:tcBorders>
              <w:top w:val="nil"/>
              <w:left w:val="nil"/>
              <w:bottom w:val="single" w:sz="4" w:space="0" w:color="ED712C"/>
              <w:right w:val="single" w:sz="4" w:space="0" w:color="ED712C"/>
            </w:tcBorders>
            <w:shd w:val="clear" w:color="auto" w:fill="auto"/>
            <w:vAlign w:val="center"/>
            <w:hideMark/>
          </w:tcPr>
          <w:p w14:paraId="2EC38202"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Number of looked after children per 10,000 children within the Borough</w:t>
            </w:r>
          </w:p>
        </w:tc>
        <w:tc>
          <w:tcPr>
            <w:tcW w:w="0" w:type="auto"/>
            <w:tcBorders>
              <w:top w:val="nil"/>
              <w:left w:val="nil"/>
              <w:bottom w:val="single" w:sz="4" w:space="0" w:color="ED712C"/>
              <w:right w:val="single" w:sz="4" w:space="0" w:color="ED712C"/>
            </w:tcBorders>
            <w:shd w:val="clear" w:color="auto" w:fill="auto"/>
            <w:vAlign w:val="center"/>
            <w:hideMark/>
          </w:tcPr>
          <w:p w14:paraId="1D5F53FB"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6D258212"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FFC000"/>
            <w:vAlign w:val="center"/>
            <w:hideMark/>
          </w:tcPr>
          <w:p w14:paraId="52FBEE17"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133</w:t>
            </w:r>
          </w:p>
        </w:tc>
        <w:tc>
          <w:tcPr>
            <w:tcW w:w="0" w:type="auto"/>
            <w:tcBorders>
              <w:top w:val="nil"/>
              <w:left w:val="nil"/>
              <w:bottom w:val="single" w:sz="4" w:space="0" w:color="ED712C"/>
              <w:right w:val="single" w:sz="4" w:space="0" w:color="ED712C"/>
            </w:tcBorders>
            <w:shd w:val="clear" w:color="auto" w:fill="auto"/>
            <w:vAlign w:val="center"/>
            <w:hideMark/>
          </w:tcPr>
          <w:p w14:paraId="25E9C47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125</w:t>
            </w:r>
          </w:p>
        </w:tc>
        <w:tc>
          <w:tcPr>
            <w:tcW w:w="971" w:type="dxa"/>
            <w:tcBorders>
              <w:top w:val="single" w:sz="4" w:space="0" w:color="ED712C"/>
              <w:left w:val="single" w:sz="4" w:space="0" w:color="ED712C"/>
              <w:bottom w:val="single" w:sz="4" w:space="0" w:color="ED712C"/>
              <w:right w:val="single" w:sz="4" w:space="0" w:color="ED712C"/>
            </w:tcBorders>
            <w:shd w:val="clear" w:color="auto" w:fill="FFC000"/>
            <w:vAlign w:val="center"/>
            <w:hideMark/>
          </w:tcPr>
          <w:p w14:paraId="784B58D9"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132.2</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776734BC" w14:textId="77777777" w:rsidR="007C1C9E" w:rsidRPr="00F542C4" w:rsidRDefault="007C1C9E" w:rsidP="007C1C9E">
            <w:pPr>
              <w:spacing w:after="0" w:line="240" w:lineRule="auto"/>
              <w:jc w:val="center"/>
              <w:rPr>
                <w:rFonts w:ascii="Arial" w:eastAsia="Times New Roman" w:hAnsi="Arial" w:cs="Arial"/>
                <w:sz w:val="20"/>
                <w:szCs w:val="20"/>
                <w:lang w:eastAsia="en-GB"/>
              </w:rPr>
            </w:pPr>
            <w:r w:rsidRPr="00F542C4">
              <w:rPr>
                <w:rFonts w:ascii="Arial" w:eastAsia="Times New Roman" w:hAnsi="Arial" w:cs="Arial"/>
                <w:sz w:val="20"/>
                <w:szCs w:val="20"/>
                <w:lang w:eastAsia="en-GB"/>
              </w:rPr>
              <w:t>-4.96%</w:t>
            </w:r>
          </w:p>
        </w:tc>
        <w:tc>
          <w:tcPr>
            <w:tcW w:w="0" w:type="auto"/>
            <w:tcBorders>
              <w:top w:val="nil"/>
              <w:left w:val="nil"/>
              <w:bottom w:val="single" w:sz="4" w:space="0" w:color="ED712C"/>
              <w:right w:val="single" w:sz="4" w:space="0" w:color="ED712C"/>
            </w:tcBorders>
            <w:shd w:val="clear" w:color="000000" w:fill="FFFFFF"/>
            <w:vAlign w:val="center"/>
            <w:hideMark/>
          </w:tcPr>
          <w:p w14:paraId="4D5F0C4D" w14:textId="3A028BE2"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6" behindDoc="0" locked="0" layoutInCell="1" allowOverlap="1" wp14:anchorId="453179B6" wp14:editId="2246CF3B">
                  <wp:simplePos x="0" y="0"/>
                  <wp:positionH relativeFrom="column">
                    <wp:posOffset>45720</wp:posOffset>
                  </wp:positionH>
                  <wp:positionV relativeFrom="paragraph">
                    <wp:posOffset>84455</wp:posOffset>
                  </wp:positionV>
                  <wp:extent cx="298450" cy="254000"/>
                  <wp:effectExtent l="0" t="0" r="6350" b="0"/>
                  <wp:wrapNone/>
                  <wp:docPr id="247363203" name="Picture 16" descr="P452C72T8#y1">
                    <a:extLst xmlns:a="http://schemas.openxmlformats.org/drawingml/2006/main">
                      <a:ext uri="{FF2B5EF4-FFF2-40B4-BE49-F238E27FC236}">
                        <a16:creationId xmlns:a16="http://schemas.microsoft.com/office/drawing/2014/main" id="{D795BEBC-D7E3-4D4C-A235-54466124AF2E}"/>
                      </a:ext>
                      <a:ext uri="{147F2762-F138-4A5C-976F-8EAC2B608ADB}">
                        <a16:predDERef xmlns:a16="http://schemas.microsoft.com/office/drawing/2014/main" pred="{198F6269-E9B2-46B3-86AE-FE51050D7F53}"/>
                      </a:ext>
                    </a:extLst>
                  </wp:docPr>
                  <wp:cNvGraphicFramePr/>
                  <a:graphic xmlns:a="http://schemas.openxmlformats.org/drawingml/2006/main">
                    <a:graphicData uri="http://schemas.openxmlformats.org/drawingml/2006/picture">
                      <pic:pic xmlns:pic="http://schemas.openxmlformats.org/drawingml/2006/picture">
                        <pic:nvPicPr>
                          <pic:cNvPr id="247363203" name="Picture 12" descr="P452C72T8#y1">
                            <a:extLst>
                              <a:ext uri="{FF2B5EF4-FFF2-40B4-BE49-F238E27FC236}">
                                <a16:creationId xmlns:a16="http://schemas.microsoft.com/office/drawing/2014/main" id="{D795BEBC-D7E3-4D4C-A235-54466124AF2E}"/>
                              </a:ext>
                              <a:ext uri="{147F2762-F138-4A5C-976F-8EAC2B608ADB}">
                                <a16:predDERef xmlns:a16="http://schemas.microsoft.com/office/drawing/2014/main" pred="{198F6269-E9B2-46B3-86AE-FE51050D7F5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74C2B75D" w14:textId="3E78C3F6"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71     LA Av. 114 (2022/23)</w:t>
            </w:r>
          </w:p>
        </w:tc>
      </w:tr>
      <w:tr w:rsidR="007C1C9E" w:rsidRPr="007C1C9E" w14:paraId="7CD3B448" w14:textId="77777777" w:rsidTr="00340BE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6AB17ACF"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35C1500F"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CYP-008A</w:t>
            </w:r>
          </w:p>
        </w:tc>
        <w:tc>
          <w:tcPr>
            <w:tcW w:w="0" w:type="auto"/>
            <w:tcBorders>
              <w:top w:val="nil"/>
              <w:left w:val="nil"/>
              <w:bottom w:val="single" w:sz="4" w:space="0" w:color="ED712C"/>
              <w:right w:val="single" w:sz="4" w:space="0" w:color="ED712C"/>
            </w:tcBorders>
            <w:shd w:val="clear" w:color="auto" w:fill="auto"/>
            <w:vAlign w:val="center"/>
            <w:hideMark/>
          </w:tcPr>
          <w:p w14:paraId="542928C3"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Children Looked After ceased due to adoption</w:t>
            </w:r>
          </w:p>
        </w:tc>
        <w:tc>
          <w:tcPr>
            <w:tcW w:w="0" w:type="auto"/>
            <w:tcBorders>
              <w:top w:val="nil"/>
              <w:left w:val="nil"/>
              <w:bottom w:val="single" w:sz="4" w:space="0" w:color="ED712C"/>
              <w:right w:val="single" w:sz="4" w:space="0" w:color="ED712C"/>
            </w:tcBorders>
            <w:shd w:val="clear" w:color="auto" w:fill="auto"/>
            <w:vAlign w:val="center"/>
            <w:hideMark/>
          </w:tcPr>
          <w:p w14:paraId="4A0DAE7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09EAB4BF"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FFC000"/>
            <w:vAlign w:val="center"/>
            <w:hideMark/>
          </w:tcPr>
          <w:p w14:paraId="0C24A8A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9.4%</w:t>
            </w:r>
          </w:p>
        </w:tc>
        <w:tc>
          <w:tcPr>
            <w:tcW w:w="0" w:type="auto"/>
            <w:tcBorders>
              <w:top w:val="nil"/>
              <w:left w:val="nil"/>
              <w:bottom w:val="single" w:sz="4" w:space="0" w:color="ED712C"/>
              <w:right w:val="single" w:sz="4" w:space="0" w:color="ED712C"/>
            </w:tcBorders>
            <w:shd w:val="clear" w:color="auto" w:fill="auto"/>
            <w:vAlign w:val="center"/>
            <w:hideMark/>
          </w:tcPr>
          <w:p w14:paraId="7565E687"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10%</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6344EF77"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22</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2B3A4D45"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120%</w:t>
            </w:r>
          </w:p>
        </w:tc>
        <w:tc>
          <w:tcPr>
            <w:tcW w:w="0" w:type="auto"/>
            <w:tcBorders>
              <w:top w:val="nil"/>
              <w:left w:val="nil"/>
              <w:bottom w:val="single" w:sz="4" w:space="0" w:color="ED712C"/>
              <w:right w:val="single" w:sz="4" w:space="0" w:color="ED712C"/>
            </w:tcBorders>
            <w:shd w:val="clear" w:color="000000" w:fill="FFFFFF"/>
            <w:vAlign w:val="center"/>
            <w:hideMark/>
          </w:tcPr>
          <w:p w14:paraId="76B326AE" w14:textId="5F334961"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4" behindDoc="0" locked="0" layoutInCell="1" allowOverlap="1" wp14:anchorId="1617267E" wp14:editId="057DAE75">
                  <wp:simplePos x="0" y="0"/>
                  <wp:positionH relativeFrom="column">
                    <wp:posOffset>47625</wp:posOffset>
                  </wp:positionH>
                  <wp:positionV relativeFrom="paragraph">
                    <wp:posOffset>-69850</wp:posOffset>
                  </wp:positionV>
                  <wp:extent cx="279400" cy="247650"/>
                  <wp:effectExtent l="0" t="0" r="6350" b="0"/>
                  <wp:wrapNone/>
                  <wp:docPr id="36" name="Picture 17" descr="P464C82T8#y1">
                    <a:extLst xmlns:a="http://schemas.openxmlformats.org/drawingml/2006/main">
                      <a:ext uri="{FF2B5EF4-FFF2-40B4-BE49-F238E27FC236}">
                        <a16:creationId xmlns:a16="http://schemas.microsoft.com/office/drawing/2014/main" id="{7ADC44B8-FFC3-4C66-820C-4C721069224C}"/>
                      </a:ext>
                      <a:ext uri="{147F2762-F138-4A5C-976F-8EAC2B608ADB}">
                        <a16:predDERef xmlns:a16="http://schemas.microsoft.com/office/drawing/2014/main" pred="{300D9687-56FA-42F8-A6BA-2B056A240661}"/>
                      </a:ext>
                    </a:extLst>
                  </wp:docPr>
                  <wp:cNvGraphicFramePr/>
                  <a:graphic xmlns:a="http://schemas.openxmlformats.org/drawingml/2006/main">
                    <a:graphicData uri="http://schemas.openxmlformats.org/drawingml/2006/picture">
                      <pic:pic xmlns:pic="http://schemas.openxmlformats.org/drawingml/2006/picture">
                        <pic:nvPicPr>
                          <pic:cNvPr id="36" name="Picture 11" descr="P464C82T8#y1">
                            <a:extLst>
                              <a:ext uri="{FF2B5EF4-FFF2-40B4-BE49-F238E27FC236}">
                                <a16:creationId xmlns:a16="http://schemas.microsoft.com/office/drawing/2014/main" id="{7ADC44B8-FFC3-4C66-820C-4C721069224C}"/>
                              </a:ext>
                              <a:ext uri="{147F2762-F138-4A5C-976F-8EAC2B608ADB}">
                                <a16:predDERef xmlns:a16="http://schemas.microsoft.com/office/drawing/2014/main" pred="{300D9687-56FA-42F8-A6BA-2B056A24066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14B4F2CF" w14:textId="7FCC645D"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10     LA Av. 9.6 (2022/23)</w:t>
            </w:r>
          </w:p>
        </w:tc>
      </w:tr>
      <w:tr w:rsidR="007C1C9E" w:rsidRPr="007C1C9E" w14:paraId="0C88E734" w14:textId="77777777" w:rsidTr="00340BE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60B81A20"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11CF3417"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CYP-008B</w:t>
            </w:r>
          </w:p>
        </w:tc>
        <w:tc>
          <w:tcPr>
            <w:tcW w:w="0" w:type="auto"/>
            <w:tcBorders>
              <w:top w:val="nil"/>
              <w:left w:val="nil"/>
              <w:bottom w:val="single" w:sz="4" w:space="0" w:color="ED712C"/>
              <w:right w:val="single" w:sz="4" w:space="0" w:color="ED712C"/>
            </w:tcBorders>
            <w:shd w:val="clear" w:color="auto" w:fill="auto"/>
            <w:vAlign w:val="center"/>
            <w:hideMark/>
          </w:tcPr>
          <w:p w14:paraId="550E1080"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Children Looked After ceased due to Special Guardianship Order (SGO)</w:t>
            </w:r>
          </w:p>
        </w:tc>
        <w:tc>
          <w:tcPr>
            <w:tcW w:w="0" w:type="auto"/>
            <w:tcBorders>
              <w:top w:val="nil"/>
              <w:left w:val="nil"/>
              <w:bottom w:val="single" w:sz="4" w:space="0" w:color="ED712C"/>
              <w:right w:val="single" w:sz="4" w:space="0" w:color="ED712C"/>
            </w:tcBorders>
            <w:shd w:val="clear" w:color="auto" w:fill="auto"/>
            <w:vAlign w:val="center"/>
            <w:hideMark/>
          </w:tcPr>
          <w:p w14:paraId="179BD68B"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50825661"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92D050"/>
            <w:vAlign w:val="center"/>
            <w:hideMark/>
          </w:tcPr>
          <w:p w14:paraId="3338B6CF"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24.7%</w:t>
            </w:r>
          </w:p>
        </w:tc>
        <w:tc>
          <w:tcPr>
            <w:tcW w:w="0" w:type="auto"/>
            <w:tcBorders>
              <w:top w:val="nil"/>
              <w:left w:val="nil"/>
              <w:bottom w:val="single" w:sz="4" w:space="0" w:color="ED712C"/>
              <w:right w:val="single" w:sz="4" w:space="0" w:color="ED712C"/>
            </w:tcBorders>
            <w:shd w:val="clear" w:color="auto" w:fill="auto"/>
            <w:vAlign w:val="center"/>
            <w:hideMark/>
          </w:tcPr>
          <w:p w14:paraId="21C9E86F"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18%</w:t>
            </w:r>
          </w:p>
        </w:tc>
        <w:tc>
          <w:tcPr>
            <w:tcW w:w="971" w:type="dxa"/>
            <w:tcBorders>
              <w:top w:val="single" w:sz="4" w:space="0" w:color="ED712C"/>
              <w:left w:val="single" w:sz="4" w:space="0" w:color="ED712C"/>
              <w:bottom w:val="single" w:sz="4" w:space="0" w:color="ED712C"/>
              <w:right w:val="single" w:sz="4" w:space="0" w:color="ED712C"/>
            </w:tcBorders>
            <w:shd w:val="clear" w:color="000000" w:fill="FF0000"/>
            <w:vAlign w:val="center"/>
            <w:hideMark/>
          </w:tcPr>
          <w:p w14:paraId="040EDBCC"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7.5</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72838F63" w14:textId="77777777" w:rsidR="007C1C9E" w:rsidRPr="007C1C9E" w:rsidRDefault="007C1C9E" w:rsidP="007C1C9E">
            <w:pPr>
              <w:spacing w:after="0" w:line="240" w:lineRule="auto"/>
              <w:jc w:val="center"/>
              <w:rPr>
                <w:rFonts w:ascii="Arial" w:eastAsia="Times New Roman" w:hAnsi="Arial" w:cs="Arial"/>
                <w:color w:val="FF0000"/>
                <w:sz w:val="20"/>
                <w:szCs w:val="20"/>
                <w:lang w:eastAsia="en-GB"/>
              </w:rPr>
            </w:pPr>
            <w:r w:rsidRPr="007C1C9E">
              <w:rPr>
                <w:rFonts w:ascii="Arial" w:eastAsia="Times New Roman" w:hAnsi="Arial" w:cs="Arial"/>
                <w:color w:val="FF0000"/>
                <w:sz w:val="20"/>
                <w:szCs w:val="20"/>
                <w:lang w:eastAsia="en-GB"/>
              </w:rPr>
              <w:t>-58.33%</w:t>
            </w:r>
          </w:p>
        </w:tc>
        <w:tc>
          <w:tcPr>
            <w:tcW w:w="0" w:type="auto"/>
            <w:tcBorders>
              <w:top w:val="nil"/>
              <w:left w:val="nil"/>
              <w:bottom w:val="single" w:sz="4" w:space="0" w:color="ED712C"/>
              <w:right w:val="single" w:sz="4" w:space="0" w:color="ED712C"/>
            </w:tcBorders>
            <w:shd w:val="clear" w:color="000000" w:fill="FFFFFF"/>
            <w:vAlign w:val="center"/>
            <w:hideMark/>
          </w:tcPr>
          <w:p w14:paraId="3C20AFFE" w14:textId="1BAD1ED3"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0" behindDoc="0" locked="0" layoutInCell="1" allowOverlap="1" wp14:anchorId="112C6E6B" wp14:editId="1A92750F">
                  <wp:simplePos x="0" y="0"/>
                  <wp:positionH relativeFrom="column">
                    <wp:posOffset>48895</wp:posOffset>
                  </wp:positionH>
                  <wp:positionV relativeFrom="paragraph">
                    <wp:posOffset>26670</wp:posOffset>
                  </wp:positionV>
                  <wp:extent cx="292100" cy="254000"/>
                  <wp:effectExtent l="0" t="0" r="0" b="0"/>
                  <wp:wrapNone/>
                  <wp:docPr id="1125283266" name="Picture 18" descr="P476C92T8#y1">
                    <a:extLst xmlns:a="http://schemas.openxmlformats.org/drawingml/2006/main">
                      <a:ext uri="{FF2B5EF4-FFF2-40B4-BE49-F238E27FC236}">
                        <a16:creationId xmlns:a16="http://schemas.microsoft.com/office/drawing/2014/main" id="{A243D8A8-A64F-408A-85BA-474AEBE9C8F8}"/>
                      </a:ext>
                      <a:ext uri="{147F2762-F138-4A5C-976F-8EAC2B608ADB}">
                        <a16:predDERef xmlns:a16="http://schemas.microsoft.com/office/drawing/2014/main" pred="{90571098-B2D4-407A-B795-32A528E3A7D2}"/>
                      </a:ext>
                    </a:extLst>
                  </wp:docPr>
                  <wp:cNvGraphicFramePr/>
                  <a:graphic xmlns:a="http://schemas.openxmlformats.org/drawingml/2006/main">
                    <a:graphicData uri="http://schemas.openxmlformats.org/drawingml/2006/picture">
                      <pic:pic xmlns:pic="http://schemas.openxmlformats.org/drawingml/2006/picture">
                        <pic:nvPicPr>
                          <pic:cNvPr id="1125283266" name="Picture 10" descr="P476C92T8#y1">
                            <a:extLst>
                              <a:ext uri="{FF2B5EF4-FFF2-40B4-BE49-F238E27FC236}">
                                <a16:creationId xmlns:a16="http://schemas.microsoft.com/office/drawing/2014/main" id="{A243D8A8-A64F-408A-85BA-474AEBE9C8F8}"/>
                              </a:ext>
                              <a:ext uri="{147F2762-F138-4A5C-976F-8EAC2B608ADB}">
                                <a16:predDERef xmlns:a16="http://schemas.microsoft.com/office/drawing/2014/main" pred="{90571098-B2D4-407A-B795-32A528E3A7D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FF00"/>
            <w:vAlign w:val="center"/>
            <w:hideMark/>
          </w:tcPr>
          <w:p w14:paraId="71C4233E" w14:textId="164219C9"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2nd Quartile Eng Av. 12 LA Av. 21 (2022/23)</w:t>
            </w:r>
          </w:p>
        </w:tc>
      </w:tr>
      <w:tr w:rsidR="007C1C9E" w:rsidRPr="007C1C9E" w14:paraId="161B2E0C" w14:textId="77777777" w:rsidTr="0070564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7B1A7C18"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single" w:sz="4" w:space="0" w:color="ED712C"/>
              <w:right w:val="single" w:sz="4" w:space="0" w:color="ED712C"/>
            </w:tcBorders>
            <w:shd w:val="clear" w:color="auto" w:fill="auto"/>
            <w:vAlign w:val="center"/>
            <w:hideMark/>
          </w:tcPr>
          <w:p w14:paraId="4217AC7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CYP-009</w:t>
            </w:r>
          </w:p>
        </w:tc>
        <w:tc>
          <w:tcPr>
            <w:tcW w:w="0" w:type="auto"/>
            <w:tcBorders>
              <w:top w:val="nil"/>
              <w:left w:val="nil"/>
              <w:bottom w:val="single" w:sz="4" w:space="0" w:color="ED712C"/>
              <w:right w:val="single" w:sz="4" w:space="0" w:color="ED712C"/>
            </w:tcBorders>
            <w:shd w:val="clear" w:color="auto" w:fill="auto"/>
            <w:vAlign w:val="center"/>
            <w:hideMark/>
          </w:tcPr>
          <w:p w14:paraId="21411659"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former care leavers aged 19-21 years with whom the LA is in touch</w:t>
            </w:r>
          </w:p>
        </w:tc>
        <w:tc>
          <w:tcPr>
            <w:tcW w:w="0" w:type="auto"/>
            <w:tcBorders>
              <w:top w:val="nil"/>
              <w:left w:val="nil"/>
              <w:bottom w:val="single" w:sz="4" w:space="0" w:color="ED712C"/>
              <w:right w:val="single" w:sz="4" w:space="0" w:color="ED712C"/>
            </w:tcBorders>
            <w:shd w:val="clear" w:color="auto" w:fill="auto"/>
            <w:vAlign w:val="center"/>
            <w:hideMark/>
          </w:tcPr>
          <w:p w14:paraId="59030D20"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651B78B0"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FFC000"/>
            <w:vAlign w:val="center"/>
            <w:hideMark/>
          </w:tcPr>
          <w:p w14:paraId="69F1DFA3"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94%</w:t>
            </w:r>
          </w:p>
        </w:tc>
        <w:tc>
          <w:tcPr>
            <w:tcW w:w="0" w:type="auto"/>
            <w:tcBorders>
              <w:top w:val="nil"/>
              <w:left w:val="nil"/>
              <w:bottom w:val="single" w:sz="4" w:space="0" w:color="ED712C"/>
              <w:right w:val="single" w:sz="4" w:space="0" w:color="ED712C"/>
            </w:tcBorders>
            <w:shd w:val="clear" w:color="auto" w:fill="auto"/>
            <w:vAlign w:val="center"/>
            <w:hideMark/>
          </w:tcPr>
          <w:p w14:paraId="7F1D5909"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98%</w:t>
            </w:r>
          </w:p>
        </w:tc>
        <w:tc>
          <w:tcPr>
            <w:tcW w:w="971" w:type="dxa"/>
            <w:tcBorders>
              <w:top w:val="single" w:sz="4" w:space="0" w:color="ED712C"/>
              <w:left w:val="single" w:sz="4" w:space="0" w:color="ED712C"/>
              <w:bottom w:val="single" w:sz="4" w:space="0" w:color="ED712C"/>
              <w:right w:val="single" w:sz="4" w:space="0" w:color="ED712C"/>
            </w:tcBorders>
            <w:shd w:val="clear" w:color="auto" w:fill="FFC000"/>
            <w:vAlign w:val="center"/>
            <w:hideMark/>
          </w:tcPr>
          <w:p w14:paraId="70F4C225"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95</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52FE7BDB" w14:textId="77777777" w:rsidR="007C1C9E" w:rsidRPr="00705647" w:rsidRDefault="007C1C9E" w:rsidP="007C1C9E">
            <w:pPr>
              <w:spacing w:after="0" w:line="240" w:lineRule="auto"/>
              <w:jc w:val="center"/>
              <w:rPr>
                <w:rFonts w:ascii="Arial" w:eastAsia="Times New Roman" w:hAnsi="Arial" w:cs="Arial"/>
                <w:sz w:val="20"/>
                <w:szCs w:val="20"/>
                <w:lang w:eastAsia="en-GB"/>
              </w:rPr>
            </w:pPr>
            <w:r w:rsidRPr="00705647">
              <w:rPr>
                <w:rFonts w:ascii="Arial" w:eastAsia="Times New Roman" w:hAnsi="Arial" w:cs="Arial"/>
                <w:sz w:val="20"/>
                <w:szCs w:val="20"/>
                <w:lang w:eastAsia="en-GB"/>
              </w:rPr>
              <w:t>-3.06%</w:t>
            </w:r>
          </w:p>
        </w:tc>
        <w:tc>
          <w:tcPr>
            <w:tcW w:w="0" w:type="auto"/>
            <w:tcBorders>
              <w:top w:val="nil"/>
              <w:left w:val="nil"/>
              <w:bottom w:val="single" w:sz="4" w:space="0" w:color="ED712C"/>
              <w:right w:val="single" w:sz="4" w:space="0" w:color="ED712C"/>
            </w:tcBorders>
            <w:shd w:val="clear" w:color="000000" w:fill="FFFFFF"/>
            <w:vAlign w:val="center"/>
            <w:hideMark/>
          </w:tcPr>
          <w:p w14:paraId="07E2717B" w14:textId="78988333"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57" behindDoc="0" locked="0" layoutInCell="1" allowOverlap="1" wp14:anchorId="7094ACA6" wp14:editId="7B81B2A5">
                  <wp:simplePos x="0" y="0"/>
                  <wp:positionH relativeFrom="column">
                    <wp:posOffset>69215</wp:posOffset>
                  </wp:positionH>
                  <wp:positionV relativeFrom="paragraph">
                    <wp:posOffset>34925</wp:posOffset>
                  </wp:positionV>
                  <wp:extent cx="279400" cy="234950"/>
                  <wp:effectExtent l="0" t="0" r="6350" b="0"/>
                  <wp:wrapNone/>
                  <wp:docPr id="28" name="Picture 19" descr="P488C102T8#y1">
                    <a:extLst xmlns:a="http://schemas.openxmlformats.org/drawingml/2006/main">
                      <a:ext uri="{FF2B5EF4-FFF2-40B4-BE49-F238E27FC236}">
                        <a16:creationId xmlns:a16="http://schemas.microsoft.com/office/drawing/2014/main" id="{3BE72107-1DAB-493E-9306-FC3EC68BB92E}"/>
                      </a:ext>
                      <a:ext uri="{147F2762-F138-4A5C-976F-8EAC2B608ADB}">
                        <a16:predDERef xmlns:a16="http://schemas.microsoft.com/office/drawing/2014/main" pred="{842F3EBC-8145-478F-B565-D002D09D3323}"/>
                      </a:ext>
                    </a:extLst>
                  </wp:docPr>
                  <wp:cNvGraphicFramePr/>
                  <a:graphic xmlns:a="http://schemas.openxmlformats.org/drawingml/2006/main">
                    <a:graphicData uri="http://schemas.openxmlformats.org/drawingml/2006/picture">
                      <pic:pic xmlns:pic="http://schemas.openxmlformats.org/drawingml/2006/picture">
                        <pic:nvPicPr>
                          <pic:cNvPr id="28" name="Picture 9" descr="P488C102T8#y1">
                            <a:extLst>
                              <a:ext uri="{FF2B5EF4-FFF2-40B4-BE49-F238E27FC236}">
                                <a16:creationId xmlns:a16="http://schemas.microsoft.com/office/drawing/2014/main" id="{3BE72107-1DAB-493E-9306-FC3EC68BB92E}"/>
                              </a:ext>
                              <a:ext uri="{147F2762-F138-4A5C-976F-8EAC2B608ADB}">
                                <a16:predDERef xmlns:a16="http://schemas.microsoft.com/office/drawing/2014/main" pred="{842F3EBC-8145-478F-B565-D002D09D332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349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92D050"/>
            <w:vAlign w:val="center"/>
            <w:hideMark/>
          </w:tcPr>
          <w:p w14:paraId="401C3B49" w14:textId="372A9B6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1st Quartile Eng Av. 92     LA Av. 91 (2022/23)</w:t>
            </w:r>
          </w:p>
        </w:tc>
      </w:tr>
      <w:tr w:rsidR="007C1C9E" w:rsidRPr="007C1C9E" w14:paraId="73B2EB0D" w14:textId="77777777" w:rsidTr="0070564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2BC243A0"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ED712C"/>
              <w:bottom w:val="nil"/>
              <w:right w:val="single" w:sz="4" w:space="0" w:color="ED712C"/>
            </w:tcBorders>
            <w:shd w:val="clear" w:color="auto" w:fill="auto"/>
            <w:vAlign w:val="center"/>
            <w:hideMark/>
          </w:tcPr>
          <w:p w14:paraId="56A90C9E"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CYP-010</w:t>
            </w:r>
          </w:p>
        </w:tc>
        <w:tc>
          <w:tcPr>
            <w:tcW w:w="0" w:type="auto"/>
            <w:tcBorders>
              <w:top w:val="nil"/>
              <w:left w:val="nil"/>
              <w:bottom w:val="nil"/>
              <w:right w:val="single" w:sz="4" w:space="0" w:color="ED712C"/>
            </w:tcBorders>
            <w:shd w:val="clear" w:color="auto" w:fill="auto"/>
            <w:vAlign w:val="center"/>
            <w:hideMark/>
          </w:tcPr>
          <w:p w14:paraId="2E55EBC8"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former care leavers aged 19-21 in suitable accommodation</w:t>
            </w:r>
          </w:p>
        </w:tc>
        <w:tc>
          <w:tcPr>
            <w:tcW w:w="0" w:type="auto"/>
            <w:tcBorders>
              <w:top w:val="nil"/>
              <w:left w:val="nil"/>
              <w:bottom w:val="nil"/>
              <w:right w:val="single" w:sz="4" w:space="0" w:color="ED712C"/>
            </w:tcBorders>
            <w:shd w:val="clear" w:color="auto" w:fill="auto"/>
            <w:vAlign w:val="center"/>
            <w:hideMark/>
          </w:tcPr>
          <w:p w14:paraId="31431E17"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nil"/>
              <w:right w:val="single" w:sz="4" w:space="0" w:color="ED712C"/>
            </w:tcBorders>
            <w:shd w:val="clear" w:color="000000" w:fill="FFFFFF"/>
            <w:vAlign w:val="center"/>
            <w:hideMark/>
          </w:tcPr>
          <w:p w14:paraId="76E6284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FFC000"/>
            <w:vAlign w:val="center"/>
            <w:hideMark/>
          </w:tcPr>
          <w:p w14:paraId="76A50AE7"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96%</w:t>
            </w:r>
          </w:p>
        </w:tc>
        <w:tc>
          <w:tcPr>
            <w:tcW w:w="0" w:type="auto"/>
            <w:tcBorders>
              <w:top w:val="nil"/>
              <w:left w:val="nil"/>
              <w:bottom w:val="single" w:sz="4" w:space="0" w:color="ED712C"/>
              <w:right w:val="single" w:sz="4" w:space="0" w:color="ED712C"/>
            </w:tcBorders>
            <w:shd w:val="clear" w:color="auto" w:fill="auto"/>
            <w:vAlign w:val="center"/>
            <w:hideMark/>
          </w:tcPr>
          <w:p w14:paraId="34A046B7"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99%</w:t>
            </w:r>
          </w:p>
        </w:tc>
        <w:tc>
          <w:tcPr>
            <w:tcW w:w="971" w:type="dxa"/>
            <w:tcBorders>
              <w:top w:val="single" w:sz="4" w:space="0" w:color="ED712C"/>
              <w:left w:val="single" w:sz="4" w:space="0" w:color="ED712C"/>
              <w:bottom w:val="single" w:sz="4" w:space="0" w:color="ED712C"/>
              <w:right w:val="single" w:sz="4" w:space="0" w:color="ED712C"/>
            </w:tcBorders>
            <w:shd w:val="clear" w:color="auto" w:fill="FFC000"/>
            <w:vAlign w:val="center"/>
            <w:hideMark/>
          </w:tcPr>
          <w:p w14:paraId="51560E76"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97</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56EB79AE" w14:textId="77777777" w:rsidR="007C1C9E" w:rsidRPr="00705647" w:rsidRDefault="007C1C9E" w:rsidP="007C1C9E">
            <w:pPr>
              <w:spacing w:after="0" w:line="240" w:lineRule="auto"/>
              <w:jc w:val="center"/>
              <w:rPr>
                <w:rFonts w:ascii="Arial" w:eastAsia="Times New Roman" w:hAnsi="Arial" w:cs="Arial"/>
                <w:sz w:val="20"/>
                <w:szCs w:val="20"/>
                <w:lang w:eastAsia="en-GB"/>
              </w:rPr>
            </w:pPr>
            <w:r w:rsidRPr="00705647">
              <w:rPr>
                <w:rFonts w:ascii="Arial" w:eastAsia="Times New Roman" w:hAnsi="Arial" w:cs="Arial"/>
                <w:sz w:val="20"/>
                <w:szCs w:val="20"/>
                <w:lang w:eastAsia="en-GB"/>
              </w:rPr>
              <w:t>-2.02%</w:t>
            </w:r>
          </w:p>
        </w:tc>
        <w:tc>
          <w:tcPr>
            <w:tcW w:w="0" w:type="auto"/>
            <w:tcBorders>
              <w:top w:val="nil"/>
              <w:left w:val="nil"/>
              <w:bottom w:val="single" w:sz="4" w:space="0" w:color="ED712C"/>
              <w:right w:val="single" w:sz="4" w:space="0" w:color="ED712C"/>
            </w:tcBorders>
            <w:shd w:val="clear" w:color="000000" w:fill="FFFFFF"/>
            <w:vAlign w:val="center"/>
            <w:hideMark/>
          </w:tcPr>
          <w:p w14:paraId="22A7ECD7" w14:textId="668C3791"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55" behindDoc="0" locked="0" layoutInCell="1" allowOverlap="1" wp14:anchorId="12B05BD6" wp14:editId="3EE4D761">
                  <wp:simplePos x="0" y="0"/>
                  <wp:positionH relativeFrom="column">
                    <wp:posOffset>71120</wp:posOffset>
                  </wp:positionH>
                  <wp:positionV relativeFrom="paragraph">
                    <wp:posOffset>36830</wp:posOffset>
                  </wp:positionV>
                  <wp:extent cx="285750" cy="241300"/>
                  <wp:effectExtent l="0" t="0" r="0" b="6350"/>
                  <wp:wrapNone/>
                  <wp:docPr id="49" name="Picture 20" descr="P500C112T8#y1">
                    <a:extLst xmlns:a="http://schemas.openxmlformats.org/drawingml/2006/main">
                      <a:ext uri="{FF2B5EF4-FFF2-40B4-BE49-F238E27FC236}">
                        <a16:creationId xmlns:a16="http://schemas.microsoft.com/office/drawing/2014/main" id="{842F3EBC-8145-478F-B565-D002D09D3323}"/>
                      </a:ext>
                      <a:ext uri="{147F2762-F138-4A5C-976F-8EAC2B608ADB}">
                        <a16:predDERef xmlns:a16="http://schemas.microsoft.com/office/drawing/2014/main" pred="{C4816A00-8A6C-472B-A6E7-8201FD880A16}"/>
                      </a:ext>
                    </a:extLst>
                  </wp:docPr>
                  <wp:cNvGraphicFramePr/>
                  <a:graphic xmlns:a="http://schemas.openxmlformats.org/drawingml/2006/main">
                    <a:graphicData uri="http://schemas.openxmlformats.org/drawingml/2006/picture">
                      <pic:pic xmlns:pic="http://schemas.openxmlformats.org/drawingml/2006/picture">
                        <pic:nvPicPr>
                          <pic:cNvPr id="49" name="Picture 8" descr="P500C112T8#y1">
                            <a:extLst>
                              <a:ext uri="{FF2B5EF4-FFF2-40B4-BE49-F238E27FC236}">
                                <a16:creationId xmlns:a16="http://schemas.microsoft.com/office/drawing/2014/main" id="{842F3EBC-8145-478F-B565-D002D09D3323}"/>
                              </a:ext>
                              <a:ext uri="{147F2762-F138-4A5C-976F-8EAC2B608ADB}">
                                <a16:predDERef xmlns:a16="http://schemas.microsoft.com/office/drawing/2014/main" pred="{C4816A00-8A6C-472B-A6E7-8201FD880A1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92D050"/>
            <w:vAlign w:val="center"/>
            <w:hideMark/>
          </w:tcPr>
          <w:p w14:paraId="6DD73255" w14:textId="711C523F"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1st Quartile Eng Av. 88     LA Av. 86 (2022/23)</w:t>
            </w:r>
          </w:p>
        </w:tc>
      </w:tr>
      <w:tr w:rsidR="007C1C9E" w:rsidRPr="007C1C9E" w14:paraId="581FA24B" w14:textId="77777777" w:rsidTr="00705647">
        <w:trPr>
          <w:trHeight w:val="1305"/>
        </w:trPr>
        <w:tc>
          <w:tcPr>
            <w:tcW w:w="0" w:type="auto"/>
            <w:vMerge/>
            <w:tcBorders>
              <w:top w:val="single" w:sz="4" w:space="0" w:color="ED712C"/>
              <w:left w:val="single" w:sz="4" w:space="0" w:color="ED712C"/>
              <w:bottom w:val="nil"/>
              <w:right w:val="single" w:sz="4" w:space="0" w:color="ED712C"/>
            </w:tcBorders>
            <w:vAlign w:val="center"/>
            <w:hideMark/>
          </w:tcPr>
          <w:p w14:paraId="31F03B73"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single" w:sz="4" w:space="0" w:color="FF7C80"/>
              <w:left w:val="single" w:sz="4" w:space="0" w:color="FF7C80"/>
              <w:bottom w:val="single" w:sz="4" w:space="0" w:color="FF7C80"/>
              <w:right w:val="single" w:sz="4" w:space="0" w:color="FF7C80"/>
            </w:tcBorders>
            <w:shd w:val="clear" w:color="auto" w:fill="auto"/>
            <w:vAlign w:val="center"/>
            <w:hideMark/>
          </w:tcPr>
          <w:p w14:paraId="682569A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CYP-011</w:t>
            </w:r>
          </w:p>
        </w:tc>
        <w:tc>
          <w:tcPr>
            <w:tcW w:w="0" w:type="auto"/>
            <w:tcBorders>
              <w:top w:val="single" w:sz="4" w:space="0" w:color="FF7C80"/>
              <w:left w:val="nil"/>
              <w:bottom w:val="single" w:sz="4" w:space="0" w:color="FF7C80"/>
              <w:right w:val="single" w:sz="4" w:space="0" w:color="FF7C80"/>
            </w:tcBorders>
            <w:shd w:val="clear" w:color="auto" w:fill="auto"/>
            <w:vAlign w:val="center"/>
            <w:hideMark/>
          </w:tcPr>
          <w:p w14:paraId="7E52A1A0"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former care leavers aged 19-21 years in employment, education or training</w:t>
            </w:r>
          </w:p>
        </w:tc>
        <w:tc>
          <w:tcPr>
            <w:tcW w:w="0" w:type="auto"/>
            <w:tcBorders>
              <w:top w:val="single" w:sz="4" w:space="0" w:color="FF7C80"/>
              <w:left w:val="nil"/>
              <w:bottom w:val="single" w:sz="4" w:space="0" w:color="FF7C80"/>
              <w:right w:val="single" w:sz="4" w:space="0" w:color="FF7C80"/>
            </w:tcBorders>
            <w:shd w:val="clear" w:color="auto" w:fill="auto"/>
            <w:vAlign w:val="center"/>
            <w:hideMark/>
          </w:tcPr>
          <w:p w14:paraId="430F6A4A"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single" w:sz="4" w:space="0" w:color="FF7C80"/>
              <w:left w:val="nil"/>
              <w:bottom w:val="single" w:sz="4" w:space="0" w:color="FF7C80"/>
              <w:right w:val="single" w:sz="4" w:space="0" w:color="FF7C80"/>
            </w:tcBorders>
            <w:shd w:val="clear" w:color="000000" w:fill="FFFFFF"/>
            <w:vAlign w:val="center"/>
            <w:hideMark/>
          </w:tcPr>
          <w:p w14:paraId="416D79C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1FE528B9"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56%</w:t>
            </w:r>
          </w:p>
        </w:tc>
        <w:tc>
          <w:tcPr>
            <w:tcW w:w="0" w:type="auto"/>
            <w:tcBorders>
              <w:top w:val="nil"/>
              <w:left w:val="nil"/>
              <w:bottom w:val="single" w:sz="4" w:space="0" w:color="ED712C"/>
              <w:right w:val="single" w:sz="4" w:space="0" w:color="ED712C"/>
            </w:tcBorders>
            <w:shd w:val="clear" w:color="auto" w:fill="auto"/>
            <w:vAlign w:val="center"/>
            <w:hideMark/>
          </w:tcPr>
          <w:p w14:paraId="355816DA"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59%</w:t>
            </w:r>
          </w:p>
        </w:tc>
        <w:tc>
          <w:tcPr>
            <w:tcW w:w="971" w:type="dxa"/>
            <w:tcBorders>
              <w:top w:val="single" w:sz="4" w:space="0" w:color="ED712C"/>
              <w:left w:val="single" w:sz="4" w:space="0" w:color="ED712C"/>
              <w:bottom w:val="single" w:sz="4" w:space="0" w:color="ED712C"/>
              <w:right w:val="single" w:sz="4" w:space="0" w:color="ED712C"/>
            </w:tcBorders>
            <w:shd w:val="clear" w:color="auto" w:fill="92D050"/>
            <w:vAlign w:val="center"/>
            <w:hideMark/>
          </w:tcPr>
          <w:p w14:paraId="0E867B6C"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64</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34751AD5"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8.47%</w:t>
            </w:r>
          </w:p>
        </w:tc>
        <w:tc>
          <w:tcPr>
            <w:tcW w:w="0" w:type="auto"/>
            <w:tcBorders>
              <w:top w:val="nil"/>
              <w:left w:val="nil"/>
              <w:bottom w:val="single" w:sz="4" w:space="0" w:color="ED712C"/>
              <w:right w:val="single" w:sz="4" w:space="0" w:color="ED712C"/>
            </w:tcBorders>
            <w:shd w:val="clear" w:color="000000" w:fill="FFFFFF"/>
            <w:vAlign w:val="center"/>
            <w:hideMark/>
          </w:tcPr>
          <w:p w14:paraId="0B932C5B" w14:textId="57CFB69F"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7" behindDoc="0" locked="0" layoutInCell="1" allowOverlap="1" wp14:anchorId="12BFDA37" wp14:editId="6BB604B6">
                  <wp:simplePos x="0" y="0"/>
                  <wp:positionH relativeFrom="column">
                    <wp:posOffset>81915</wp:posOffset>
                  </wp:positionH>
                  <wp:positionV relativeFrom="paragraph">
                    <wp:posOffset>-28575</wp:posOffset>
                  </wp:positionV>
                  <wp:extent cx="292100" cy="247650"/>
                  <wp:effectExtent l="0" t="0" r="0" b="0"/>
                  <wp:wrapNone/>
                  <wp:docPr id="37" name="Picture 21" descr="P512C122T8#y1">
                    <a:extLst xmlns:a="http://schemas.openxmlformats.org/drawingml/2006/main">
                      <a:ext uri="{FF2B5EF4-FFF2-40B4-BE49-F238E27FC236}">
                        <a16:creationId xmlns:a16="http://schemas.microsoft.com/office/drawing/2014/main" id="{207B30F2-77DB-4CC0-9C22-EBBC00367E2B}"/>
                      </a:ext>
                      <a:ext uri="{147F2762-F138-4A5C-976F-8EAC2B608ADB}">
                        <a16:predDERef xmlns:a16="http://schemas.microsoft.com/office/drawing/2014/main" pred="{300D9687-56FA-42F8-A6BA-2B056A240661}"/>
                      </a:ext>
                    </a:extLst>
                  </wp:docPr>
                  <wp:cNvGraphicFramePr/>
                  <a:graphic xmlns:a="http://schemas.openxmlformats.org/drawingml/2006/main">
                    <a:graphicData uri="http://schemas.openxmlformats.org/drawingml/2006/picture">
                      <pic:pic xmlns:pic="http://schemas.openxmlformats.org/drawingml/2006/picture">
                        <pic:nvPicPr>
                          <pic:cNvPr id="37" name="Picture 7" descr="P512C122T8#y1">
                            <a:extLst>
                              <a:ext uri="{FF2B5EF4-FFF2-40B4-BE49-F238E27FC236}">
                                <a16:creationId xmlns:a16="http://schemas.microsoft.com/office/drawing/2014/main" id="{207B30F2-77DB-4CC0-9C22-EBBC00367E2B}"/>
                              </a:ext>
                              <a:ext uri="{147F2762-F138-4A5C-976F-8EAC2B608ADB}">
                                <a16:predDERef xmlns:a16="http://schemas.microsoft.com/office/drawing/2014/main" pred="{300D9687-56FA-42F8-A6BA-2B056A24066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92D050"/>
            <w:vAlign w:val="center"/>
            <w:hideMark/>
          </w:tcPr>
          <w:p w14:paraId="711545B2" w14:textId="7C2CA555"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1st Quartile Eng Av. 56     LA Av. 53 (2022/23)</w:t>
            </w:r>
          </w:p>
        </w:tc>
      </w:tr>
      <w:tr w:rsidR="007C1C9E" w:rsidRPr="007C1C9E" w14:paraId="48E78649" w14:textId="77777777" w:rsidTr="00340BE7">
        <w:trPr>
          <w:trHeight w:val="1303"/>
        </w:trPr>
        <w:tc>
          <w:tcPr>
            <w:tcW w:w="0" w:type="auto"/>
            <w:vMerge w:val="restart"/>
            <w:tcBorders>
              <w:top w:val="single" w:sz="4" w:space="0" w:color="FF7C80"/>
              <w:left w:val="single" w:sz="4" w:space="0" w:color="FF7C80"/>
              <w:bottom w:val="single" w:sz="4" w:space="0" w:color="FF7C80"/>
              <w:right w:val="single" w:sz="4" w:space="0" w:color="FF7C80"/>
            </w:tcBorders>
            <w:shd w:val="clear" w:color="000000" w:fill="FAD3BE"/>
            <w:vAlign w:val="center"/>
            <w:hideMark/>
          </w:tcPr>
          <w:p w14:paraId="50A1EEFD" w14:textId="77777777" w:rsidR="007C1C9E" w:rsidRPr="007C1C9E" w:rsidRDefault="007C1C9E" w:rsidP="007C1C9E">
            <w:pPr>
              <w:spacing w:after="0" w:line="240" w:lineRule="auto"/>
              <w:jc w:val="center"/>
              <w:rPr>
                <w:rFonts w:ascii="Arial" w:eastAsia="Times New Roman" w:hAnsi="Arial" w:cs="Arial"/>
                <w:b/>
                <w:bCs/>
                <w:color w:val="000000"/>
                <w:sz w:val="20"/>
                <w:szCs w:val="20"/>
                <w:lang w:eastAsia="en-GB"/>
              </w:rPr>
            </w:pPr>
            <w:r w:rsidRPr="007C1C9E">
              <w:rPr>
                <w:rFonts w:ascii="Arial" w:eastAsia="Times New Roman" w:hAnsi="Arial" w:cs="Arial"/>
                <w:b/>
                <w:bCs/>
                <w:color w:val="000000"/>
                <w:sz w:val="20"/>
                <w:szCs w:val="20"/>
                <w:lang w:eastAsia="en-GB"/>
              </w:rPr>
              <w:t>Children and young people's aspirations, attainment and opportunities are raised</w:t>
            </w:r>
          </w:p>
        </w:tc>
        <w:tc>
          <w:tcPr>
            <w:tcW w:w="0" w:type="auto"/>
            <w:tcBorders>
              <w:top w:val="nil"/>
              <w:left w:val="nil"/>
              <w:bottom w:val="single" w:sz="4" w:space="0" w:color="FF7C80"/>
              <w:right w:val="single" w:sz="4" w:space="0" w:color="FF7C80"/>
            </w:tcBorders>
            <w:shd w:val="clear" w:color="auto" w:fill="auto"/>
            <w:vAlign w:val="center"/>
            <w:hideMark/>
          </w:tcPr>
          <w:p w14:paraId="6F5A2E48"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CYP-012</w:t>
            </w:r>
          </w:p>
        </w:tc>
        <w:tc>
          <w:tcPr>
            <w:tcW w:w="0" w:type="auto"/>
            <w:tcBorders>
              <w:top w:val="nil"/>
              <w:left w:val="nil"/>
              <w:bottom w:val="single" w:sz="4" w:space="0" w:color="FF7C80"/>
              <w:right w:val="single" w:sz="4" w:space="0" w:color="FF7C80"/>
            </w:tcBorders>
            <w:shd w:val="clear" w:color="auto" w:fill="auto"/>
            <w:vAlign w:val="center"/>
            <w:hideMark/>
          </w:tcPr>
          <w:p w14:paraId="71AE8035"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Education, Health and Care (EHC) plans completed within a 20 week period</w:t>
            </w:r>
          </w:p>
        </w:tc>
        <w:tc>
          <w:tcPr>
            <w:tcW w:w="0" w:type="auto"/>
            <w:tcBorders>
              <w:top w:val="nil"/>
              <w:left w:val="nil"/>
              <w:bottom w:val="single" w:sz="4" w:space="0" w:color="FF7C80"/>
              <w:right w:val="single" w:sz="4" w:space="0" w:color="FF7C80"/>
            </w:tcBorders>
            <w:shd w:val="clear" w:color="auto" w:fill="auto"/>
            <w:vAlign w:val="center"/>
            <w:hideMark/>
          </w:tcPr>
          <w:p w14:paraId="4E795B6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nil"/>
              <w:bottom w:val="single" w:sz="4" w:space="0" w:color="FF7C80"/>
              <w:right w:val="single" w:sz="4" w:space="0" w:color="FF7C80"/>
            </w:tcBorders>
            <w:shd w:val="clear" w:color="000000" w:fill="FFFFFF"/>
            <w:vAlign w:val="center"/>
            <w:hideMark/>
          </w:tcPr>
          <w:p w14:paraId="20B54D4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666246C0"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10.6%</w:t>
            </w:r>
          </w:p>
        </w:tc>
        <w:tc>
          <w:tcPr>
            <w:tcW w:w="0" w:type="auto"/>
            <w:tcBorders>
              <w:top w:val="nil"/>
              <w:left w:val="nil"/>
              <w:bottom w:val="single" w:sz="4" w:space="0" w:color="ED712C"/>
              <w:right w:val="single" w:sz="4" w:space="0" w:color="ED712C"/>
            </w:tcBorders>
            <w:shd w:val="clear" w:color="auto" w:fill="auto"/>
            <w:vAlign w:val="center"/>
            <w:hideMark/>
          </w:tcPr>
          <w:p w14:paraId="63412929"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30%</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66D1EB3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10.3</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027DBFC5"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3%</w:t>
            </w:r>
          </w:p>
        </w:tc>
        <w:tc>
          <w:tcPr>
            <w:tcW w:w="0" w:type="auto"/>
            <w:tcBorders>
              <w:top w:val="nil"/>
              <w:left w:val="nil"/>
              <w:bottom w:val="single" w:sz="4" w:space="0" w:color="ED712C"/>
              <w:right w:val="single" w:sz="4" w:space="0" w:color="ED712C"/>
            </w:tcBorders>
            <w:shd w:val="clear" w:color="000000" w:fill="FFFFFF"/>
            <w:vAlign w:val="center"/>
            <w:hideMark/>
          </w:tcPr>
          <w:p w14:paraId="2D329B5F" w14:textId="0FB1C6F3"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71" behindDoc="0" locked="0" layoutInCell="1" allowOverlap="1" wp14:anchorId="65232FAB" wp14:editId="49B6F3E6">
                  <wp:simplePos x="0" y="0"/>
                  <wp:positionH relativeFrom="column">
                    <wp:posOffset>42545</wp:posOffset>
                  </wp:positionH>
                  <wp:positionV relativeFrom="paragraph">
                    <wp:posOffset>67310</wp:posOffset>
                  </wp:positionV>
                  <wp:extent cx="292100" cy="241300"/>
                  <wp:effectExtent l="0" t="0" r="0" b="6350"/>
                  <wp:wrapNone/>
                  <wp:docPr id="4" name="Picture 22" descr="P524C133T8#y1">
                    <a:extLst xmlns:a="http://schemas.openxmlformats.org/drawingml/2006/main">
                      <a:ext uri="{FF2B5EF4-FFF2-40B4-BE49-F238E27FC236}">
                        <a16:creationId xmlns:a16="http://schemas.microsoft.com/office/drawing/2014/main" id="{837C48FD-3444-45BA-9041-0F0FD31F3D5D}"/>
                      </a:ext>
                      <a:ext uri="{147F2762-F138-4A5C-976F-8EAC2B608ADB}">
                        <a16:predDERef xmlns:a16="http://schemas.microsoft.com/office/drawing/2014/main" pred="{300D9687-56FA-42F8-A6BA-2B056A240661}"/>
                      </a:ext>
                    </a:extLst>
                  </wp:docPr>
                  <wp:cNvGraphicFramePr/>
                  <a:graphic xmlns:a="http://schemas.openxmlformats.org/drawingml/2006/main">
                    <a:graphicData uri="http://schemas.openxmlformats.org/drawingml/2006/picture">
                      <pic:pic xmlns:pic="http://schemas.openxmlformats.org/drawingml/2006/picture">
                        <pic:nvPicPr>
                          <pic:cNvPr id="4" name="Picture 6" descr="P524C133T8#y1">
                            <a:extLst>
                              <a:ext uri="{FF2B5EF4-FFF2-40B4-BE49-F238E27FC236}">
                                <a16:creationId xmlns:a16="http://schemas.microsoft.com/office/drawing/2014/main" id="{837C48FD-3444-45BA-9041-0F0FD31F3D5D}"/>
                              </a:ext>
                              <a:ext uri="{147F2762-F138-4A5C-976F-8EAC2B608ADB}">
                                <a16:predDERef xmlns:a16="http://schemas.microsoft.com/office/drawing/2014/main" pred="{300D9687-56FA-42F8-A6BA-2B056A24066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72808E7F"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49.1 LA Av. 74.9 (2022)</w:t>
            </w:r>
          </w:p>
        </w:tc>
      </w:tr>
      <w:tr w:rsidR="007C1C9E" w:rsidRPr="007C1C9E" w14:paraId="639A8FAE" w14:textId="77777777" w:rsidTr="00340BE7">
        <w:trPr>
          <w:trHeight w:val="1305"/>
        </w:trPr>
        <w:tc>
          <w:tcPr>
            <w:tcW w:w="0" w:type="auto"/>
            <w:vMerge/>
            <w:tcBorders>
              <w:top w:val="single" w:sz="4" w:space="0" w:color="FF7C80"/>
              <w:left w:val="single" w:sz="4" w:space="0" w:color="FF7C80"/>
              <w:bottom w:val="single" w:sz="4" w:space="0" w:color="FF7C80"/>
              <w:right w:val="single" w:sz="4" w:space="0" w:color="FF7C80"/>
            </w:tcBorders>
            <w:vAlign w:val="center"/>
            <w:hideMark/>
          </w:tcPr>
          <w:p w14:paraId="75178AF0"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FF7C80"/>
              <w:right w:val="single" w:sz="4" w:space="0" w:color="FF7C80"/>
            </w:tcBorders>
            <w:shd w:val="clear" w:color="auto" w:fill="auto"/>
            <w:vAlign w:val="center"/>
            <w:hideMark/>
          </w:tcPr>
          <w:p w14:paraId="233A130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E&amp;S-005</w:t>
            </w:r>
          </w:p>
        </w:tc>
        <w:tc>
          <w:tcPr>
            <w:tcW w:w="0" w:type="auto"/>
            <w:tcBorders>
              <w:top w:val="nil"/>
              <w:left w:val="nil"/>
              <w:bottom w:val="single" w:sz="4" w:space="0" w:color="FF7C80"/>
              <w:right w:val="single" w:sz="4" w:space="0" w:color="FF7C80"/>
            </w:tcBorders>
            <w:shd w:val="clear" w:color="auto" w:fill="auto"/>
            <w:vAlign w:val="center"/>
            <w:hideMark/>
          </w:tcPr>
          <w:p w14:paraId="05F88E25"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young people academic age 16-17 not in education, employment or training and not known combined</w:t>
            </w:r>
          </w:p>
        </w:tc>
        <w:tc>
          <w:tcPr>
            <w:tcW w:w="0" w:type="auto"/>
            <w:tcBorders>
              <w:top w:val="nil"/>
              <w:left w:val="nil"/>
              <w:bottom w:val="single" w:sz="4" w:space="0" w:color="FF7C80"/>
              <w:right w:val="single" w:sz="4" w:space="0" w:color="FF7C80"/>
            </w:tcBorders>
            <w:shd w:val="clear" w:color="auto" w:fill="auto"/>
            <w:vAlign w:val="center"/>
            <w:hideMark/>
          </w:tcPr>
          <w:p w14:paraId="2B71E76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nil"/>
              <w:bottom w:val="single" w:sz="4" w:space="0" w:color="FF7C80"/>
              <w:right w:val="single" w:sz="4" w:space="0" w:color="FF7C80"/>
            </w:tcBorders>
            <w:shd w:val="clear" w:color="000000" w:fill="FFFFFF"/>
            <w:vAlign w:val="center"/>
            <w:hideMark/>
          </w:tcPr>
          <w:p w14:paraId="4BC80D19"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54AB636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6.1%</w:t>
            </w:r>
          </w:p>
        </w:tc>
        <w:tc>
          <w:tcPr>
            <w:tcW w:w="0" w:type="auto"/>
            <w:tcBorders>
              <w:top w:val="nil"/>
              <w:left w:val="nil"/>
              <w:bottom w:val="single" w:sz="4" w:space="0" w:color="ED712C"/>
              <w:right w:val="single" w:sz="4" w:space="0" w:color="ED712C"/>
            </w:tcBorders>
            <w:shd w:val="clear" w:color="auto" w:fill="auto"/>
            <w:vAlign w:val="center"/>
            <w:hideMark/>
          </w:tcPr>
          <w:p w14:paraId="4E105E46"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5.8%</w:t>
            </w:r>
          </w:p>
        </w:tc>
        <w:tc>
          <w:tcPr>
            <w:tcW w:w="971" w:type="dxa"/>
            <w:tcBorders>
              <w:top w:val="single" w:sz="4" w:space="0" w:color="ED712C"/>
              <w:left w:val="single" w:sz="4" w:space="0" w:color="ED712C"/>
              <w:bottom w:val="single" w:sz="4" w:space="0" w:color="ED712C"/>
              <w:right w:val="single" w:sz="4" w:space="0" w:color="ED712C"/>
            </w:tcBorders>
            <w:shd w:val="clear" w:color="000000" w:fill="FF0000"/>
            <w:vAlign w:val="center"/>
            <w:hideMark/>
          </w:tcPr>
          <w:p w14:paraId="6B7F3474"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8.4</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0F9B01B1" w14:textId="77777777" w:rsidR="007C1C9E" w:rsidRPr="007C1C9E" w:rsidRDefault="007C1C9E" w:rsidP="007C1C9E">
            <w:pPr>
              <w:spacing w:after="0" w:line="240" w:lineRule="auto"/>
              <w:jc w:val="center"/>
              <w:rPr>
                <w:rFonts w:ascii="Arial" w:eastAsia="Times New Roman" w:hAnsi="Arial" w:cs="Arial"/>
                <w:color w:val="FF0000"/>
                <w:sz w:val="20"/>
                <w:szCs w:val="20"/>
                <w:lang w:eastAsia="en-GB"/>
              </w:rPr>
            </w:pPr>
            <w:r w:rsidRPr="007C1C9E">
              <w:rPr>
                <w:rFonts w:ascii="Arial" w:eastAsia="Times New Roman" w:hAnsi="Arial" w:cs="Arial"/>
                <w:color w:val="FF0000"/>
                <w:sz w:val="20"/>
                <w:szCs w:val="20"/>
                <w:lang w:eastAsia="en-GB"/>
              </w:rPr>
              <w:t>-12%</w:t>
            </w:r>
          </w:p>
        </w:tc>
        <w:tc>
          <w:tcPr>
            <w:tcW w:w="0" w:type="auto"/>
            <w:tcBorders>
              <w:top w:val="nil"/>
              <w:left w:val="nil"/>
              <w:bottom w:val="single" w:sz="4" w:space="0" w:color="ED712C"/>
              <w:right w:val="single" w:sz="4" w:space="0" w:color="ED712C"/>
            </w:tcBorders>
            <w:shd w:val="clear" w:color="000000" w:fill="FFFFFF"/>
            <w:vAlign w:val="center"/>
            <w:hideMark/>
          </w:tcPr>
          <w:p w14:paraId="489CAC48" w14:textId="561E33A2"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2" behindDoc="0" locked="0" layoutInCell="1" allowOverlap="1" wp14:anchorId="11E89C19" wp14:editId="7F2D3872">
                  <wp:simplePos x="0" y="0"/>
                  <wp:positionH relativeFrom="column">
                    <wp:posOffset>45720</wp:posOffset>
                  </wp:positionH>
                  <wp:positionV relativeFrom="paragraph">
                    <wp:posOffset>146050</wp:posOffset>
                  </wp:positionV>
                  <wp:extent cx="292100" cy="254000"/>
                  <wp:effectExtent l="0" t="0" r="0" b="0"/>
                  <wp:wrapNone/>
                  <wp:docPr id="43" name="Picture 23" descr="P536C143T8#y1">
                    <a:extLst xmlns:a="http://schemas.openxmlformats.org/drawingml/2006/main">
                      <a:ext uri="{FF2B5EF4-FFF2-40B4-BE49-F238E27FC236}">
                        <a16:creationId xmlns:a16="http://schemas.microsoft.com/office/drawing/2014/main" id="{3B27C17B-5ABB-4723-9F6E-8C664648CEAC}"/>
                      </a:ext>
                      <a:ext uri="{147F2762-F138-4A5C-976F-8EAC2B608ADB}">
                        <a16:predDERef xmlns:a16="http://schemas.microsoft.com/office/drawing/2014/main" pred="{BD954BF9-B601-417F-A593-1B9A975D11B6}"/>
                      </a:ext>
                    </a:extLst>
                  </wp:docPr>
                  <wp:cNvGraphicFramePr/>
                  <a:graphic xmlns:a="http://schemas.openxmlformats.org/drawingml/2006/main">
                    <a:graphicData uri="http://schemas.openxmlformats.org/drawingml/2006/picture">
                      <pic:pic xmlns:pic="http://schemas.openxmlformats.org/drawingml/2006/picture">
                        <pic:nvPicPr>
                          <pic:cNvPr id="43" name="Picture 5" descr="P536C143T8#y1">
                            <a:extLst>
                              <a:ext uri="{FF2B5EF4-FFF2-40B4-BE49-F238E27FC236}">
                                <a16:creationId xmlns:a16="http://schemas.microsoft.com/office/drawing/2014/main" id="{3B27C17B-5ABB-4723-9F6E-8C664648CEAC}"/>
                              </a:ext>
                              <a:ext uri="{147F2762-F138-4A5C-976F-8EAC2B608ADB}">
                                <a16:predDERef xmlns:a16="http://schemas.microsoft.com/office/drawing/2014/main" pred="{BD954BF9-B601-417F-A593-1B9A975D11B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92D050"/>
            <w:vAlign w:val="center"/>
            <w:hideMark/>
          </w:tcPr>
          <w:p w14:paraId="768190BD" w14:textId="4DB93B21"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1st Quartile Eng Av. 4.7    LA Av. 5.0 (2022)</w:t>
            </w:r>
          </w:p>
        </w:tc>
      </w:tr>
      <w:tr w:rsidR="007C1C9E" w:rsidRPr="007C1C9E" w14:paraId="44ABFA30" w14:textId="77777777" w:rsidTr="00340BE7">
        <w:trPr>
          <w:trHeight w:val="1305"/>
        </w:trPr>
        <w:tc>
          <w:tcPr>
            <w:tcW w:w="0" w:type="auto"/>
            <w:vMerge/>
            <w:tcBorders>
              <w:top w:val="single" w:sz="4" w:space="0" w:color="FF7C80"/>
              <w:left w:val="single" w:sz="4" w:space="0" w:color="FF7C80"/>
              <w:bottom w:val="single" w:sz="4" w:space="0" w:color="FF7C80"/>
              <w:right w:val="single" w:sz="4" w:space="0" w:color="FF7C80"/>
            </w:tcBorders>
            <w:vAlign w:val="center"/>
            <w:hideMark/>
          </w:tcPr>
          <w:p w14:paraId="3B86EB24"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FF7C80"/>
              <w:right w:val="single" w:sz="4" w:space="0" w:color="FF7C80"/>
            </w:tcBorders>
            <w:shd w:val="clear" w:color="auto" w:fill="auto"/>
            <w:vAlign w:val="center"/>
            <w:hideMark/>
          </w:tcPr>
          <w:p w14:paraId="41F79141"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E&amp;S-006</w:t>
            </w:r>
          </w:p>
        </w:tc>
        <w:tc>
          <w:tcPr>
            <w:tcW w:w="0" w:type="auto"/>
            <w:tcBorders>
              <w:top w:val="nil"/>
              <w:left w:val="nil"/>
              <w:bottom w:val="single" w:sz="4" w:space="0" w:color="FF7C80"/>
              <w:right w:val="single" w:sz="4" w:space="0" w:color="FF7C80"/>
            </w:tcBorders>
            <w:shd w:val="clear" w:color="auto" w:fill="auto"/>
            <w:vAlign w:val="center"/>
            <w:hideMark/>
          </w:tcPr>
          <w:p w14:paraId="518C47E6"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state funded schools judged Good or Outstanding by Ofsted</w:t>
            </w:r>
          </w:p>
        </w:tc>
        <w:tc>
          <w:tcPr>
            <w:tcW w:w="0" w:type="auto"/>
            <w:tcBorders>
              <w:top w:val="nil"/>
              <w:left w:val="nil"/>
              <w:bottom w:val="single" w:sz="4" w:space="0" w:color="FF7C80"/>
              <w:right w:val="single" w:sz="4" w:space="0" w:color="FF7C80"/>
            </w:tcBorders>
            <w:shd w:val="clear" w:color="auto" w:fill="auto"/>
            <w:vAlign w:val="center"/>
            <w:hideMark/>
          </w:tcPr>
          <w:p w14:paraId="0DAF21DE"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nil"/>
              <w:bottom w:val="single" w:sz="4" w:space="0" w:color="FF7C80"/>
              <w:right w:val="single" w:sz="4" w:space="0" w:color="FF7C80"/>
            </w:tcBorders>
            <w:shd w:val="clear" w:color="000000" w:fill="FFFFFF"/>
            <w:vAlign w:val="center"/>
            <w:hideMark/>
          </w:tcPr>
          <w:p w14:paraId="12B2F6E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single" w:sz="4" w:space="0" w:color="ED712C"/>
              <w:bottom w:val="single" w:sz="4" w:space="0" w:color="ED712C"/>
              <w:right w:val="single" w:sz="4" w:space="0" w:color="ED712C"/>
            </w:tcBorders>
            <w:shd w:val="clear" w:color="000000" w:fill="FFC000"/>
            <w:vAlign w:val="center"/>
            <w:hideMark/>
          </w:tcPr>
          <w:p w14:paraId="76B79B3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89%</w:t>
            </w:r>
          </w:p>
        </w:tc>
        <w:tc>
          <w:tcPr>
            <w:tcW w:w="0" w:type="auto"/>
            <w:tcBorders>
              <w:top w:val="nil"/>
              <w:left w:val="nil"/>
              <w:bottom w:val="single" w:sz="4" w:space="0" w:color="ED712C"/>
              <w:right w:val="single" w:sz="4" w:space="0" w:color="ED712C"/>
            </w:tcBorders>
            <w:shd w:val="clear" w:color="auto" w:fill="auto"/>
            <w:vAlign w:val="center"/>
            <w:hideMark/>
          </w:tcPr>
          <w:p w14:paraId="7CC9905F"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92%</w:t>
            </w:r>
          </w:p>
        </w:tc>
        <w:tc>
          <w:tcPr>
            <w:tcW w:w="971" w:type="dxa"/>
            <w:tcBorders>
              <w:top w:val="single" w:sz="4" w:space="0" w:color="ED712C"/>
              <w:left w:val="single" w:sz="4" w:space="0" w:color="ED712C"/>
              <w:bottom w:val="single" w:sz="4" w:space="0" w:color="ED712C"/>
              <w:right w:val="single" w:sz="4" w:space="0" w:color="ED712C"/>
            </w:tcBorders>
            <w:shd w:val="clear" w:color="000000" w:fill="FFC000"/>
            <w:vAlign w:val="center"/>
            <w:hideMark/>
          </w:tcPr>
          <w:p w14:paraId="38255EA0"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89</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3B9BB62C" w14:textId="77777777" w:rsidR="007C1C9E" w:rsidRPr="007C1C9E" w:rsidRDefault="007C1C9E" w:rsidP="007C1C9E">
            <w:pPr>
              <w:spacing w:after="0" w:line="240" w:lineRule="auto"/>
              <w:jc w:val="center"/>
              <w:rPr>
                <w:rFonts w:ascii="Arial" w:eastAsia="Times New Roman" w:hAnsi="Arial" w:cs="Arial"/>
                <w:color w:val="FF0000"/>
                <w:sz w:val="20"/>
                <w:szCs w:val="20"/>
                <w:lang w:eastAsia="en-GB"/>
              </w:rPr>
            </w:pPr>
            <w:r w:rsidRPr="00DD1EA9">
              <w:rPr>
                <w:rFonts w:ascii="Arial" w:eastAsia="Times New Roman" w:hAnsi="Arial" w:cs="Arial"/>
                <w:sz w:val="20"/>
                <w:szCs w:val="20"/>
                <w:lang w:eastAsia="en-GB"/>
              </w:rPr>
              <w:t>-5.32%</w:t>
            </w:r>
          </w:p>
        </w:tc>
        <w:tc>
          <w:tcPr>
            <w:tcW w:w="0" w:type="auto"/>
            <w:tcBorders>
              <w:top w:val="nil"/>
              <w:left w:val="nil"/>
              <w:bottom w:val="single" w:sz="4" w:space="0" w:color="ED712C"/>
              <w:right w:val="single" w:sz="4" w:space="0" w:color="ED712C"/>
            </w:tcBorders>
            <w:shd w:val="clear" w:color="000000" w:fill="FFFFFF"/>
            <w:vAlign w:val="center"/>
            <w:hideMark/>
          </w:tcPr>
          <w:p w14:paraId="5FA886C1" w14:textId="25DCD950"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mc:AlternateContent>
                <mc:Choice Requires="wps">
                  <w:drawing>
                    <wp:anchor distT="0" distB="0" distL="114300" distR="114300" simplePos="0" relativeHeight="251658270" behindDoc="0" locked="0" layoutInCell="1" allowOverlap="1" wp14:anchorId="23B930EB" wp14:editId="037E50A7">
                      <wp:simplePos x="0" y="0"/>
                      <wp:positionH relativeFrom="column">
                        <wp:posOffset>33655</wp:posOffset>
                      </wp:positionH>
                      <wp:positionV relativeFrom="paragraph">
                        <wp:posOffset>104140</wp:posOffset>
                      </wp:positionV>
                      <wp:extent cx="355600" cy="254000"/>
                      <wp:effectExtent l="0" t="0" r="25400" b="12700"/>
                      <wp:wrapNone/>
                      <wp:docPr id="50" name="Arrow: Left-Right 24" descr="P548C153T8#y1">
                        <a:extLst xmlns:a="http://schemas.openxmlformats.org/drawingml/2006/main">
                          <a:ext uri="{FF2B5EF4-FFF2-40B4-BE49-F238E27FC236}">
                            <a16:creationId xmlns:a16="http://schemas.microsoft.com/office/drawing/2014/main" id="{33F13F23-D0CC-4188-9E71-5B1D4D80B294}"/>
                          </a:ext>
                          <a:ext uri="{147F2762-F138-4A5C-976F-8EAC2B608ADB}">
                            <a16:predDERef xmlns:a16="http://schemas.microsoft.com/office/drawing/2014/main" pred="{D5C4AD2A-A0D5-4FD3-9630-21A1FCAE584D}"/>
                          </a:ext>
                        </a:extLst>
                      </wp:docPr>
                      <wp:cNvGraphicFramePr/>
                      <a:graphic xmlns:a="http://schemas.openxmlformats.org/drawingml/2006/main">
                        <a:graphicData uri="http://schemas.microsoft.com/office/word/2010/wordprocessingShape">
                          <wps:wsp>
                            <wps:cNvSpPr/>
                            <wps:spPr>
                              <a:xfrm>
                                <a:off x="8684157" y="3493748"/>
                                <a:ext cx="355600" cy="254000"/>
                              </a:xfrm>
                              <a:prstGeom prst="leftRightArrow">
                                <a:avLst>
                                  <a:gd name="adj1" fmla="val 50000"/>
                                  <a:gd name="adj2" fmla="val 45838"/>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7AB633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026" type="#_x0000_t69" alt="P548C153T8#y1" style="position:absolute;margin-left:2.65pt;margin-top:8.2pt;width:28pt;height:20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" adj="7072" fillcolor="black [3200]" strokecolor="black [1600]" strokeweight="2pt"/>
                  </w:pict>
                </mc:Fallback>
              </mc:AlternateContent>
            </w:r>
          </w:p>
        </w:tc>
        <w:tc>
          <w:tcPr>
            <w:tcW w:w="0" w:type="auto"/>
            <w:tcBorders>
              <w:top w:val="nil"/>
              <w:left w:val="single" w:sz="4" w:space="0" w:color="ED712C"/>
              <w:bottom w:val="single" w:sz="4" w:space="0" w:color="ED712C"/>
              <w:right w:val="single" w:sz="4" w:space="0" w:color="ED712C"/>
            </w:tcBorders>
            <w:shd w:val="clear" w:color="000000" w:fill="FFFF00"/>
            <w:vAlign w:val="center"/>
            <w:hideMark/>
          </w:tcPr>
          <w:p w14:paraId="318133C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2nd Quartile  Eng Av. 90    LA Av. 85 (Dec 2023)</w:t>
            </w:r>
          </w:p>
        </w:tc>
      </w:tr>
      <w:tr w:rsidR="007C1C9E" w:rsidRPr="007C1C9E" w14:paraId="6E395F45" w14:textId="77777777" w:rsidTr="00340BE7">
        <w:trPr>
          <w:trHeight w:val="1305"/>
        </w:trPr>
        <w:tc>
          <w:tcPr>
            <w:tcW w:w="0" w:type="auto"/>
            <w:vMerge w:val="restart"/>
            <w:tcBorders>
              <w:top w:val="nil"/>
              <w:left w:val="single" w:sz="4" w:space="0" w:color="ED712C"/>
              <w:bottom w:val="nil"/>
              <w:right w:val="nil"/>
            </w:tcBorders>
            <w:shd w:val="clear" w:color="000000" w:fill="FAD3BE"/>
            <w:vAlign w:val="center"/>
            <w:hideMark/>
          </w:tcPr>
          <w:p w14:paraId="14A9D350" w14:textId="77777777" w:rsidR="007C1C9E" w:rsidRPr="007C1C9E" w:rsidRDefault="007C1C9E" w:rsidP="007C1C9E">
            <w:pPr>
              <w:spacing w:after="0" w:line="240" w:lineRule="auto"/>
              <w:jc w:val="center"/>
              <w:rPr>
                <w:rFonts w:ascii="Arial" w:eastAsia="Times New Roman" w:hAnsi="Arial" w:cs="Arial"/>
                <w:b/>
                <w:bCs/>
                <w:color w:val="000000"/>
                <w:sz w:val="20"/>
                <w:szCs w:val="20"/>
                <w:lang w:eastAsia="en-GB"/>
              </w:rPr>
            </w:pPr>
            <w:r w:rsidRPr="007C1C9E">
              <w:rPr>
                <w:rFonts w:ascii="Arial" w:eastAsia="Times New Roman" w:hAnsi="Arial" w:cs="Arial"/>
                <w:b/>
                <w:bCs/>
                <w:color w:val="000000"/>
                <w:sz w:val="20"/>
                <w:szCs w:val="20"/>
                <w:lang w:eastAsia="en-GB"/>
              </w:rPr>
              <w:t>Children and young people are healthy, resilient, confident, involved and achieve their potential</w:t>
            </w:r>
          </w:p>
        </w:tc>
        <w:tc>
          <w:tcPr>
            <w:tcW w:w="0" w:type="auto"/>
            <w:tcBorders>
              <w:top w:val="nil"/>
              <w:left w:val="nil"/>
              <w:bottom w:val="single" w:sz="4" w:space="0" w:color="ED712C"/>
              <w:right w:val="nil"/>
            </w:tcBorders>
            <w:shd w:val="clear" w:color="auto" w:fill="auto"/>
            <w:vAlign w:val="center"/>
            <w:hideMark/>
          </w:tcPr>
          <w:p w14:paraId="521C6FAA"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PH-004</w:t>
            </w:r>
          </w:p>
        </w:tc>
        <w:tc>
          <w:tcPr>
            <w:tcW w:w="0" w:type="auto"/>
            <w:tcBorders>
              <w:top w:val="single" w:sz="4" w:space="0" w:color="FF7C80"/>
              <w:left w:val="single" w:sz="4" w:space="0" w:color="ED712C"/>
              <w:bottom w:val="single" w:sz="4" w:space="0" w:color="ED712C"/>
              <w:right w:val="single" w:sz="4" w:space="0" w:color="ED712C"/>
            </w:tcBorders>
            <w:shd w:val="clear" w:color="auto" w:fill="auto"/>
            <w:vAlign w:val="center"/>
            <w:hideMark/>
          </w:tcPr>
          <w:p w14:paraId="27F4B12A"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Under-18 conception rate per 1,000 females, 15-17 years (single year rate)</w:t>
            </w:r>
          </w:p>
        </w:tc>
        <w:tc>
          <w:tcPr>
            <w:tcW w:w="0" w:type="auto"/>
            <w:tcBorders>
              <w:top w:val="nil"/>
              <w:left w:val="nil"/>
              <w:bottom w:val="single" w:sz="4" w:space="0" w:color="ED712C"/>
              <w:right w:val="single" w:sz="4" w:space="0" w:color="ED712C"/>
            </w:tcBorders>
            <w:shd w:val="clear" w:color="auto" w:fill="auto"/>
            <w:vAlign w:val="center"/>
            <w:hideMark/>
          </w:tcPr>
          <w:p w14:paraId="713D5B0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59D9A296"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92D050"/>
            <w:vAlign w:val="center"/>
            <w:hideMark/>
          </w:tcPr>
          <w:p w14:paraId="0D3F3155"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21.8</w:t>
            </w:r>
          </w:p>
        </w:tc>
        <w:tc>
          <w:tcPr>
            <w:tcW w:w="0" w:type="auto"/>
            <w:tcBorders>
              <w:top w:val="nil"/>
              <w:left w:val="nil"/>
              <w:bottom w:val="single" w:sz="4" w:space="0" w:color="ED712C"/>
              <w:right w:val="single" w:sz="4" w:space="0" w:color="ED712C"/>
            </w:tcBorders>
            <w:shd w:val="clear" w:color="auto" w:fill="auto"/>
            <w:vAlign w:val="center"/>
            <w:hideMark/>
          </w:tcPr>
          <w:p w14:paraId="4C543F6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25.5%</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2497135F"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21.8</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69A0B9F4"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14.51%</w:t>
            </w:r>
          </w:p>
        </w:tc>
        <w:tc>
          <w:tcPr>
            <w:tcW w:w="0" w:type="auto"/>
            <w:tcBorders>
              <w:top w:val="nil"/>
              <w:left w:val="nil"/>
              <w:bottom w:val="single" w:sz="4" w:space="0" w:color="ED712C"/>
              <w:right w:val="single" w:sz="4" w:space="0" w:color="ED712C"/>
            </w:tcBorders>
            <w:shd w:val="clear" w:color="000000" w:fill="FFFFFF"/>
            <w:vAlign w:val="center"/>
            <w:hideMark/>
          </w:tcPr>
          <w:p w14:paraId="560AA4B9" w14:textId="2D082FA8"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8" behindDoc="0" locked="0" layoutInCell="1" allowOverlap="1" wp14:anchorId="129665F0" wp14:editId="010F71DB">
                  <wp:simplePos x="0" y="0"/>
                  <wp:positionH relativeFrom="column">
                    <wp:posOffset>67945</wp:posOffset>
                  </wp:positionH>
                  <wp:positionV relativeFrom="paragraph">
                    <wp:posOffset>12065</wp:posOffset>
                  </wp:positionV>
                  <wp:extent cx="292100" cy="241300"/>
                  <wp:effectExtent l="0" t="0" r="0" b="6350"/>
                  <wp:wrapNone/>
                  <wp:docPr id="8" name="Picture 25" descr="P560C164T8#y1">
                    <a:extLst xmlns:a="http://schemas.openxmlformats.org/drawingml/2006/main">
                      <a:ext uri="{FF2B5EF4-FFF2-40B4-BE49-F238E27FC236}">
                        <a16:creationId xmlns:a16="http://schemas.microsoft.com/office/drawing/2014/main" id="{6F8A938A-7FE9-4145-8DCB-222DAFAF4ACA}"/>
                      </a:ext>
                      <a:ext uri="{147F2762-F138-4A5C-976F-8EAC2B608ADB}">
                        <a16:predDERef xmlns:a16="http://schemas.microsoft.com/office/drawing/2014/main" pred="{A95D3A3D-9DF2-4BBC-B356-C8C81BA6BFA9}"/>
                      </a:ext>
                    </a:extLst>
                  </wp:docPr>
                  <wp:cNvGraphicFramePr/>
                  <a:graphic xmlns:a="http://schemas.openxmlformats.org/drawingml/2006/main">
                    <a:graphicData uri="http://schemas.openxmlformats.org/drawingml/2006/picture">
                      <pic:pic xmlns:pic="http://schemas.openxmlformats.org/drawingml/2006/picture">
                        <pic:nvPicPr>
                          <pic:cNvPr id="8" name="Picture 3" descr="P560C164T8#y1">
                            <a:extLst>
                              <a:ext uri="{FF2B5EF4-FFF2-40B4-BE49-F238E27FC236}">
                                <a16:creationId xmlns:a16="http://schemas.microsoft.com/office/drawing/2014/main" id="{6F8A938A-7FE9-4145-8DCB-222DAFAF4ACA}"/>
                              </a:ext>
                              <a:ext uri="{147F2762-F138-4A5C-976F-8EAC2B608ADB}">
                                <a16:predDERef xmlns:a16="http://schemas.microsoft.com/office/drawing/2014/main" pred="{A95D3A3D-9DF2-4BBC-B356-C8C81BA6BFA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46EF87CB" w14:textId="6277E7E5"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12.8 LA Av. 19.1 (June 2021)</w:t>
            </w:r>
          </w:p>
        </w:tc>
      </w:tr>
      <w:tr w:rsidR="007C1C9E" w:rsidRPr="007C1C9E" w14:paraId="059F0112" w14:textId="77777777" w:rsidTr="00340BE7">
        <w:trPr>
          <w:trHeight w:val="1305"/>
        </w:trPr>
        <w:tc>
          <w:tcPr>
            <w:tcW w:w="0" w:type="auto"/>
            <w:vMerge/>
            <w:tcBorders>
              <w:top w:val="nil"/>
              <w:left w:val="single" w:sz="4" w:space="0" w:color="ED712C"/>
              <w:bottom w:val="nil"/>
              <w:right w:val="nil"/>
            </w:tcBorders>
            <w:vAlign w:val="center"/>
            <w:hideMark/>
          </w:tcPr>
          <w:p w14:paraId="2A08C2D1"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ED712C"/>
              <w:right w:val="single" w:sz="4" w:space="0" w:color="ED712C"/>
            </w:tcBorders>
            <w:shd w:val="clear" w:color="auto" w:fill="auto"/>
            <w:vAlign w:val="center"/>
            <w:hideMark/>
          </w:tcPr>
          <w:p w14:paraId="2D26A35E"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PH-005</w:t>
            </w:r>
          </w:p>
        </w:tc>
        <w:tc>
          <w:tcPr>
            <w:tcW w:w="0" w:type="auto"/>
            <w:tcBorders>
              <w:top w:val="nil"/>
              <w:left w:val="nil"/>
              <w:bottom w:val="single" w:sz="4" w:space="0" w:color="ED712C"/>
              <w:right w:val="single" w:sz="4" w:space="0" w:color="ED712C"/>
            </w:tcBorders>
            <w:shd w:val="clear" w:color="auto" w:fill="auto"/>
            <w:vAlign w:val="center"/>
            <w:hideMark/>
          </w:tcPr>
          <w:p w14:paraId="3E562604"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infants being breastfed at 6-8 weeks</w:t>
            </w:r>
          </w:p>
        </w:tc>
        <w:tc>
          <w:tcPr>
            <w:tcW w:w="0" w:type="auto"/>
            <w:tcBorders>
              <w:top w:val="nil"/>
              <w:left w:val="nil"/>
              <w:bottom w:val="single" w:sz="4" w:space="0" w:color="ED712C"/>
              <w:right w:val="single" w:sz="4" w:space="0" w:color="ED712C"/>
            </w:tcBorders>
            <w:shd w:val="clear" w:color="auto" w:fill="auto"/>
            <w:vAlign w:val="center"/>
            <w:hideMark/>
          </w:tcPr>
          <w:p w14:paraId="09FD2B4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507191F0"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92D050"/>
            <w:vAlign w:val="center"/>
            <w:hideMark/>
          </w:tcPr>
          <w:p w14:paraId="2FF893E8"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32.6%</w:t>
            </w:r>
          </w:p>
        </w:tc>
        <w:tc>
          <w:tcPr>
            <w:tcW w:w="0" w:type="auto"/>
            <w:tcBorders>
              <w:top w:val="nil"/>
              <w:left w:val="nil"/>
              <w:bottom w:val="single" w:sz="4" w:space="0" w:color="ED712C"/>
              <w:right w:val="single" w:sz="4" w:space="0" w:color="ED712C"/>
            </w:tcBorders>
            <w:shd w:val="clear" w:color="auto" w:fill="auto"/>
            <w:vAlign w:val="center"/>
            <w:hideMark/>
          </w:tcPr>
          <w:p w14:paraId="6E4EFE73"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33%</w:t>
            </w:r>
          </w:p>
        </w:tc>
        <w:tc>
          <w:tcPr>
            <w:tcW w:w="97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5F4DA505"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37.4</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35A2800F" w14:textId="77777777" w:rsidR="007C1C9E" w:rsidRPr="007C1C9E" w:rsidRDefault="007C1C9E" w:rsidP="007C1C9E">
            <w:pPr>
              <w:spacing w:after="0" w:line="240" w:lineRule="auto"/>
              <w:jc w:val="center"/>
              <w:rPr>
                <w:rFonts w:ascii="Arial" w:eastAsia="Times New Roman" w:hAnsi="Arial" w:cs="Arial"/>
                <w:color w:val="00B050"/>
                <w:sz w:val="20"/>
                <w:szCs w:val="20"/>
                <w:lang w:eastAsia="en-GB"/>
              </w:rPr>
            </w:pPr>
            <w:r w:rsidRPr="007C1C9E">
              <w:rPr>
                <w:rFonts w:ascii="Arial" w:eastAsia="Times New Roman" w:hAnsi="Arial" w:cs="Arial"/>
                <w:color w:val="00B050"/>
                <w:sz w:val="20"/>
                <w:szCs w:val="20"/>
                <w:lang w:eastAsia="en-GB"/>
              </w:rPr>
              <w:t>13.33%</w:t>
            </w:r>
          </w:p>
        </w:tc>
        <w:tc>
          <w:tcPr>
            <w:tcW w:w="0" w:type="auto"/>
            <w:tcBorders>
              <w:top w:val="nil"/>
              <w:left w:val="nil"/>
              <w:bottom w:val="single" w:sz="4" w:space="0" w:color="ED712C"/>
              <w:right w:val="single" w:sz="4" w:space="0" w:color="ED712C"/>
            </w:tcBorders>
            <w:shd w:val="clear" w:color="000000" w:fill="FFFFFF"/>
            <w:vAlign w:val="center"/>
            <w:hideMark/>
          </w:tcPr>
          <w:p w14:paraId="3617843C" w14:textId="09A4CCBC"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3" behindDoc="0" locked="0" layoutInCell="1" allowOverlap="1" wp14:anchorId="2ED1755D" wp14:editId="33EF8A3D">
                  <wp:simplePos x="0" y="0"/>
                  <wp:positionH relativeFrom="column">
                    <wp:posOffset>39370</wp:posOffset>
                  </wp:positionH>
                  <wp:positionV relativeFrom="paragraph">
                    <wp:posOffset>-34925</wp:posOffset>
                  </wp:positionV>
                  <wp:extent cx="292100" cy="247650"/>
                  <wp:effectExtent l="0" t="0" r="0" b="0"/>
                  <wp:wrapNone/>
                  <wp:docPr id="45" name="Picture 26" descr="P572C174T8#y1">
                    <a:extLst xmlns:a="http://schemas.openxmlformats.org/drawingml/2006/main">
                      <a:ext uri="{FF2B5EF4-FFF2-40B4-BE49-F238E27FC236}">
                        <a16:creationId xmlns:a16="http://schemas.microsoft.com/office/drawing/2014/main" id="{B9B8F47A-7085-43C5-A45A-D2B022316A0C}"/>
                      </a:ext>
                      <a:ext uri="{147F2762-F138-4A5C-976F-8EAC2B608ADB}">
                        <a16:predDERef xmlns:a16="http://schemas.microsoft.com/office/drawing/2014/main" pred="{3B27C17B-5ABB-4723-9F6E-8C664648CEAC}"/>
                      </a:ext>
                    </a:extLst>
                  </wp:docPr>
                  <wp:cNvGraphicFramePr/>
                  <a:graphic xmlns:a="http://schemas.openxmlformats.org/drawingml/2006/main">
                    <a:graphicData uri="http://schemas.openxmlformats.org/drawingml/2006/picture">
                      <pic:pic xmlns:pic="http://schemas.openxmlformats.org/drawingml/2006/picture">
                        <pic:nvPicPr>
                          <pic:cNvPr id="45" name="Picture 2" descr="P572C174T8#y1">
                            <a:extLst>
                              <a:ext uri="{FF2B5EF4-FFF2-40B4-BE49-F238E27FC236}">
                                <a16:creationId xmlns:a16="http://schemas.microsoft.com/office/drawing/2014/main" id="{B9B8F47A-7085-43C5-A45A-D2B022316A0C}"/>
                              </a:ext>
                              <a:ext uri="{147F2762-F138-4A5C-976F-8EAC2B608ADB}">
                                <a16:predDERef xmlns:a16="http://schemas.microsoft.com/office/drawing/2014/main" pred="{3B27C17B-5ABB-4723-9F6E-8C664648CEA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0000"/>
            <w:vAlign w:val="center"/>
            <w:hideMark/>
          </w:tcPr>
          <w:p w14:paraId="7F734EB2" w14:textId="7CD81B86"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49.2 LA Av. 35.7 (2022/23)</w:t>
            </w:r>
          </w:p>
        </w:tc>
      </w:tr>
      <w:tr w:rsidR="007C1C9E" w:rsidRPr="007C1C9E" w14:paraId="10962327" w14:textId="77777777" w:rsidTr="00340BE7">
        <w:trPr>
          <w:trHeight w:val="1305"/>
        </w:trPr>
        <w:tc>
          <w:tcPr>
            <w:tcW w:w="0" w:type="auto"/>
            <w:vMerge/>
            <w:tcBorders>
              <w:top w:val="nil"/>
              <w:left w:val="single" w:sz="4" w:space="0" w:color="ED712C"/>
              <w:bottom w:val="nil"/>
              <w:right w:val="nil"/>
            </w:tcBorders>
            <w:vAlign w:val="center"/>
            <w:hideMark/>
          </w:tcPr>
          <w:p w14:paraId="3FF8D380"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ED712C"/>
              <w:right w:val="single" w:sz="4" w:space="0" w:color="ED712C"/>
            </w:tcBorders>
            <w:shd w:val="clear" w:color="auto" w:fill="auto"/>
            <w:vAlign w:val="center"/>
            <w:hideMark/>
          </w:tcPr>
          <w:p w14:paraId="47D6A5AC"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PH-008</w:t>
            </w:r>
          </w:p>
        </w:tc>
        <w:tc>
          <w:tcPr>
            <w:tcW w:w="0" w:type="auto"/>
            <w:tcBorders>
              <w:top w:val="nil"/>
              <w:left w:val="nil"/>
              <w:bottom w:val="single" w:sz="4" w:space="0" w:color="ED712C"/>
              <w:right w:val="single" w:sz="4" w:space="0" w:color="ED712C"/>
            </w:tcBorders>
            <w:shd w:val="clear" w:color="auto" w:fill="auto"/>
            <w:vAlign w:val="center"/>
            <w:hideMark/>
          </w:tcPr>
          <w:p w14:paraId="109E9EF7"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Percentage of children aged 5 with MMR vaccination (2 doses)</w:t>
            </w:r>
          </w:p>
        </w:tc>
        <w:tc>
          <w:tcPr>
            <w:tcW w:w="0" w:type="auto"/>
            <w:tcBorders>
              <w:top w:val="nil"/>
              <w:left w:val="nil"/>
              <w:bottom w:val="single" w:sz="4" w:space="0" w:color="ED712C"/>
              <w:right w:val="single" w:sz="4" w:space="0" w:color="ED712C"/>
            </w:tcBorders>
            <w:shd w:val="clear" w:color="auto" w:fill="auto"/>
            <w:vAlign w:val="center"/>
            <w:hideMark/>
          </w:tcPr>
          <w:p w14:paraId="3045174A"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659B362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Higher</w:t>
            </w:r>
          </w:p>
        </w:tc>
        <w:tc>
          <w:tcPr>
            <w:tcW w:w="0" w:type="auto"/>
            <w:tcBorders>
              <w:top w:val="nil"/>
              <w:left w:val="nil"/>
              <w:bottom w:val="single" w:sz="4" w:space="0" w:color="ED712C"/>
              <w:right w:val="single" w:sz="4" w:space="0" w:color="ED712C"/>
            </w:tcBorders>
            <w:shd w:val="clear" w:color="000000" w:fill="FFC000"/>
            <w:vAlign w:val="center"/>
            <w:hideMark/>
          </w:tcPr>
          <w:p w14:paraId="0E78EF2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88.9%</w:t>
            </w:r>
          </w:p>
        </w:tc>
        <w:tc>
          <w:tcPr>
            <w:tcW w:w="0" w:type="auto"/>
            <w:tcBorders>
              <w:top w:val="nil"/>
              <w:left w:val="nil"/>
              <w:bottom w:val="single" w:sz="4" w:space="0" w:color="ED712C"/>
              <w:right w:val="single" w:sz="4" w:space="0" w:color="ED712C"/>
            </w:tcBorders>
            <w:shd w:val="clear" w:color="auto" w:fill="auto"/>
            <w:vAlign w:val="center"/>
            <w:hideMark/>
          </w:tcPr>
          <w:p w14:paraId="507A759E"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90%</w:t>
            </w:r>
          </w:p>
        </w:tc>
        <w:tc>
          <w:tcPr>
            <w:tcW w:w="971" w:type="dxa"/>
            <w:tcBorders>
              <w:top w:val="single" w:sz="4" w:space="0" w:color="ED712C"/>
              <w:left w:val="single" w:sz="4" w:space="0" w:color="ED712C"/>
              <w:bottom w:val="single" w:sz="4" w:space="0" w:color="ED712C"/>
              <w:right w:val="single" w:sz="4" w:space="0" w:color="ED712C"/>
            </w:tcBorders>
            <w:shd w:val="clear" w:color="000000" w:fill="FFC000"/>
            <w:vAlign w:val="center"/>
            <w:hideMark/>
          </w:tcPr>
          <w:p w14:paraId="46424576"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86.7</w:t>
            </w:r>
          </w:p>
        </w:tc>
        <w:tc>
          <w:tcPr>
            <w:tcW w:w="1021"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114890D5" w14:textId="77777777" w:rsidR="007C1C9E" w:rsidRPr="007C1C9E" w:rsidRDefault="007C1C9E" w:rsidP="007C1C9E">
            <w:pPr>
              <w:spacing w:after="0" w:line="240" w:lineRule="auto"/>
              <w:jc w:val="center"/>
              <w:rPr>
                <w:rFonts w:ascii="Arial" w:eastAsia="Times New Roman" w:hAnsi="Arial" w:cs="Arial"/>
                <w:color w:val="FF0000"/>
                <w:sz w:val="20"/>
                <w:szCs w:val="20"/>
                <w:lang w:eastAsia="en-GB"/>
              </w:rPr>
            </w:pPr>
            <w:r w:rsidRPr="00F542C4">
              <w:rPr>
                <w:rFonts w:ascii="Arial" w:eastAsia="Times New Roman" w:hAnsi="Arial" w:cs="Arial"/>
                <w:sz w:val="20"/>
                <w:szCs w:val="20"/>
                <w:lang w:eastAsia="en-GB"/>
              </w:rPr>
              <w:t>-3.67%</w:t>
            </w:r>
          </w:p>
        </w:tc>
        <w:tc>
          <w:tcPr>
            <w:tcW w:w="0" w:type="auto"/>
            <w:tcBorders>
              <w:top w:val="nil"/>
              <w:left w:val="nil"/>
              <w:bottom w:val="single" w:sz="4" w:space="0" w:color="ED712C"/>
              <w:right w:val="single" w:sz="4" w:space="0" w:color="ED712C"/>
            </w:tcBorders>
            <w:shd w:val="clear" w:color="000000" w:fill="FFFFFF"/>
            <w:vAlign w:val="center"/>
            <w:hideMark/>
          </w:tcPr>
          <w:p w14:paraId="27E8F0CE" w14:textId="3AD2480D"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noProof/>
                <w:color w:val="000000"/>
                <w:sz w:val="20"/>
                <w:szCs w:val="20"/>
                <w:lang w:eastAsia="en-GB"/>
              </w:rPr>
              <w:drawing>
                <wp:anchor distT="0" distB="0" distL="114300" distR="114300" simplePos="0" relativeHeight="251658269" behindDoc="0" locked="0" layoutInCell="1" allowOverlap="1" wp14:anchorId="34904E12" wp14:editId="54795321">
                  <wp:simplePos x="0" y="0"/>
                  <wp:positionH relativeFrom="column">
                    <wp:posOffset>69850</wp:posOffset>
                  </wp:positionH>
                  <wp:positionV relativeFrom="paragraph">
                    <wp:posOffset>-18415</wp:posOffset>
                  </wp:positionV>
                  <wp:extent cx="292100" cy="247650"/>
                  <wp:effectExtent l="0" t="0" r="0" b="0"/>
                  <wp:wrapNone/>
                  <wp:docPr id="9" name="Picture 27" descr="P584C184T8#y1">
                    <a:extLst xmlns:a="http://schemas.openxmlformats.org/drawingml/2006/main">
                      <a:ext uri="{FF2B5EF4-FFF2-40B4-BE49-F238E27FC236}">
                        <a16:creationId xmlns:a16="http://schemas.microsoft.com/office/drawing/2014/main" id="{7EB18332-D81A-4907-B2D7-91B525B6AA2B}"/>
                      </a:ext>
                      <a:ext uri="{147F2762-F138-4A5C-976F-8EAC2B608ADB}">
                        <a16:predDERef xmlns:a16="http://schemas.microsoft.com/office/drawing/2014/main" pred="{A95D3A3D-9DF2-4BBC-B356-C8C81BA6BFA9}"/>
                      </a:ext>
                    </a:extLst>
                  </wp:docPr>
                  <wp:cNvGraphicFramePr/>
                  <a:graphic xmlns:a="http://schemas.openxmlformats.org/drawingml/2006/main">
                    <a:graphicData uri="http://schemas.openxmlformats.org/drawingml/2006/picture">
                      <pic:pic xmlns:pic="http://schemas.openxmlformats.org/drawingml/2006/picture">
                        <pic:nvPicPr>
                          <pic:cNvPr id="9" name="Picture 1" descr="P584C184T8#y1">
                            <a:extLst>
                              <a:ext uri="{FF2B5EF4-FFF2-40B4-BE49-F238E27FC236}">
                                <a16:creationId xmlns:a16="http://schemas.microsoft.com/office/drawing/2014/main" id="{7EB18332-D81A-4907-B2D7-91B525B6AA2B}"/>
                              </a:ext>
                              <a:ext uri="{147F2762-F138-4A5C-976F-8EAC2B608ADB}">
                                <a16:predDERef xmlns:a16="http://schemas.microsoft.com/office/drawing/2014/main" pred="{A95D3A3D-9DF2-4BBC-B356-C8C81BA6BFA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000000" w:fill="FFC000"/>
            <w:vAlign w:val="center"/>
            <w:hideMark/>
          </w:tcPr>
          <w:p w14:paraId="539B86FB" w14:textId="18A2DBAD"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3rd Quartile  Eng Av. 84.5   LA Av. 88.3 (2022/23)</w:t>
            </w:r>
          </w:p>
        </w:tc>
      </w:tr>
      <w:tr w:rsidR="007C1C9E" w:rsidRPr="007C1C9E" w14:paraId="72B739F8" w14:textId="77777777" w:rsidTr="00340BE7">
        <w:trPr>
          <w:trHeight w:val="1305"/>
        </w:trPr>
        <w:tc>
          <w:tcPr>
            <w:tcW w:w="0" w:type="auto"/>
            <w:vMerge/>
            <w:tcBorders>
              <w:top w:val="nil"/>
              <w:left w:val="single" w:sz="4" w:space="0" w:color="ED712C"/>
              <w:bottom w:val="nil"/>
              <w:right w:val="nil"/>
            </w:tcBorders>
            <w:vAlign w:val="center"/>
            <w:hideMark/>
          </w:tcPr>
          <w:p w14:paraId="6ACF4C15"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ED712C"/>
              <w:right w:val="single" w:sz="4" w:space="0" w:color="ED712C"/>
            </w:tcBorders>
            <w:shd w:val="clear" w:color="auto" w:fill="auto"/>
            <w:vAlign w:val="center"/>
            <w:hideMark/>
          </w:tcPr>
          <w:p w14:paraId="2DA6B552"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CYP-013</w:t>
            </w:r>
          </w:p>
        </w:tc>
        <w:tc>
          <w:tcPr>
            <w:tcW w:w="0" w:type="auto"/>
            <w:tcBorders>
              <w:top w:val="nil"/>
              <w:left w:val="nil"/>
              <w:bottom w:val="single" w:sz="4" w:space="0" w:color="ED712C"/>
              <w:right w:val="single" w:sz="4" w:space="0" w:color="ED712C"/>
            </w:tcBorders>
            <w:shd w:val="clear" w:color="auto" w:fill="auto"/>
            <w:vAlign w:val="center"/>
            <w:hideMark/>
          </w:tcPr>
          <w:p w14:paraId="6F86CFA5"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Number of first-time entrants to the youth justice system who receive their first substantive outcome or court disposal per 100,000 population aged 10-17</w:t>
            </w:r>
          </w:p>
        </w:tc>
        <w:tc>
          <w:tcPr>
            <w:tcW w:w="0" w:type="auto"/>
            <w:tcBorders>
              <w:top w:val="nil"/>
              <w:left w:val="nil"/>
              <w:bottom w:val="single" w:sz="4" w:space="0" w:color="ED712C"/>
              <w:right w:val="single" w:sz="4" w:space="0" w:color="ED712C"/>
            </w:tcBorders>
            <w:shd w:val="clear" w:color="auto" w:fill="auto"/>
            <w:vAlign w:val="center"/>
            <w:hideMark/>
          </w:tcPr>
          <w:p w14:paraId="21D8EA60"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 (lagged)</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19A41B0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FF0000"/>
            <w:vAlign w:val="center"/>
            <w:hideMark/>
          </w:tcPr>
          <w:p w14:paraId="47AE81B6"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175</w:t>
            </w:r>
          </w:p>
        </w:tc>
        <w:tc>
          <w:tcPr>
            <w:tcW w:w="0" w:type="auto"/>
            <w:tcBorders>
              <w:top w:val="nil"/>
              <w:left w:val="nil"/>
              <w:bottom w:val="single" w:sz="4" w:space="0" w:color="ED712C"/>
              <w:right w:val="single" w:sz="4" w:space="0" w:color="ED712C"/>
            </w:tcBorders>
            <w:shd w:val="clear" w:color="auto" w:fill="auto"/>
            <w:vAlign w:val="center"/>
            <w:hideMark/>
          </w:tcPr>
          <w:p w14:paraId="0CB3019B"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155</w:t>
            </w:r>
          </w:p>
        </w:tc>
        <w:tc>
          <w:tcPr>
            <w:tcW w:w="971" w:type="dxa"/>
            <w:tcBorders>
              <w:top w:val="single" w:sz="4" w:space="0" w:color="ED712C"/>
              <w:left w:val="single" w:sz="4" w:space="0" w:color="ED712C"/>
              <w:bottom w:val="single" w:sz="4" w:space="0" w:color="ED712C"/>
              <w:right w:val="single" w:sz="4" w:space="0" w:color="ED712C"/>
            </w:tcBorders>
            <w:shd w:val="clear" w:color="000000" w:fill="FFFFFF"/>
            <w:vAlign w:val="center"/>
            <w:hideMark/>
          </w:tcPr>
          <w:p w14:paraId="2BF6AF76" w14:textId="23CBA2B0" w:rsidR="007C1C9E" w:rsidRPr="007C1C9E" w:rsidRDefault="00340BE7" w:rsidP="007C1C9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Q1 Data to be reported in Q2</w:t>
            </w:r>
          </w:p>
        </w:tc>
        <w:tc>
          <w:tcPr>
            <w:tcW w:w="1021" w:type="dxa"/>
            <w:tcBorders>
              <w:top w:val="single" w:sz="4" w:space="0" w:color="ED712C"/>
              <w:left w:val="single" w:sz="4" w:space="0" w:color="ED712C"/>
              <w:bottom w:val="single" w:sz="4" w:space="0" w:color="ED712C"/>
              <w:right w:val="single" w:sz="4" w:space="0" w:color="ED712C"/>
            </w:tcBorders>
            <w:shd w:val="clear" w:color="FFFFFF" w:fill="FFFFFF"/>
            <w:vAlign w:val="center"/>
            <w:hideMark/>
          </w:tcPr>
          <w:p w14:paraId="2E4F8E99" w14:textId="087A0299" w:rsidR="007C1C9E" w:rsidRPr="007C1C9E" w:rsidRDefault="00340BE7" w:rsidP="007C1C9E">
            <w:pPr>
              <w:spacing w:after="0" w:line="240" w:lineRule="auto"/>
              <w:jc w:val="center"/>
              <w:rPr>
                <w:rFonts w:ascii="Arial" w:eastAsia="Times New Roman" w:hAnsi="Arial" w:cs="Arial"/>
                <w:sz w:val="20"/>
                <w:szCs w:val="20"/>
                <w:lang w:eastAsia="en-GB"/>
              </w:rPr>
            </w:pPr>
            <w:r w:rsidRPr="00340BE7">
              <w:rPr>
                <w:rFonts w:ascii="Arial" w:eastAsia="Times New Roman" w:hAnsi="Arial" w:cs="Arial"/>
                <w:sz w:val="20"/>
                <w:szCs w:val="20"/>
                <w:lang w:eastAsia="en-GB"/>
              </w:rPr>
              <w:t>N/A</w:t>
            </w:r>
          </w:p>
        </w:tc>
        <w:tc>
          <w:tcPr>
            <w:tcW w:w="0" w:type="auto"/>
            <w:tcBorders>
              <w:top w:val="nil"/>
              <w:left w:val="nil"/>
              <w:bottom w:val="single" w:sz="4" w:space="0" w:color="ED712C"/>
              <w:right w:val="single" w:sz="4" w:space="0" w:color="ED712C"/>
            </w:tcBorders>
            <w:shd w:val="clear" w:color="000000" w:fill="FFFFFF"/>
            <w:vAlign w:val="center"/>
            <w:hideMark/>
          </w:tcPr>
          <w:p w14:paraId="3D1E4405" w14:textId="5985C780"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 </w:t>
            </w:r>
            <w:r w:rsidR="00340BE7" w:rsidRPr="00340BE7">
              <w:rPr>
                <w:rFonts w:ascii="Arial" w:eastAsia="Times New Roman" w:hAnsi="Arial" w:cs="Arial"/>
                <w:sz w:val="20"/>
                <w:szCs w:val="20"/>
                <w:lang w:eastAsia="en-GB"/>
              </w:rPr>
              <w:t>N/A</w:t>
            </w:r>
          </w:p>
        </w:tc>
        <w:tc>
          <w:tcPr>
            <w:tcW w:w="0" w:type="auto"/>
            <w:tcBorders>
              <w:top w:val="nil"/>
              <w:left w:val="nil"/>
              <w:bottom w:val="single" w:sz="4" w:space="0" w:color="ED712C"/>
              <w:right w:val="single" w:sz="4" w:space="0" w:color="ED712C"/>
            </w:tcBorders>
            <w:shd w:val="clear" w:color="000000" w:fill="FFFF00"/>
            <w:vAlign w:val="center"/>
            <w:hideMark/>
          </w:tcPr>
          <w:p w14:paraId="05FA69BD"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2nd Quartile Eng Av. 169.2    LA Av. 188 (2023)</w:t>
            </w:r>
          </w:p>
        </w:tc>
      </w:tr>
      <w:tr w:rsidR="007C1C9E" w:rsidRPr="007C1C9E" w14:paraId="42BF0968" w14:textId="77777777" w:rsidTr="00340BE7">
        <w:trPr>
          <w:trHeight w:val="1305"/>
        </w:trPr>
        <w:tc>
          <w:tcPr>
            <w:tcW w:w="0" w:type="auto"/>
            <w:vMerge/>
            <w:tcBorders>
              <w:top w:val="nil"/>
              <w:left w:val="single" w:sz="4" w:space="0" w:color="ED712C"/>
              <w:bottom w:val="nil"/>
              <w:right w:val="nil"/>
            </w:tcBorders>
            <w:vAlign w:val="center"/>
            <w:hideMark/>
          </w:tcPr>
          <w:p w14:paraId="7A37D5C7" w14:textId="77777777" w:rsidR="007C1C9E" w:rsidRPr="007C1C9E" w:rsidRDefault="007C1C9E" w:rsidP="007C1C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ED712C"/>
              <w:right w:val="single" w:sz="4" w:space="0" w:color="ED712C"/>
            </w:tcBorders>
            <w:shd w:val="clear" w:color="auto" w:fill="auto"/>
            <w:vAlign w:val="center"/>
            <w:hideMark/>
          </w:tcPr>
          <w:p w14:paraId="4B1128B5"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CYP-014</w:t>
            </w:r>
          </w:p>
        </w:tc>
        <w:tc>
          <w:tcPr>
            <w:tcW w:w="0" w:type="auto"/>
            <w:tcBorders>
              <w:top w:val="nil"/>
              <w:left w:val="nil"/>
              <w:bottom w:val="single" w:sz="4" w:space="0" w:color="ED712C"/>
              <w:right w:val="single" w:sz="4" w:space="0" w:color="ED712C"/>
            </w:tcBorders>
            <w:shd w:val="clear" w:color="auto" w:fill="auto"/>
            <w:vAlign w:val="center"/>
            <w:hideMark/>
          </w:tcPr>
          <w:p w14:paraId="6C537381" w14:textId="77777777" w:rsidR="007C1C9E" w:rsidRPr="007C1C9E" w:rsidRDefault="007C1C9E" w:rsidP="007C1C9E">
            <w:pPr>
              <w:spacing w:after="0" w:line="240" w:lineRule="auto"/>
              <w:rPr>
                <w:rFonts w:ascii="Arial" w:eastAsia="Times New Roman" w:hAnsi="Arial" w:cs="Arial"/>
                <w:sz w:val="20"/>
                <w:szCs w:val="20"/>
                <w:lang w:eastAsia="en-GB"/>
              </w:rPr>
            </w:pPr>
            <w:r w:rsidRPr="007C1C9E">
              <w:rPr>
                <w:rFonts w:ascii="Arial" w:eastAsia="Times New Roman" w:hAnsi="Arial" w:cs="Arial"/>
                <w:sz w:val="20"/>
                <w:szCs w:val="20"/>
                <w:lang w:eastAsia="en-GB"/>
              </w:rPr>
              <w:t>The percentage of children re-offending</w:t>
            </w:r>
          </w:p>
        </w:tc>
        <w:tc>
          <w:tcPr>
            <w:tcW w:w="0" w:type="auto"/>
            <w:tcBorders>
              <w:top w:val="nil"/>
              <w:left w:val="nil"/>
              <w:bottom w:val="single" w:sz="4" w:space="0" w:color="ED712C"/>
              <w:right w:val="single" w:sz="4" w:space="0" w:color="ED712C"/>
            </w:tcBorders>
            <w:shd w:val="clear" w:color="auto" w:fill="auto"/>
            <w:vAlign w:val="center"/>
            <w:hideMark/>
          </w:tcPr>
          <w:p w14:paraId="58830E34"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Quarterly (lagged)</w:t>
            </w:r>
          </w:p>
        </w:tc>
        <w:tc>
          <w:tcPr>
            <w:tcW w:w="0" w:type="auto"/>
            <w:tcBorders>
              <w:top w:val="nil"/>
              <w:left w:val="single" w:sz="4" w:space="0" w:color="ED712C"/>
              <w:bottom w:val="single" w:sz="4" w:space="0" w:color="ED712C"/>
              <w:right w:val="single" w:sz="4" w:space="0" w:color="ED712C"/>
            </w:tcBorders>
            <w:shd w:val="clear" w:color="000000" w:fill="FFFFFF"/>
            <w:vAlign w:val="center"/>
            <w:hideMark/>
          </w:tcPr>
          <w:p w14:paraId="36C4C1EC"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Lower</w:t>
            </w:r>
          </w:p>
        </w:tc>
        <w:tc>
          <w:tcPr>
            <w:tcW w:w="0" w:type="auto"/>
            <w:tcBorders>
              <w:top w:val="nil"/>
              <w:left w:val="nil"/>
              <w:bottom w:val="single" w:sz="4" w:space="0" w:color="ED712C"/>
              <w:right w:val="single" w:sz="4" w:space="0" w:color="ED712C"/>
            </w:tcBorders>
            <w:shd w:val="clear" w:color="000000" w:fill="FFC000"/>
            <w:vAlign w:val="center"/>
            <w:hideMark/>
          </w:tcPr>
          <w:p w14:paraId="35505D31"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36.8%</w:t>
            </w:r>
          </w:p>
        </w:tc>
        <w:tc>
          <w:tcPr>
            <w:tcW w:w="0" w:type="auto"/>
            <w:tcBorders>
              <w:top w:val="nil"/>
              <w:left w:val="nil"/>
              <w:bottom w:val="single" w:sz="4" w:space="0" w:color="ED712C"/>
              <w:right w:val="single" w:sz="4" w:space="0" w:color="ED712C"/>
            </w:tcBorders>
            <w:shd w:val="clear" w:color="auto" w:fill="auto"/>
            <w:vAlign w:val="center"/>
            <w:hideMark/>
          </w:tcPr>
          <w:p w14:paraId="6713EE33" w14:textId="77777777" w:rsidR="007C1C9E" w:rsidRPr="007C1C9E" w:rsidRDefault="007C1C9E" w:rsidP="007C1C9E">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color w:val="000000"/>
                <w:sz w:val="20"/>
                <w:szCs w:val="20"/>
                <w:lang w:eastAsia="en-GB"/>
              </w:rPr>
              <w:t>34%</w:t>
            </w:r>
          </w:p>
        </w:tc>
        <w:tc>
          <w:tcPr>
            <w:tcW w:w="971" w:type="dxa"/>
            <w:tcBorders>
              <w:top w:val="single" w:sz="4" w:space="0" w:color="ED712C"/>
              <w:left w:val="single" w:sz="4" w:space="0" w:color="ED712C"/>
              <w:bottom w:val="single" w:sz="4" w:space="0" w:color="ED712C"/>
              <w:right w:val="single" w:sz="4" w:space="0" w:color="ED712C"/>
            </w:tcBorders>
            <w:shd w:val="clear" w:color="000000" w:fill="FFFFFF"/>
            <w:vAlign w:val="center"/>
            <w:hideMark/>
          </w:tcPr>
          <w:p w14:paraId="3742C1CA" w14:textId="738320E8" w:rsidR="007C1C9E" w:rsidRPr="007C1C9E" w:rsidRDefault="00340BE7" w:rsidP="007C1C9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Q1 Data to be reported in Q2</w:t>
            </w:r>
          </w:p>
        </w:tc>
        <w:tc>
          <w:tcPr>
            <w:tcW w:w="1021" w:type="dxa"/>
            <w:tcBorders>
              <w:top w:val="single" w:sz="4" w:space="0" w:color="ED712C"/>
              <w:left w:val="single" w:sz="4" w:space="0" w:color="ED712C"/>
              <w:bottom w:val="single" w:sz="4" w:space="0" w:color="ED712C"/>
              <w:right w:val="single" w:sz="4" w:space="0" w:color="ED712C"/>
            </w:tcBorders>
            <w:shd w:val="clear" w:color="FFFFFF" w:fill="FFFFFF"/>
            <w:vAlign w:val="center"/>
            <w:hideMark/>
          </w:tcPr>
          <w:p w14:paraId="0BB05A57" w14:textId="247938D3" w:rsidR="007C1C9E" w:rsidRPr="007C1C9E" w:rsidRDefault="00340BE7" w:rsidP="007C1C9E">
            <w:pPr>
              <w:spacing w:after="0" w:line="240" w:lineRule="auto"/>
              <w:jc w:val="center"/>
              <w:rPr>
                <w:rFonts w:ascii="Arial" w:eastAsia="Times New Roman" w:hAnsi="Arial" w:cs="Arial"/>
                <w:sz w:val="20"/>
                <w:szCs w:val="20"/>
                <w:lang w:eastAsia="en-GB"/>
              </w:rPr>
            </w:pPr>
            <w:r w:rsidRPr="00340BE7">
              <w:rPr>
                <w:rFonts w:ascii="Arial" w:eastAsia="Times New Roman" w:hAnsi="Arial" w:cs="Arial"/>
                <w:sz w:val="20"/>
                <w:szCs w:val="20"/>
                <w:lang w:eastAsia="en-GB"/>
              </w:rPr>
              <w:t>N/A</w:t>
            </w:r>
          </w:p>
        </w:tc>
        <w:tc>
          <w:tcPr>
            <w:tcW w:w="0" w:type="auto"/>
            <w:tcBorders>
              <w:top w:val="nil"/>
              <w:left w:val="nil"/>
              <w:bottom w:val="single" w:sz="4" w:space="0" w:color="ED712C"/>
              <w:right w:val="single" w:sz="4" w:space="0" w:color="ED712C"/>
            </w:tcBorders>
            <w:shd w:val="clear" w:color="000000" w:fill="FFFFFF"/>
            <w:vAlign w:val="center"/>
            <w:hideMark/>
          </w:tcPr>
          <w:p w14:paraId="078684AA" w14:textId="1D23A431" w:rsidR="007C1C9E" w:rsidRPr="007C1C9E" w:rsidRDefault="00E05353" w:rsidP="00340BE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340BE7">
              <w:rPr>
                <w:rFonts w:ascii="Arial" w:eastAsia="Times New Roman" w:hAnsi="Arial" w:cs="Arial"/>
                <w:sz w:val="20"/>
                <w:szCs w:val="20"/>
                <w:lang w:eastAsia="en-GB"/>
              </w:rPr>
              <w:t>N/A</w:t>
            </w:r>
          </w:p>
        </w:tc>
        <w:tc>
          <w:tcPr>
            <w:tcW w:w="0" w:type="auto"/>
            <w:tcBorders>
              <w:top w:val="nil"/>
              <w:left w:val="nil"/>
              <w:bottom w:val="single" w:sz="4" w:space="0" w:color="ED712C"/>
              <w:right w:val="single" w:sz="4" w:space="0" w:color="ED712C"/>
            </w:tcBorders>
            <w:shd w:val="clear" w:color="000000" w:fill="FF0000"/>
            <w:vAlign w:val="center"/>
            <w:hideMark/>
          </w:tcPr>
          <w:p w14:paraId="574665DF" w14:textId="77777777" w:rsidR="007C1C9E" w:rsidRPr="007C1C9E" w:rsidRDefault="007C1C9E" w:rsidP="007C1C9E">
            <w:pPr>
              <w:spacing w:after="0" w:line="240" w:lineRule="auto"/>
              <w:jc w:val="center"/>
              <w:rPr>
                <w:rFonts w:ascii="Arial" w:eastAsia="Times New Roman" w:hAnsi="Arial" w:cs="Arial"/>
                <w:sz w:val="20"/>
                <w:szCs w:val="20"/>
                <w:lang w:eastAsia="en-GB"/>
              </w:rPr>
            </w:pPr>
            <w:r w:rsidRPr="007C1C9E">
              <w:rPr>
                <w:rFonts w:ascii="Arial" w:eastAsia="Times New Roman" w:hAnsi="Arial" w:cs="Arial"/>
                <w:sz w:val="20"/>
                <w:szCs w:val="20"/>
                <w:lang w:eastAsia="en-GB"/>
              </w:rPr>
              <w:t>4th Quartile Eng Av. 35.6 LA Av. 31.3 (2019)</w:t>
            </w:r>
          </w:p>
        </w:tc>
      </w:tr>
    </w:tbl>
    <w:p w14:paraId="070F55F7" w14:textId="77777777" w:rsidR="003A0E87" w:rsidRDefault="003A0E87" w:rsidP="00B0379D">
      <w:pPr>
        <w:spacing w:after="120" w:line="240" w:lineRule="auto"/>
        <w:rPr>
          <w:rFonts w:ascii="Arial" w:hAnsi="Arial" w:cs="Arial"/>
          <w:b/>
          <w:bCs/>
          <w:color w:val="E36C0A" w:themeColor="accent6" w:themeShade="BF"/>
          <w:sz w:val="32"/>
          <w:szCs w:val="32"/>
        </w:rPr>
      </w:pPr>
    </w:p>
    <w:p w14:paraId="765396C5" w14:textId="2EEB2344" w:rsidR="00B0379D" w:rsidRPr="00AA1DAD" w:rsidRDefault="00E75E6D" w:rsidP="00B0379D">
      <w:pPr>
        <w:spacing w:after="120" w:line="240" w:lineRule="auto"/>
        <w:rPr>
          <w:rFonts w:ascii="Arial" w:hAnsi="Arial" w:cs="Arial"/>
          <w:b/>
          <w:color w:val="E36C0A"/>
          <w:sz w:val="32"/>
          <w:szCs w:val="32"/>
        </w:rPr>
      </w:pPr>
      <w:r w:rsidRPr="0FCDD889">
        <w:rPr>
          <w:rFonts w:ascii="Arial" w:hAnsi="Arial" w:cs="Arial"/>
          <w:b/>
          <w:bCs/>
          <w:color w:val="E36C0A" w:themeColor="accent6" w:themeShade="BF"/>
          <w:sz w:val="32"/>
          <w:szCs w:val="32"/>
        </w:rPr>
        <w:t>Tier 2</w:t>
      </w:r>
    </w:p>
    <w:tbl>
      <w:tblPr>
        <w:tblW w:w="0" w:type="auto"/>
        <w:tblLook w:val="04A0" w:firstRow="1" w:lastRow="0" w:firstColumn="1" w:lastColumn="0" w:noHBand="0" w:noVBand="1"/>
      </w:tblPr>
      <w:tblGrid>
        <w:gridCol w:w="2363"/>
        <w:gridCol w:w="694"/>
        <w:gridCol w:w="3459"/>
        <w:gridCol w:w="1276"/>
        <w:gridCol w:w="1078"/>
        <w:gridCol w:w="950"/>
        <w:gridCol w:w="828"/>
        <w:gridCol w:w="1061"/>
        <w:gridCol w:w="1050"/>
        <w:gridCol w:w="856"/>
        <w:gridCol w:w="1773"/>
      </w:tblGrid>
      <w:tr w:rsidR="00187B10" w:rsidRPr="00187B10" w14:paraId="49D79C6D" w14:textId="77777777" w:rsidTr="00520244">
        <w:trPr>
          <w:trHeight w:val="420"/>
          <w:tblHeader/>
        </w:trPr>
        <w:tc>
          <w:tcPr>
            <w:tcW w:w="2363" w:type="dxa"/>
            <w:vMerge w:val="restart"/>
            <w:tcBorders>
              <w:top w:val="nil"/>
              <w:left w:val="single" w:sz="4" w:space="0" w:color="ED712C"/>
              <w:bottom w:val="single" w:sz="4" w:space="0" w:color="ED712C"/>
              <w:right w:val="single" w:sz="4" w:space="0" w:color="ED712C"/>
            </w:tcBorders>
            <w:shd w:val="clear" w:color="000000" w:fill="ED712C"/>
            <w:vAlign w:val="center"/>
            <w:hideMark/>
          </w:tcPr>
          <w:p w14:paraId="19669323"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Outcome</w:t>
            </w:r>
          </w:p>
        </w:tc>
        <w:tc>
          <w:tcPr>
            <w:tcW w:w="694"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0F2764CF"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Ref</w:t>
            </w:r>
          </w:p>
        </w:tc>
        <w:tc>
          <w:tcPr>
            <w:tcW w:w="3459"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75530A6D"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Performance Indicator</w:t>
            </w:r>
          </w:p>
        </w:tc>
        <w:tc>
          <w:tcPr>
            <w:tcW w:w="1276" w:type="dxa"/>
            <w:vMerge w:val="restart"/>
            <w:tcBorders>
              <w:top w:val="single" w:sz="4" w:space="0" w:color="ED712C"/>
              <w:left w:val="single" w:sz="4" w:space="0" w:color="ED712C"/>
              <w:bottom w:val="single" w:sz="4" w:space="0" w:color="ED712C"/>
              <w:right w:val="nil"/>
            </w:tcBorders>
            <w:shd w:val="clear" w:color="000000" w:fill="ED712C"/>
            <w:vAlign w:val="center"/>
            <w:hideMark/>
          </w:tcPr>
          <w:p w14:paraId="0DC3DE67"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Reporting Frequency</w:t>
            </w:r>
          </w:p>
        </w:tc>
        <w:tc>
          <w:tcPr>
            <w:tcW w:w="1078"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2E37D0FD"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Higher / Lower is better?</w:t>
            </w:r>
          </w:p>
        </w:tc>
        <w:tc>
          <w:tcPr>
            <w:tcW w:w="950" w:type="dxa"/>
            <w:vMerge w:val="restart"/>
            <w:tcBorders>
              <w:top w:val="single" w:sz="4" w:space="0" w:color="ED712C"/>
              <w:left w:val="nil"/>
              <w:bottom w:val="single" w:sz="4" w:space="0" w:color="ED712C"/>
              <w:right w:val="single" w:sz="4" w:space="0" w:color="ED712C"/>
            </w:tcBorders>
            <w:shd w:val="clear" w:color="000000" w:fill="ED712C"/>
            <w:vAlign w:val="center"/>
            <w:hideMark/>
          </w:tcPr>
          <w:p w14:paraId="2E593CE6" w14:textId="08927198"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2</w:t>
            </w:r>
            <w:r w:rsidR="00F6798E">
              <w:rPr>
                <w:rFonts w:ascii="Arial" w:eastAsia="Times New Roman" w:hAnsi="Arial" w:cs="Arial"/>
                <w:b/>
                <w:bCs/>
                <w:color w:val="FFFFFF"/>
                <w:sz w:val="20"/>
                <w:szCs w:val="20"/>
                <w:lang w:eastAsia="en-GB"/>
              </w:rPr>
              <w:t>3</w:t>
            </w:r>
            <w:r w:rsidRPr="00187B10">
              <w:rPr>
                <w:rFonts w:ascii="Arial" w:eastAsia="Times New Roman" w:hAnsi="Arial" w:cs="Arial"/>
                <w:b/>
                <w:bCs/>
                <w:color w:val="FFFFFF"/>
                <w:sz w:val="20"/>
                <w:szCs w:val="20"/>
                <w:lang w:eastAsia="en-GB"/>
              </w:rPr>
              <w:t>/2</w:t>
            </w:r>
            <w:r w:rsidR="00F6798E">
              <w:rPr>
                <w:rFonts w:ascii="Arial" w:eastAsia="Times New Roman" w:hAnsi="Arial" w:cs="Arial"/>
                <w:b/>
                <w:bCs/>
                <w:color w:val="FFFFFF"/>
                <w:sz w:val="20"/>
                <w:szCs w:val="20"/>
                <w:lang w:eastAsia="en-GB"/>
              </w:rPr>
              <w:t>4</w:t>
            </w:r>
            <w:r w:rsidRPr="00187B10">
              <w:rPr>
                <w:rFonts w:ascii="Arial" w:eastAsia="Times New Roman" w:hAnsi="Arial" w:cs="Arial"/>
                <w:b/>
                <w:bCs/>
                <w:color w:val="FFFFFF"/>
                <w:sz w:val="20"/>
                <w:szCs w:val="20"/>
                <w:lang w:eastAsia="en-GB"/>
              </w:rPr>
              <w:t xml:space="preserve"> Outturn</w:t>
            </w:r>
          </w:p>
        </w:tc>
        <w:tc>
          <w:tcPr>
            <w:tcW w:w="0" w:type="auto"/>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308205DE" w14:textId="58F0163E"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2</w:t>
            </w:r>
            <w:r w:rsidR="00F6798E">
              <w:rPr>
                <w:rFonts w:ascii="Arial" w:eastAsia="Times New Roman" w:hAnsi="Arial" w:cs="Arial"/>
                <w:b/>
                <w:bCs/>
                <w:color w:val="FFFFFF"/>
                <w:sz w:val="20"/>
                <w:szCs w:val="20"/>
                <w:lang w:eastAsia="en-GB"/>
              </w:rPr>
              <w:t>4</w:t>
            </w:r>
            <w:r w:rsidRPr="00187B10">
              <w:rPr>
                <w:rFonts w:ascii="Arial" w:eastAsia="Times New Roman" w:hAnsi="Arial" w:cs="Arial"/>
                <w:b/>
                <w:bCs/>
                <w:color w:val="FFFFFF"/>
                <w:sz w:val="20"/>
                <w:szCs w:val="20"/>
                <w:lang w:eastAsia="en-GB"/>
              </w:rPr>
              <w:t>/2</w:t>
            </w:r>
            <w:r w:rsidR="00F6798E">
              <w:rPr>
                <w:rFonts w:ascii="Arial" w:eastAsia="Times New Roman" w:hAnsi="Arial" w:cs="Arial"/>
                <w:b/>
                <w:bCs/>
                <w:color w:val="FFFFFF"/>
                <w:sz w:val="20"/>
                <w:szCs w:val="20"/>
                <w:lang w:eastAsia="en-GB"/>
              </w:rPr>
              <w:t>5</w:t>
            </w:r>
            <w:r w:rsidRPr="00187B10">
              <w:rPr>
                <w:rFonts w:ascii="Arial" w:eastAsia="Times New Roman" w:hAnsi="Arial" w:cs="Arial"/>
                <w:b/>
                <w:bCs/>
                <w:color w:val="FFFFFF"/>
                <w:sz w:val="20"/>
                <w:szCs w:val="20"/>
                <w:lang w:eastAsia="en-GB"/>
              </w:rPr>
              <w:t xml:space="preserve"> Target</w:t>
            </w:r>
          </w:p>
        </w:tc>
        <w:tc>
          <w:tcPr>
            <w:tcW w:w="1061" w:type="dxa"/>
            <w:tcBorders>
              <w:top w:val="single" w:sz="4" w:space="0" w:color="ED712C"/>
              <w:left w:val="nil"/>
              <w:bottom w:val="single" w:sz="4" w:space="0" w:color="ED712C"/>
              <w:right w:val="single" w:sz="4" w:space="0" w:color="ED712C"/>
            </w:tcBorders>
            <w:shd w:val="clear" w:color="000000" w:fill="ED712C"/>
            <w:vAlign w:val="center"/>
            <w:hideMark/>
          </w:tcPr>
          <w:p w14:paraId="20AE5082"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Q1</w:t>
            </w:r>
          </w:p>
        </w:tc>
        <w:tc>
          <w:tcPr>
            <w:tcW w:w="1050"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4A39C74A"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 Variance from Target (JUN)</w:t>
            </w:r>
          </w:p>
        </w:tc>
        <w:tc>
          <w:tcPr>
            <w:tcW w:w="856"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259F46E3"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Trend</w:t>
            </w:r>
          </w:p>
        </w:tc>
        <w:tc>
          <w:tcPr>
            <w:tcW w:w="1773" w:type="dxa"/>
            <w:vMerge w:val="restart"/>
            <w:tcBorders>
              <w:top w:val="single" w:sz="4" w:space="0" w:color="ED712C"/>
              <w:left w:val="single" w:sz="4" w:space="0" w:color="ED712C"/>
              <w:bottom w:val="single" w:sz="4" w:space="0" w:color="ED712C"/>
              <w:right w:val="single" w:sz="4" w:space="0" w:color="ED712C"/>
            </w:tcBorders>
            <w:shd w:val="clear" w:color="000000" w:fill="ED712C"/>
            <w:vAlign w:val="center"/>
            <w:hideMark/>
          </w:tcPr>
          <w:p w14:paraId="49F4A7D6"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Comparative Performance</w:t>
            </w:r>
          </w:p>
        </w:tc>
      </w:tr>
      <w:tr w:rsidR="00187B10" w:rsidRPr="00187B10" w14:paraId="41464B52" w14:textId="77777777" w:rsidTr="00520244">
        <w:trPr>
          <w:trHeight w:val="748"/>
        </w:trPr>
        <w:tc>
          <w:tcPr>
            <w:tcW w:w="2363" w:type="dxa"/>
            <w:vMerge/>
            <w:tcBorders>
              <w:top w:val="nil"/>
              <w:left w:val="single" w:sz="4" w:space="0" w:color="ED712C"/>
              <w:bottom w:val="single" w:sz="4" w:space="0" w:color="ED712C"/>
              <w:right w:val="single" w:sz="4" w:space="0" w:color="ED712C"/>
            </w:tcBorders>
            <w:vAlign w:val="center"/>
            <w:hideMark/>
          </w:tcPr>
          <w:p w14:paraId="6F98D9B6"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694" w:type="dxa"/>
            <w:vMerge/>
            <w:tcBorders>
              <w:top w:val="single" w:sz="4" w:space="0" w:color="ED712C"/>
              <w:left w:val="single" w:sz="4" w:space="0" w:color="ED712C"/>
              <w:bottom w:val="single" w:sz="4" w:space="0" w:color="ED712C"/>
              <w:right w:val="single" w:sz="4" w:space="0" w:color="ED712C"/>
            </w:tcBorders>
            <w:vAlign w:val="center"/>
            <w:hideMark/>
          </w:tcPr>
          <w:p w14:paraId="55E50C55"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3459" w:type="dxa"/>
            <w:vMerge/>
            <w:tcBorders>
              <w:top w:val="single" w:sz="4" w:space="0" w:color="ED712C"/>
              <w:left w:val="single" w:sz="4" w:space="0" w:color="ED712C"/>
              <w:bottom w:val="single" w:sz="4" w:space="0" w:color="ED712C"/>
              <w:right w:val="single" w:sz="4" w:space="0" w:color="ED712C"/>
            </w:tcBorders>
            <w:vAlign w:val="center"/>
            <w:hideMark/>
          </w:tcPr>
          <w:p w14:paraId="4F170467"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1276" w:type="dxa"/>
            <w:vMerge/>
            <w:tcBorders>
              <w:top w:val="single" w:sz="4" w:space="0" w:color="ED712C"/>
              <w:left w:val="single" w:sz="4" w:space="0" w:color="ED712C"/>
              <w:bottom w:val="single" w:sz="4" w:space="0" w:color="ED712C"/>
              <w:right w:val="nil"/>
            </w:tcBorders>
            <w:vAlign w:val="center"/>
            <w:hideMark/>
          </w:tcPr>
          <w:p w14:paraId="4110AFFF"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1078" w:type="dxa"/>
            <w:vMerge/>
            <w:tcBorders>
              <w:top w:val="single" w:sz="4" w:space="0" w:color="ED712C"/>
              <w:left w:val="single" w:sz="4" w:space="0" w:color="ED712C"/>
              <w:bottom w:val="single" w:sz="4" w:space="0" w:color="ED712C"/>
              <w:right w:val="single" w:sz="4" w:space="0" w:color="ED712C"/>
            </w:tcBorders>
            <w:vAlign w:val="center"/>
            <w:hideMark/>
          </w:tcPr>
          <w:p w14:paraId="383C958A"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950" w:type="dxa"/>
            <w:vMerge/>
            <w:tcBorders>
              <w:top w:val="single" w:sz="4" w:space="0" w:color="ED712C"/>
              <w:left w:val="nil"/>
              <w:bottom w:val="single" w:sz="4" w:space="0" w:color="ED712C"/>
              <w:right w:val="single" w:sz="4" w:space="0" w:color="ED712C"/>
            </w:tcBorders>
            <w:vAlign w:val="center"/>
            <w:hideMark/>
          </w:tcPr>
          <w:p w14:paraId="0741A90D"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ED712C"/>
              <w:left w:val="single" w:sz="4" w:space="0" w:color="ED712C"/>
              <w:bottom w:val="single" w:sz="4" w:space="0" w:color="ED712C"/>
              <w:right w:val="single" w:sz="4" w:space="0" w:color="ED712C"/>
            </w:tcBorders>
            <w:vAlign w:val="center"/>
            <w:hideMark/>
          </w:tcPr>
          <w:p w14:paraId="7CFF09FF"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1061" w:type="dxa"/>
            <w:tcBorders>
              <w:top w:val="nil"/>
              <w:left w:val="nil"/>
              <w:bottom w:val="single" w:sz="4" w:space="0" w:color="ED712C"/>
              <w:right w:val="single" w:sz="4" w:space="0" w:color="ED712C"/>
            </w:tcBorders>
            <w:shd w:val="clear" w:color="000000" w:fill="ED712C"/>
            <w:vAlign w:val="center"/>
            <w:hideMark/>
          </w:tcPr>
          <w:p w14:paraId="3AFF60D1" w14:textId="77777777" w:rsidR="00187B10" w:rsidRPr="00187B10" w:rsidRDefault="00187B10" w:rsidP="00187B10">
            <w:pPr>
              <w:spacing w:after="0" w:line="240" w:lineRule="auto"/>
              <w:jc w:val="center"/>
              <w:rPr>
                <w:rFonts w:ascii="Arial" w:eastAsia="Times New Roman" w:hAnsi="Arial" w:cs="Arial"/>
                <w:b/>
                <w:bCs/>
                <w:color w:val="FFFFFF"/>
                <w:sz w:val="20"/>
                <w:szCs w:val="20"/>
                <w:lang w:eastAsia="en-GB"/>
              </w:rPr>
            </w:pPr>
            <w:r w:rsidRPr="00187B10">
              <w:rPr>
                <w:rFonts w:ascii="Arial" w:eastAsia="Times New Roman" w:hAnsi="Arial" w:cs="Arial"/>
                <w:b/>
                <w:bCs/>
                <w:color w:val="FFFFFF"/>
                <w:sz w:val="20"/>
                <w:szCs w:val="20"/>
                <w:lang w:eastAsia="en-GB"/>
              </w:rPr>
              <w:t>June</w:t>
            </w:r>
          </w:p>
        </w:tc>
        <w:tc>
          <w:tcPr>
            <w:tcW w:w="1050" w:type="dxa"/>
            <w:vMerge/>
            <w:tcBorders>
              <w:top w:val="single" w:sz="4" w:space="0" w:color="ED712C"/>
              <w:left w:val="single" w:sz="4" w:space="0" w:color="ED712C"/>
              <w:bottom w:val="single" w:sz="4" w:space="0" w:color="ED712C"/>
              <w:right w:val="single" w:sz="4" w:space="0" w:color="ED712C"/>
            </w:tcBorders>
            <w:vAlign w:val="center"/>
            <w:hideMark/>
          </w:tcPr>
          <w:p w14:paraId="046D5637"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856" w:type="dxa"/>
            <w:vMerge/>
            <w:tcBorders>
              <w:top w:val="single" w:sz="4" w:space="0" w:color="ED712C"/>
              <w:left w:val="single" w:sz="4" w:space="0" w:color="ED712C"/>
              <w:bottom w:val="single" w:sz="4" w:space="0" w:color="ED712C"/>
              <w:right w:val="single" w:sz="4" w:space="0" w:color="ED712C"/>
            </w:tcBorders>
            <w:vAlign w:val="center"/>
            <w:hideMark/>
          </w:tcPr>
          <w:p w14:paraId="71913932"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c>
          <w:tcPr>
            <w:tcW w:w="1773" w:type="dxa"/>
            <w:vMerge/>
            <w:tcBorders>
              <w:top w:val="single" w:sz="4" w:space="0" w:color="ED712C"/>
              <w:left w:val="single" w:sz="4" w:space="0" w:color="ED712C"/>
              <w:bottom w:val="single" w:sz="4" w:space="0" w:color="ED712C"/>
              <w:right w:val="single" w:sz="4" w:space="0" w:color="ED712C"/>
            </w:tcBorders>
            <w:vAlign w:val="center"/>
            <w:hideMark/>
          </w:tcPr>
          <w:p w14:paraId="61E8F686" w14:textId="77777777" w:rsidR="00187B10" w:rsidRPr="00187B10" w:rsidRDefault="00187B10" w:rsidP="00187B10">
            <w:pPr>
              <w:spacing w:after="0" w:line="240" w:lineRule="auto"/>
              <w:rPr>
                <w:rFonts w:ascii="Arial" w:eastAsia="Times New Roman" w:hAnsi="Arial" w:cs="Arial"/>
                <w:b/>
                <w:bCs/>
                <w:color w:val="FFFFFF"/>
                <w:sz w:val="20"/>
                <w:szCs w:val="20"/>
                <w:lang w:eastAsia="en-GB"/>
              </w:rPr>
            </w:pPr>
          </w:p>
        </w:tc>
      </w:tr>
      <w:tr w:rsidR="00187B10" w:rsidRPr="00187B10" w14:paraId="235B10D9" w14:textId="77777777" w:rsidTr="00520244">
        <w:trPr>
          <w:trHeight w:val="1920"/>
        </w:trPr>
        <w:tc>
          <w:tcPr>
            <w:tcW w:w="2363" w:type="dxa"/>
            <w:tcBorders>
              <w:top w:val="nil"/>
              <w:left w:val="single" w:sz="4" w:space="0" w:color="ED712C"/>
              <w:bottom w:val="nil"/>
              <w:right w:val="single" w:sz="4" w:space="0" w:color="ED712C"/>
            </w:tcBorders>
            <w:shd w:val="clear" w:color="000000" w:fill="FAD3BE"/>
            <w:vAlign w:val="center"/>
            <w:hideMark/>
          </w:tcPr>
          <w:p w14:paraId="40C45E0F" w14:textId="77777777" w:rsidR="00187B10" w:rsidRPr="00187B10" w:rsidRDefault="00187B10" w:rsidP="00187B10">
            <w:pPr>
              <w:spacing w:after="0" w:line="240" w:lineRule="auto"/>
              <w:jc w:val="center"/>
              <w:rPr>
                <w:rFonts w:ascii="Arial" w:eastAsia="Times New Roman" w:hAnsi="Arial" w:cs="Arial"/>
                <w:b/>
                <w:bCs/>
                <w:color w:val="000000"/>
                <w:sz w:val="20"/>
                <w:szCs w:val="20"/>
                <w:lang w:eastAsia="en-GB"/>
              </w:rPr>
            </w:pPr>
            <w:r w:rsidRPr="00187B10">
              <w:rPr>
                <w:rFonts w:ascii="Arial" w:eastAsia="Times New Roman" w:hAnsi="Arial" w:cs="Arial"/>
                <w:b/>
                <w:bCs/>
                <w:color w:val="000000"/>
                <w:sz w:val="20"/>
                <w:szCs w:val="20"/>
                <w:lang w:eastAsia="en-GB"/>
              </w:rPr>
              <w:t>Children and young people are safe from harm and the lives of children in care improve</w:t>
            </w:r>
          </w:p>
        </w:tc>
        <w:tc>
          <w:tcPr>
            <w:tcW w:w="694" w:type="dxa"/>
            <w:tcBorders>
              <w:top w:val="nil"/>
              <w:left w:val="nil"/>
              <w:bottom w:val="single" w:sz="4" w:space="0" w:color="ED712C"/>
              <w:right w:val="nil"/>
            </w:tcBorders>
            <w:shd w:val="clear" w:color="auto" w:fill="auto"/>
            <w:vAlign w:val="center"/>
            <w:hideMark/>
          </w:tcPr>
          <w:p w14:paraId="4859340C"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CYP-007</w:t>
            </w:r>
          </w:p>
        </w:tc>
        <w:tc>
          <w:tcPr>
            <w:tcW w:w="3459"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212E9EF5" w14:textId="77777777" w:rsidR="00187B10" w:rsidRPr="00187B10" w:rsidRDefault="00187B10" w:rsidP="00187B10">
            <w:pPr>
              <w:spacing w:after="0" w:line="240" w:lineRule="auto"/>
              <w:rPr>
                <w:rFonts w:ascii="Arial" w:eastAsia="Times New Roman" w:hAnsi="Arial" w:cs="Arial"/>
                <w:sz w:val="20"/>
                <w:szCs w:val="20"/>
                <w:lang w:eastAsia="en-GB"/>
              </w:rPr>
            </w:pPr>
            <w:r w:rsidRPr="00187B10">
              <w:rPr>
                <w:rFonts w:ascii="Arial" w:eastAsia="Times New Roman" w:hAnsi="Arial" w:cs="Arial"/>
                <w:sz w:val="20"/>
                <w:szCs w:val="20"/>
                <w:lang w:eastAsia="en-GB"/>
              </w:rPr>
              <w:t>Percentage of children looked after at 31 March with three or more placements during the year</w:t>
            </w:r>
          </w:p>
        </w:tc>
        <w:tc>
          <w:tcPr>
            <w:tcW w:w="1276" w:type="dxa"/>
            <w:tcBorders>
              <w:top w:val="nil"/>
              <w:left w:val="nil"/>
              <w:bottom w:val="single" w:sz="4" w:space="0" w:color="ED712C"/>
              <w:right w:val="single" w:sz="4" w:space="0" w:color="ED712C"/>
            </w:tcBorders>
            <w:shd w:val="clear" w:color="auto" w:fill="auto"/>
            <w:vAlign w:val="center"/>
            <w:hideMark/>
          </w:tcPr>
          <w:p w14:paraId="1494D461"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Quarterly</w:t>
            </w:r>
          </w:p>
        </w:tc>
        <w:tc>
          <w:tcPr>
            <w:tcW w:w="1078" w:type="dxa"/>
            <w:tcBorders>
              <w:top w:val="nil"/>
              <w:left w:val="nil"/>
              <w:bottom w:val="single" w:sz="4" w:space="0" w:color="ED712C"/>
              <w:right w:val="single" w:sz="4" w:space="0" w:color="ED712C"/>
            </w:tcBorders>
            <w:shd w:val="clear" w:color="000000" w:fill="FFFFFF"/>
            <w:vAlign w:val="center"/>
            <w:hideMark/>
          </w:tcPr>
          <w:p w14:paraId="2CA449A2"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Lower</w:t>
            </w:r>
          </w:p>
        </w:tc>
        <w:tc>
          <w:tcPr>
            <w:tcW w:w="950" w:type="dxa"/>
            <w:tcBorders>
              <w:top w:val="nil"/>
              <w:left w:val="nil"/>
              <w:bottom w:val="single" w:sz="4" w:space="0" w:color="ED712C"/>
              <w:right w:val="single" w:sz="4" w:space="0" w:color="ED712C"/>
            </w:tcBorders>
            <w:shd w:val="clear" w:color="000000" w:fill="92D050"/>
            <w:vAlign w:val="center"/>
            <w:hideMark/>
          </w:tcPr>
          <w:p w14:paraId="35A98EC3"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7%</w:t>
            </w:r>
          </w:p>
        </w:tc>
        <w:tc>
          <w:tcPr>
            <w:tcW w:w="0" w:type="auto"/>
            <w:tcBorders>
              <w:top w:val="nil"/>
              <w:left w:val="nil"/>
              <w:bottom w:val="single" w:sz="4" w:space="0" w:color="ED712C"/>
              <w:right w:val="single" w:sz="4" w:space="0" w:color="ED712C"/>
            </w:tcBorders>
            <w:shd w:val="clear" w:color="auto" w:fill="auto"/>
            <w:vAlign w:val="center"/>
            <w:hideMark/>
          </w:tcPr>
          <w:p w14:paraId="44D6B08C"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w:t>
            </w:r>
          </w:p>
        </w:tc>
        <w:tc>
          <w:tcPr>
            <w:tcW w:w="106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579AE202"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7</w:t>
            </w:r>
          </w:p>
        </w:tc>
        <w:tc>
          <w:tcPr>
            <w:tcW w:w="1050"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26301C3E" w14:textId="77777777" w:rsidR="00187B10" w:rsidRPr="00187B10" w:rsidRDefault="00187B10" w:rsidP="00187B10">
            <w:pPr>
              <w:spacing w:after="0" w:line="240" w:lineRule="auto"/>
              <w:jc w:val="center"/>
              <w:rPr>
                <w:rFonts w:ascii="Arial" w:eastAsia="Times New Roman" w:hAnsi="Arial" w:cs="Arial"/>
                <w:color w:val="00B050"/>
                <w:sz w:val="20"/>
                <w:szCs w:val="20"/>
                <w:lang w:eastAsia="en-GB"/>
              </w:rPr>
            </w:pPr>
            <w:r w:rsidRPr="00187B10">
              <w:rPr>
                <w:rFonts w:ascii="Arial" w:eastAsia="Times New Roman" w:hAnsi="Arial" w:cs="Arial"/>
                <w:color w:val="00B050"/>
                <w:sz w:val="20"/>
                <w:szCs w:val="20"/>
                <w:lang w:eastAsia="en-GB"/>
              </w:rPr>
              <w:t>12.5%</w:t>
            </w:r>
          </w:p>
        </w:tc>
        <w:tc>
          <w:tcPr>
            <w:tcW w:w="856" w:type="dxa"/>
            <w:tcBorders>
              <w:top w:val="nil"/>
              <w:left w:val="nil"/>
              <w:bottom w:val="single" w:sz="4" w:space="0" w:color="ED712C"/>
              <w:right w:val="single" w:sz="4" w:space="0" w:color="ED712C"/>
            </w:tcBorders>
            <w:shd w:val="clear" w:color="000000" w:fill="FFFFFF"/>
            <w:vAlign w:val="center"/>
            <w:hideMark/>
          </w:tcPr>
          <w:p w14:paraId="1EB82B33" w14:textId="4EBC4A88"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noProof/>
                <w:color w:val="000000"/>
                <w:sz w:val="20"/>
                <w:szCs w:val="20"/>
                <w:lang w:eastAsia="en-GB"/>
              </w:rPr>
              <w:drawing>
                <wp:anchor distT="0" distB="0" distL="114300" distR="114300" simplePos="0" relativeHeight="251658273" behindDoc="0" locked="0" layoutInCell="1" allowOverlap="1" wp14:anchorId="4B1F6C29" wp14:editId="092B97D0">
                  <wp:simplePos x="0" y="0"/>
                  <wp:positionH relativeFrom="column">
                    <wp:posOffset>38100</wp:posOffset>
                  </wp:positionH>
                  <wp:positionV relativeFrom="paragraph">
                    <wp:posOffset>0</wp:posOffset>
                  </wp:positionV>
                  <wp:extent cx="279400" cy="241300"/>
                  <wp:effectExtent l="0" t="0" r="0" b="6350"/>
                  <wp:wrapNone/>
                  <wp:docPr id="62" name="Picture 28" descr="P646C22T9#y1">
                    <a:extLst xmlns:a="http://schemas.openxmlformats.org/drawingml/2006/main">
                      <a:ext uri="{FF2B5EF4-FFF2-40B4-BE49-F238E27FC236}">
                        <a16:creationId xmlns:a16="http://schemas.microsoft.com/office/drawing/2014/main" id="{7CAACC4C-29BD-44AB-BD2B-25EBC5057B17}"/>
                      </a:ext>
                      <a:ext uri="{147F2762-F138-4A5C-976F-8EAC2B608ADB}">
                        <a16:predDERef xmlns:a16="http://schemas.microsoft.com/office/drawing/2014/main" pred="{842F3EBC-8145-478F-B565-D002D09D3323}"/>
                      </a:ext>
                    </a:extLst>
                  </wp:docPr>
                  <wp:cNvGraphicFramePr/>
                  <a:graphic xmlns:a="http://schemas.openxmlformats.org/drawingml/2006/main">
                    <a:graphicData uri="http://schemas.openxmlformats.org/drawingml/2006/picture">
                      <pic:pic xmlns:pic="http://schemas.openxmlformats.org/drawingml/2006/picture">
                        <pic:nvPicPr>
                          <pic:cNvPr id="62" name="Picture 21" descr="P646C22T9#y1">
                            <a:extLst>
                              <a:ext uri="{FF2B5EF4-FFF2-40B4-BE49-F238E27FC236}">
                                <a16:creationId xmlns:a16="http://schemas.microsoft.com/office/drawing/2014/main" id="{7CAACC4C-29BD-44AB-BD2B-25EBC5057B17}"/>
                              </a:ext>
                              <a:ext uri="{147F2762-F138-4A5C-976F-8EAC2B608ADB}">
                                <a16:predDERef xmlns:a16="http://schemas.microsoft.com/office/drawing/2014/main" pred="{842F3EBC-8145-478F-B565-D002D09D332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1773" w:type="dxa"/>
            <w:tcBorders>
              <w:top w:val="single" w:sz="4" w:space="0" w:color="ED712C"/>
              <w:left w:val="single" w:sz="4" w:space="0" w:color="ED712C"/>
              <w:bottom w:val="single" w:sz="4" w:space="0" w:color="ED712C"/>
              <w:right w:val="single" w:sz="4" w:space="0" w:color="ED712C"/>
            </w:tcBorders>
            <w:shd w:val="clear" w:color="000000" w:fill="FFFF00"/>
            <w:vAlign w:val="center"/>
            <w:hideMark/>
          </w:tcPr>
          <w:p w14:paraId="25D62520" w14:textId="160B68B3"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2nd Quartile Eng Av. 10.0    LA Av. 9.6 (2022/23)</w:t>
            </w:r>
          </w:p>
        </w:tc>
      </w:tr>
      <w:tr w:rsidR="00187B10" w:rsidRPr="00187B10" w14:paraId="6781F610" w14:textId="77777777" w:rsidTr="00520244">
        <w:trPr>
          <w:trHeight w:val="1290"/>
        </w:trPr>
        <w:tc>
          <w:tcPr>
            <w:tcW w:w="2363" w:type="dxa"/>
            <w:vMerge w:val="restart"/>
            <w:tcBorders>
              <w:top w:val="single" w:sz="4" w:space="0" w:color="ED712C"/>
              <w:left w:val="single" w:sz="4" w:space="0" w:color="ED712C"/>
              <w:bottom w:val="nil"/>
              <w:right w:val="single" w:sz="4" w:space="0" w:color="ED712C"/>
            </w:tcBorders>
            <w:shd w:val="clear" w:color="000000" w:fill="FAD3BE"/>
            <w:vAlign w:val="center"/>
            <w:hideMark/>
          </w:tcPr>
          <w:p w14:paraId="77A20E99" w14:textId="77777777" w:rsidR="00187B10" w:rsidRPr="00187B10" w:rsidRDefault="00187B10" w:rsidP="00187B10">
            <w:pPr>
              <w:spacing w:after="0" w:line="240" w:lineRule="auto"/>
              <w:jc w:val="center"/>
              <w:rPr>
                <w:rFonts w:ascii="Arial" w:eastAsia="Times New Roman" w:hAnsi="Arial" w:cs="Arial"/>
                <w:b/>
                <w:bCs/>
                <w:color w:val="000000"/>
                <w:sz w:val="20"/>
                <w:szCs w:val="20"/>
                <w:lang w:eastAsia="en-GB"/>
              </w:rPr>
            </w:pPr>
            <w:r w:rsidRPr="00187B10">
              <w:rPr>
                <w:rFonts w:ascii="Arial" w:eastAsia="Times New Roman" w:hAnsi="Arial" w:cs="Arial"/>
                <w:b/>
                <w:bCs/>
                <w:color w:val="000000"/>
                <w:sz w:val="20"/>
                <w:szCs w:val="20"/>
                <w:lang w:eastAsia="en-GB"/>
              </w:rPr>
              <w:t>Children and young people are healthy, resilient, confident, involved and achieve their potential</w:t>
            </w:r>
          </w:p>
        </w:tc>
        <w:tc>
          <w:tcPr>
            <w:tcW w:w="694" w:type="dxa"/>
            <w:tcBorders>
              <w:top w:val="nil"/>
              <w:left w:val="nil"/>
              <w:bottom w:val="single" w:sz="4" w:space="0" w:color="ED712C"/>
              <w:right w:val="nil"/>
            </w:tcBorders>
            <w:shd w:val="clear" w:color="auto" w:fill="auto"/>
            <w:vAlign w:val="center"/>
            <w:hideMark/>
          </w:tcPr>
          <w:p w14:paraId="1F170583"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PH-006</w:t>
            </w:r>
          </w:p>
        </w:tc>
        <w:tc>
          <w:tcPr>
            <w:tcW w:w="3459" w:type="dxa"/>
            <w:tcBorders>
              <w:top w:val="nil"/>
              <w:left w:val="single" w:sz="4" w:space="0" w:color="ED712C"/>
              <w:bottom w:val="single" w:sz="4" w:space="0" w:color="ED712C"/>
              <w:right w:val="single" w:sz="4" w:space="0" w:color="ED712C"/>
            </w:tcBorders>
            <w:shd w:val="clear" w:color="auto" w:fill="auto"/>
            <w:vAlign w:val="center"/>
            <w:hideMark/>
          </w:tcPr>
          <w:p w14:paraId="513B24DE" w14:textId="77777777" w:rsidR="00187B10" w:rsidRPr="00187B10" w:rsidRDefault="00187B10" w:rsidP="00187B10">
            <w:pPr>
              <w:spacing w:after="0" w:line="240" w:lineRule="auto"/>
              <w:rPr>
                <w:rFonts w:ascii="Arial" w:eastAsia="Times New Roman" w:hAnsi="Arial" w:cs="Arial"/>
                <w:sz w:val="20"/>
                <w:szCs w:val="20"/>
                <w:lang w:eastAsia="en-GB"/>
              </w:rPr>
            </w:pPr>
            <w:r w:rsidRPr="00187B10">
              <w:rPr>
                <w:rFonts w:ascii="Arial" w:eastAsia="Times New Roman" w:hAnsi="Arial" w:cs="Arial"/>
                <w:sz w:val="20"/>
                <w:szCs w:val="20"/>
                <w:lang w:eastAsia="en-GB"/>
              </w:rPr>
              <w:t>Smoking status at the time of delivery</w:t>
            </w:r>
          </w:p>
        </w:tc>
        <w:tc>
          <w:tcPr>
            <w:tcW w:w="1276" w:type="dxa"/>
            <w:tcBorders>
              <w:top w:val="nil"/>
              <w:left w:val="nil"/>
              <w:bottom w:val="single" w:sz="4" w:space="0" w:color="ED712C"/>
              <w:right w:val="single" w:sz="4" w:space="0" w:color="ED712C"/>
            </w:tcBorders>
            <w:shd w:val="clear" w:color="auto" w:fill="auto"/>
            <w:vAlign w:val="center"/>
            <w:hideMark/>
          </w:tcPr>
          <w:p w14:paraId="65022DEA"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Quarterly</w:t>
            </w:r>
          </w:p>
        </w:tc>
        <w:tc>
          <w:tcPr>
            <w:tcW w:w="1078" w:type="dxa"/>
            <w:tcBorders>
              <w:top w:val="nil"/>
              <w:left w:val="nil"/>
              <w:bottom w:val="single" w:sz="4" w:space="0" w:color="ED712C"/>
              <w:right w:val="single" w:sz="4" w:space="0" w:color="ED712C"/>
            </w:tcBorders>
            <w:shd w:val="clear" w:color="000000" w:fill="FFFFFF"/>
            <w:vAlign w:val="center"/>
            <w:hideMark/>
          </w:tcPr>
          <w:p w14:paraId="1FA85EF9"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Lower</w:t>
            </w:r>
          </w:p>
        </w:tc>
        <w:tc>
          <w:tcPr>
            <w:tcW w:w="950" w:type="dxa"/>
            <w:tcBorders>
              <w:top w:val="nil"/>
              <w:left w:val="nil"/>
              <w:bottom w:val="single" w:sz="4" w:space="0" w:color="ED712C"/>
              <w:right w:val="single" w:sz="4" w:space="0" w:color="ED712C"/>
            </w:tcBorders>
            <w:shd w:val="clear" w:color="000000" w:fill="92D050"/>
            <w:vAlign w:val="center"/>
            <w:hideMark/>
          </w:tcPr>
          <w:p w14:paraId="19503EB1"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11.9</w:t>
            </w:r>
          </w:p>
        </w:tc>
        <w:tc>
          <w:tcPr>
            <w:tcW w:w="0" w:type="auto"/>
            <w:tcBorders>
              <w:top w:val="nil"/>
              <w:left w:val="nil"/>
              <w:bottom w:val="single" w:sz="4" w:space="0" w:color="ED712C"/>
              <w:right w:val="single" w:sz="4" w:space="0" w:color="ED712C"/>
            </w:tcBorders>
            <w:shd w:val="clear" w:color="auto" w:fill="auto"/>
            <w:vAlign w:val="center"/>
            <w:hideMark/>
          </w:tcPr>
          <w:p w14:paraId="3681C3AC"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12%</w:t>
            </w:r>
          </w:p>
        </w:tc>
        <w:tc>
          <w:tcPr>
            <w:tcW w:w="1061" w:type="dxa"/>
            <w:tcBorders>
              <w:top w:val="single" w:sz="4" w:space="0" w:color="ED712C"/>
              <w:left w:val="single" w:sz="4" w:space="0" w:color="ED712C"/>
              <w:bottom w:val="single" w:sz="4" w:space="0" w:color="ED712C"/>
              <w:right w:val="single" w:sz="4" w:space="0" w:color="ED712C"/>
            </w:tcBorders>
            <w:shd w:val="clear" w:color="000000" w:fill="FF0000"/>
            <w:vAlign w:val="center"/>
            <w:hideMark/>
          </w:tcPr>
          <w:p w14:paraId="4B108D6F"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13.2</w:t>
            </w:r>
          </w:p>
        </w:tc>
        <w:tc>
          <w:tcPr>
            <w:tcW w:w="1050"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3176B05A" w14:textId="77777777" w:rsidR="00187B10" w:rsidRPr="00187B10" w:rsidRDefault="00187B10" w:rsidP="00187B10">
            <w:pPr>
              <w:spacing w:after="0" w:line="240" w:lineRule="auto"/>
              <w:jc w:val="center"/>
              <w:rPr>
                <w:rFonts w:ascii="Arial" w:eastAsia="Times New Roman" w:hAnsi="Arial" w:cs="Arial"/>
                <w:color w:val="FF0000"/>
                <w:sz w:val="20"/>
                <w:szCs w:val="20"/>
                <w:lang w:eastAsia="en-GB"/>
              </w:rPr>
            </w:pPr>
            <w:r w:rsidRPr="00187B10">
              <w:rPr>
                <w:rFonts w:ascii="Arial" w:eastAsia="Times New Roman" w:hAnsi="Arial" w:cs="Arial"/>
                <w:color w:val="FF0000"/>
                <w:sz w:val="20"/>
                <w:szCs w:val="20"/>
                <w:lang w:eastAsia="en-GB"/>
              </w:rPr>
              <w:t>-10%</w:t>
            </w:r>
          </w:p>
        </w:tc>
        <w:tc>
          <w:tcPr>
            <w:tcW w:w="856" w:type="dxa"/>
            <w:tcBorders>
              <w:top w:val="nil"/>
              <w:left w:val="nil"/>
              <w:bottom w:val="single" w:sz="4" w:space="0" w:color="ED712C"/>
              <w:right w:val="single" w:sz="4" w:space="0" w:color="ED712C"/>
            </w:tcBorders>
            <w:shd w:val="clear" w:color="000000" w:fill="FFFFFF"/>
            <w:vAlign w:val="center"/>
            <w:hideMark/>
          </w:tcPr>
          <w:p w14:paraId="31583B5F" w14:textId="57886B12"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noProof/>
                <w:color w:val="000000"/>
                <w:sz w:val="20"/>
                <w:szCs w:val="20"/>
                <w:lang w:eastAsia="en-GB"/>
              </w:rPr>
              <w:drawing>
                <wp:anchor distT="0" distB="0" distL="114300" distR="114300" simplePos="0" relativeHeight="251658272" behindDoc="0" locked="0" layoutInCell="1" allowOverlap="1" wp14:anchorId="0F854740" wp14:editId="5572F653">
                  <wp:simplePos x="0" y="0"/>
                  <wp:positionH relativeFrom="column">
                    <wp:posOffset>41275</wp:posOffset>
                  </wp:positionH>
                  <wp:positionV relativeFrom="paragraph">
                    <wp:posOffset>118745</wp:posOffset>
                  </wp:positionV>
                  <wp:extent cx="279400" cy="247650"/>
                  <wp:effectExtent l="0" t="0" r="6350" b="0"/>
                  <wp:wrapNone/>
                  <wp:docPr id="46" name="Picture 29" descr="P658C33T9#y1">
                    <a:extLst xmlns:a="http://schemas.openxmlformats.org/drawingml/2006/main">
                      <a:ext uri="{FF2B5EF4-FFF2-40B4-BE49-F238E27FC236}">
                        <a16:creationId xmlns:a16="http://schemas.microsoft.com/office/drawing/2014/main" id="{A95D3A3D-9DF2-4BBC-B356-C8C81BA6BFA9}"/>
                      </a:ext>
                      <a:ext uri="{147F2762-F138-4A5C-976F-8EAC2B608ADB}">
                        <a16:predDERef xmlns:a16="http://schemas.microsoft.com/office/drawing/2014/main" pred="{D795BEBC-D7E3-4D4C-A235-54466124AF2E}"/>
                      </a:ext>
                    </a:extLst>
                  </wp:docPr>
                  <wp:cNvGraphicFramePr/>
                  <a:graphic xmlns:a="http://schemas.openxmlformats.org/drawingml/2006/main">
                    <a:graphicData uri="http://schemas.openxmlformats.org/drawingml/2006/picture">
                      <pic:pic xmlns:pic="http://schemas.openxmlformats.org/drawingml/2006/picture">
                        <pic:nvPicPr>
                          <pic:cNvPr id="46" name="Picture 20" descr="P658C33T9#y1">
                            <a:extLst>
                              <a:ext uri="{FF2B5EF4-FFF2-40B4-BE49-F238E27FC236}">
                                <a16:creationId xmlns:a16="http://schemas.microsoft.com/office/drawing/2014/main" id="{A95D3A3D-9DF2-4BBC-B356-C8C81BA6BFA9}"/>
                              </a:ext>
                              <a:ext uri="{147F2762-F138-4A5C-976F-8EAC2B608ADB}">
                                <a16:predDERef xmlns:a16="http://schemas.microsoft.com/office/drawing/2014/main" pred="{D795BEBC-D7E3-4D4C-A235-54466124AF2E}"/>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1773" w:type="dxa"/>
            <w:tcBorders>
              <w:top w:val="nil"/>
              <w:left w:val="single" w:sz="4" w:space="0" w:color="ED712C"/>
              <w:bottom w:val="single" w:sz="4" w:space="0" w:color="ED712C"/>
              <w:right w:val="single" w:sz="4" w:space="0" w:color="ED712C"/>
            </w:tcBorders>
            <w:shd w:val="clear" w:color="000000" w:fill="FF0000"/>
            <w:vAlign w:val="center"/>
            <w:hideMark/>
          </w:tcPr>
          <w:p w14:paraId="5E7271BB" w14:textId="4C118782"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4th Quartile Eng Av. 8.8 LA Av. 11.9 (2022/23)</w:t>
            </w:r>
          </w:p>
        </w:tc>
      </w:tr>
      <w:tr w:rsidR="003E27DF" w:rsidRPr="00187B10" w14:paraId="1FF5C843" w14:textId="77777777" w:rsidTr="00520244">
        <w:trPr>
          <w:trHeight w:val="1290"/>
        </w:trPr>
        <w:tc>
          <w:tcPr>
            <w:tcW w:w="2363" w:type="dxa"/>
            <w:vMerge/>
            <w:tcBorders>
              <w:top w:val="single" w:sz="4" w:space="0" w:color="ED712C"/>
              <w:left w:val="single" w:sz="4" w:space="0" w:color="ED712C"/>
              <w:bottom w:val="nil"/>
              <w:right w:val="single" w:sz="4" w:space="0" w:color="ED712C"/>
            </w:tcBorders>
            <w:vAlign w:val="center"/>
            <w:hideMark/>
          </w:tcPr>
          <w:p w14:paraId="7FC9A990" w14:textId="77777777" w:rsidR="003E27DF" w:rsidRPr="00187B10" w:rsidRDefault="003E27DF" w:rsidP="003E27DF">
            <w:pPr>
              <w:spacing w:after="0" w:line="240" w:lineRule="auto"/>
              <w:rPr>
                <w:rFonts w:ascii="Arial" w:eastAsia="Times New Roman" w:hAnsi="Arial" w:cs="Arial"/>
                <w:b/>
                <w:bCs/>
                <w:color w:val="000000"/>
                <w:sz w:val="20"/>
                <w:szCs w:val="20"/>
                <w:lang w:eastAsia="en-GB"/>
              </w:rPr>
            </w:pPr>
          </w:p>
        </w:tc>
        <w:tc>
          <w:tcPr>
            <w:tcW w:w="694" w:type="dxa"/>
            <w:tcBorders>
              <w:top w:val="nil"/>
              <w:left w:val="nil"/>
              <w:bottom w:val="single" w:sz="4" w:space="0" w:color="ED712C"/>
              <w:right w:val="nil"/>
            </w:tcBorders>
            <w:shd w:val="clear" w:color="auto" w:fill="auto"/>
            <w:vAlign w:val="center"/>
            <w:hideMark/>
          </w:tcPr>
          <w:p w14:paraId="767AECC6" w14:textId="77777777" w:rsidR="003E27DF" w:rsidRPr="00187B10" w:rsidRDefault="003E27DF" w:rsidP="003E27DF">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PH-007</w:t>
            </w:r>
          </w:p>
        </w:tc>
        <w:tc>
          <w:tcPr>
            <w:tcW w:w="3459" w:type="dxa"/>
            <w:tcBorders>
              <w:top w:val="nil"/>
              <w:left w:val="single" w:sz="4" w:space="0" w:color="ED712C"/>
              <w:bottom w:val="single" w:sz="4" w:space="0" w:color="ED712C"/>
              <w:right w:val="single" w:sz="4" w:space="0" w:color="ED712C"/>
            </w:tcBorders>
            <w:shd w:val="clear" w:color="auto" w:fill="auto"/>
            <w:vAlign w:val="center"/>
            <w:hideMark/>
          </w:tcPr>
          <w:p w14:paraId="64DA64AF" w14:textId="77777777" w:rsidR="003E27DF" w:rsidRPr="00187B10" w:rsidRDefault="003E27DF" w:rsidP="003E27DF">
            <w:pPr>
              <w:spacing w:after="0" w:line="240" w:lineRule="auto"/>
              <w:rPr>
                <w:rFonts w:ascii="Arial" w:eastAsia="Times New Roman" w:hAnsi="Arial" w:cs="Arial"/>
                <w:sz w:val="20"/>
                <w:szCs w:val="20"/>
                <w:lang w:eastAsia="en-GB"/>
              </w:rPr>
            </w:pPr>
            <w:r w:rsidRPr="00187B10">
              <w:rPr>
                <w:rFonts w:ascii="Arial" w:eastAsia="Times New Roman" w:hAnsi="Arial" w:cs="Arial"/>
                <w:sz w:val="20"/>
                <w:szCs w:val="20"/>
                <w:lang w:eastAsia="en-GB"/>
              </w:rPr>
              <w:t>Under 18 admissions to hospital for alcohol specific reasons per 100,000 population</w:t>
            </w:r>
          </w:p>
        </w:tc>
        <w:tc>
          <w:tcPr>
            <w:tcW w:w="1276" w:type="dxa"/>
            <w:tcBorders>
              <w:top w:val="nil"/>
              <w:left w:val="nil"/>
              <w:bottom w:val="single" w:sz="4" w:space="0" w:color="ED712C"/>
              <w:right w:val="single" w:sz="4" w:space="0" w:color="ED712C"/>
            </w:tcBorders>
            <w:shd w:val="clear" w:color="auto" w:fill="auto"/>
            <w:vAlign w:val="center"/>
            <w:hideMark/>
          </w:tcPr>
          <w:p w14:paraId="2955780D" w14:textId="77777777" w:rsidR="003E27DF" w:rsidRPr="00187B10" w:rsidRDefault="003E27DF" w:rsidP="003E27DF">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Quarterly</w:t>
            </w:r>
          </w:p>
        </w:tc>
        <w:tc>
          <w:tcPr>
            <w:tcW w:w="1078" w:type="dxa"/>
            <w:tcBorders>
              <w:top w:val="nil"/>
              <w:left w:val="nil"/>
              <w:bottom w:val="single" w:sz="4" w:space="0" w:color="ED712C"/>
              <w:right w:val="single" w:sz="4" w:space="0" w:color="ED712C"/>
            </w:tcBorders>
            <w:shd w:val="clear" w:color="000000" w:fill="FFFFFF"/>
            <w:vAlign w:val="center"/>
            <w:hideMark/>
          </w:tcPr>
          <w:p w14:paraId="4EEB4278" w14:textId="77777777" w:rsidR="003E27DF" w:rsidRPr="00187B10" w:rsidRDefault="003E27DF" w:rsidP="003E27DF">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Lower</w:t>
            </w:r>
          </w:p>
        </w:tc>
        <w:tc>
          <w:tcPr>
            <w:tcW w:w="950" w:type="dxa"/>
            <w:tcBorders>
              <w:top w:val="nil"/>
              <w:left w:val="nil"/>
              <w:bottom w:val="single" w:sz="4" w:space="0" w:color="ED712C"/>
              <w:right w:val="single" w:sz="4" w:space="0" w:color="ED712C"/>
            </w:tcBorders>
            <w:shd w:val="clear" w:color="000000" w:fill="FF0000"/>
            <w:vAlign w:val="center"/>
            <w:hideMark/>
          </w:tcPr>
          <w:p w14:paraId="3261D4D4" w14:textId="77777777" w:rsidR="003E27DF" w:rsidRPr="00187B10" w:rsidRDefault="003E27DF" w:rsidP="003E27DF">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72.6</w:t>
            </w:r>
          </w:p>
        </w:tc>
        <w:tc>
          <w:tcPr>
            <w:tcW w:w="0" w:type="auto"/>
            <w:tcBorders>
              <w:top w:val="nil"/>
              <w:left w:val="nil"/>
              <w:bottom w:val="single" w:sz="4" w:space="0" w:color="ED712C"/>
              <w:right w:val="single" w:sz="4" w:space="0" w:color="ED712C"/>
            </w:tcBorders>
            <w:shd w:val="clear" w:color="auto" w:fill="auto"/>
            <w:vAlign w:val="center"/>
            <w:hideMark/>
          </w:tcPr>
          <w:p w14:paraId="6E2E9DAF" w14:textId="77777777" w:rsidR="003E27DF" w:rsidRPr="00187B10" w:rsidRDefault="003E27DF" w:rsidP="003E27DF">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62.5</w:t>
            </w:r>
          </w:p>
        </w:tc>
        <w:tc>
          <w:tcPr>
            <w:tcW w:w="1061" w:type="dxa"/>
            <w:tcBorders>
              <w:top w:val="single" w:sz="4" w:space="0" w:color="ED712C"/>
              <w:left w:val="single" w:sz="4" w:space="0" w:color="ED712C"/>
              <w:bottom w:val="single" w:sz="4" w:space="0" w:color="ED712C"/>
              <w:right w:val="single" w:sz="4" w:space="0" w:color="ED712C"/>
            </w:tcBorders>
            <w:shd w:val="clear" w:color="000000" w:fill="FFFFFF"/>
            <w:vAlign w:val="center"/>
            <w:hideMark/>
          </w:tcPr>
          <w:p w14:paraId="56188F71" w14:textId="7DA0FD5D" w:rsidR="003E27DF" w:rsidRPr="00187B10" w:rsidRDefault="003E27DF" w:rsidP="003E27D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Q1 Data to be reported in Q2</w:t>
            </w:r>
          </w:p>
        </w:tc>
        <w:tc>
          <w:tcPr>
            <w:tcW w:w="1050" w:type="dxa"/>
            <w:tcBorders>
              <w:top w:val="single" w:sz="4" w:space="0" w:color="ED712C"/>
              <w:left w:val="single" w:sz="4" w:space="0" w:color="ED712C"/>
              <w:bottom w:val="single" w:sz="4" w:space="0" w:color="ED712C"/>
              <w:right w:val="single" w:sz="4" w:space="0" w:color="ED712C"/>
            </w:tcBorders>
            <w:shd w:val="clear" w:color="FFFFFF" w:fill="FFFFFF"/>
            <w:vAlign w:val="center"/>
          </w:tcPr>
          <w:p w14:paraId="4DB9BDEC" w14:textId="738FBCC5" w:rsidR="003E27DF" w:rsidRPr="00187B10" w:rsidRDefault="003E27DF" w:rsidP="003E27DF">
            <w:pPr>
              <w:spacing w:after="0" w:line="240" w:lineRule="auto"/>
              <w:jc w:val="center"/>
              <w:rPr>
                <w:rFonts w:ascii="Arial" w:eastAsia="Times New Roman" w:hAnsi="Arial" w:cs="Arial"/>
                <w:color w:val="D9D9D9"/>
                <w:sz w:val="20"/>
                <w:szCs w:val="20"/>
                <w:lang w:eastAsia="en-GB"/>
              </w:rPr>
            </w:pPr>
            <w:r w:rsidRPr="00340BE7">
              <w:rPr>
                <w:rFonts w:ascii="Arial" w:eastAsia="Times New Roman" w:hAnsi="Arial" w:cs="Arial"/>
                <w:sz w:val="20"/>
                <w:szCs w:val="20"/>
                <w:lang w:eastAsia="en-GB"/>
              </w:rPr>
              <w:t>N/A</w:t>
            </w:r>
          </w:p>
        </w:tc>
        <w:tc>
          <w:tcPr>
            <w:tcW w:w="856" w:type="dxa"/>
            <w:tcBorders>
              <w:top w:val="nil"/>
              <w:left w:val="nil"/>
              <w:bottom w:val="single" w:sz="4" w:space="0" w:color="ED712C"/>
              <w:right w:val="single" w:sz="4" w:space="0" w:color="ED712C"/>
            </w:tcBorders>
            <w:shd w:val="clear" w:color="auto" w:fill="auto"/>
            <w:vAlign w:val="center"/>
          </w:tcPr>
          <w:p w14:paraId="69B7D568" w14:textId="43862711" w:rsidR="003E27DF" w:rsidRPr="00187B10" w:rsidRDefault="00E05353" w:rsidP="003E27D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t>N/A</w:t>
            </w:r>
            <w:r w:rsidR="003E27DF" w:rsidRPr="007C1C9E">
              <w:rPr>
                <w:rFonts w:ascii="Arial" w:eastAsia="Times New Roman" w:hAnsi="Arial" w:cs="Arial"/>
                <w:sz w:val="20"/>
                <w:szCs w:val="20"/>
                <w:lang w:eastAsia="en-GB"/>
              </w:rPr>
              <w:t> </w:t>
            </w:r>
          </w:p>
        </w:tc>
        <w:tc>
          <w:tcPr>
            <w:tcW w:w="1773" w:type="dxa"/>
            <w:tcBorders>
              <w:top w:val="nil"/>
              <w:left w:val="single" w:sz="4" w:space="0" w:color="ED712C"/>
              <w:bottom w:val="single" w:sz="4" w:space="0" w:color="ED712C"/>
              <w:right w:val="single" w:sz="4" w:space="0" w:color="ED712C"/>
            </w:tcBorders>
            <w:shd w:val="clear" w:color="000000" w:fill="FF0000"/>
            <w:vAlign w:val="center"/>
            <w:hideMark/>
          </w:tcPr>
          <w:p w14:paraId="55B1C595" w14:textId="77777777" w:rsidR="003E27DF" w:rsidRPr="00187B10" w:rsidRDefault="003E27DF" w:rsidP="003E27DF">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4th Quartile Eng Av. 26 LA Av. 27 (20/21-22/23)</w:t>
            </w:r>
          </w:p>
        </w:tc>
      </w:tr>
      <w:tr w:rsidR="00187B10" w:rsidRPr="00187B10" w14:paraId="211CCA40" w14:textId="77777777" w:rsidTr="00520244">
        <w:trPr>
          <w:trHeight w:val="1290"/>
        </w:trPr>
        <w:tc>
          <w:tcPr>
            <w:tcW w:w="2363" w:type="dxa"/>
            <w:vMerge/>
            <w:tcBorders>
              <w:top w:val="single" w:sz="4" w:space="0" w:color="ED712C"/>
              <w:left w:val="single" w:sz="4" w:space="0" w:color="ED712C"/>
              <w:bottom w:val="nil"/>
              <w:right w:val="single" w:sz="4" w:space="0" w:color="ED712C"/>
            </w:tcBorders>
            <w:vAlign w:val="center"/>
            <w:hideMark/>
          </w:tcPr>
          <w:p w14:paraId="331071BB" w14:textId="77777777" w:rsidR="00187B10" w:rsidRPr="00187B10" w:rsidRDefault="00187B10" w:rsidP="00187B10">
            <w:pPr>
              <w:spacing w:after="0" w:line="240" w:lineRule="auto"/>
              <w:rPr>
                <w:rFonts w:ascii="Arial" w:eastAsia="Times New Roman" w:hAnsi="Arial" w:cs="Arial"/>
                <w:b/>
                <w:bCs/>
                <w:color w:val="000000"/>
                <w:sz w:val="20"/>
                <w:szCs w:val="20"/>
                <w:lang w:eastAsia="en-GB"/>
              </w:rPr>
            </w:pPr>
          </w:p>
        </w:tc>
        <w:tc>
          <w:tcPr>
            <w:tcW w:w="694" w:type="dxa"/>
            <w:tcBorders>
              <w:top w:val="nil"/>
              <w:left w:val="nil"/>
              <w:bottom w:val="single" w:sz="4" w:space="0" w:color="ED712C"/>
              <w:right w:val="nil"/>
            </w:tcBorders>
            <w:shd w:val="clear" w:color="auto" w:fill="auto"/>
            <w:vAlign w:val="center"/>
            <w:hideMark/>
          </w:tcPr>
          <w:p w14:paraId="18E7E00A"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PH-009</w:t>
            </w:r>
          </w:p>
        </w:tc>
        <w:tc>
          <w:tcPr>
            <w:tcW w:w="3459" w:type="dxa"/>
            <w:tcBorders>
              <w:top w:val="nil"/>
              <w:left w:val="single" w:sz="4" w:space="0" w:color="ED712C"/>
              <w:bottom w:val="single" w:sz="4" w:space="0" w:color="ED712C"/>
              <w:right w:val="single" w:sz="4" w:space="0" w:color="ED712C"/>
            </w:tcBorders>
            <w:shd w:val="clear" w:color="auto" w:fill="auto"/>
            <w:vAlign w:val="center"/>
            <w:hideMark/>
          </w:tcPr>
          <w:p w14:paraId="128A8F97" w14:textId="77777777" w:rsidR="00187B10" w:rsidRPr="00187B10" w:rsidRDefault="00187B10" w:rsidP="00187B10">
            <w:pPr>
              <w:spacing w:after="0" w:line="240" w:lineRule="auto"/>
              <w:rPr>
                <w:rFonts w:ascii="Arial" w:eastAsia="Times New Roman" w:hAnsi="Arial" w:cs="Arial"/>
                <w:sz w:val="20"/>
                <w:szCs w:val="20"/>
                <w:lang w:eastAsia="en-GB"/>
              </w:rPr>
            </w:pPr>
            <w:r w:rsidRPr="00187B10">
              <w:rPr>
                <w:rFonts w:ascii="Arial" w:eastAsia="Times New Roman" w:hAnsi="Arial" w:cs="Arial"/>
                <w:sz w:val="20"/>
                <w:szCs w:val="20"/>
                <w:lang w:eastAsia="en-GB"/>
              </w:rPr>
              <w:t>Percentage of children who received a 2-2.5 year Healthy Child Programme review by the time they were 2.5</w:t>
            </w:r>
          </w:p>
        </w:tc>
        <w:tc>
          <w:tcPr>
            <w:tcW w:w="1276" w:type="dxa"/>
            <w:tcBorders>
              <w:top w:val="nil"/>
              <w:left w:val="nil"/>
              <w:bottom w:val="single" w:sz="4" w:space="0" w:color="ED712C"/>
              <w:right w:val="single" w:sz="4" w:space="0" w:color="ED712C"/>
            </w:tcBorders>
            <w:shd w:val="clear" w:color="auto" w:fill="auto"/>
            <w:vAlign w:val="center"/>
            <w:hideMark/>
          </w:tcPr>
          <w:p w14:paraId="68B350EB"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Quarterly</w:t>
            </w:r>
          </w:p>
        </w:tc>
        <w:tc>
          <w:tcPr>
            <w:tcW w:w="1078" w:type="dxa"/>
            <w:tcBorders>
              <w:top w:val="nil"/>
              <w:left w:val="nil"/>
              <w:bottom w:val="single" w:sz="4" w:space="0" w:color="ED712C"/>
              <w:right w:val="single" w:sz="4" w:space="0" w:color="ED712C"/>
            </w:tcBorders>
            <w:shd w:val="clear" w:color="000000" w:fill="FFFFFF"/>
            <w:vAlign w:val="center"/>
            <w:hideMark/>
          </w:tcPr>
          <w:p w14:paraId="423448FF"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Higher</w:t>
            </w:r>
          </w:p>
        </w:tc>
        <w:tc>
          <w:tcPr>
            <w:tcW w:w="950" w:type="dxa"/>
            <w:tcBorders>
              <w:top w:val="nil"/>
              <w:left w:val="nil"/>
              <w:bottom w:val="single" w:sz="4" w:space="0" w:color="ED712C"/>
              <w:right w:val="single" w:sz="4" w:space="0" w:color="ED712C"/>
            </w:tcBorders>
            <w:shd w:val="clear" w:color="000000" w:fill="92D050"/>
            <w:vAlign w:val="center"/>
            <w:hideMark/>
          </w:tcPr>
          <w:p w14:paraId="6AE1419D"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90.2%</w:t>
            </w:r>
          </w:p>
        </w:tc>
        <w:tc>
          <w:tcPr>
            <w:tcW w:w="0" w:type="auto"/>
            <w:tcBorders>
              <w:top w:val="nil"/>
              <w:left w:val="nil"/>
              <w:bottom w:val="single" w:sz="4" w:space="0" w:color="ED712C"/>
              <w:right w:val="single" w:sz="4" w:space="0" w:color="ED712C"/>
            </w:tcBorders>
            <w:shd w:val="clear" w:color="auto" w:fill="auto"/>
            <w:vAlign w:val="center"/>
            <w:hideMark/>
          </w:tcPr>
          <w:p w14:paraId="5E9F2236"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86%</w:t>
            </w:r>
          </w:p>
        </w:tc>
        <w:tc>
          <w:tcPr>
            <w:tcW w:w="106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379EDEB9"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89</w:t>
            </w:r>
          </w:p>
        </w:tc>
        <w:tc>
          <w:tcPr>
            <w:tcW w:w="1050"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12FEB88A" w14:textId="77777777" w:rsidR="00187B10" w:rsidRPr="00187B10" w:rsidRDefault="00187B10" w:rsidP="00187B10">
            <w:pPr>
              <w:spacing w:after="0" w:line="240" w:lineRule="auto"/>
              <w:jc w:val="center"/>
              <w:rPr>
                <w:rFonts w:ascii="Arial" w:eastAsia="Times New Roman" w:hAnsi="Arial" w:cs="Arial"/>
                <w:color w:val="00B050"/>
                <w:sz w:val="20"/>
                <w:szCs w:val="20"/>
                <w:lang w:eastAsia="en-GB"/>
              </w:rPr>
            </w:pPr>
            <w:r w:rsidRPr="00187B10">
              <w:rPr>
                <w:rFonts w:ascii="Arial" w:eastAsia="Times New Roman" w:hAnsi="Arial" w:cs="Arial"/>
                <w:color w:val="00B050"/>
                <w:sz w:val="20"/>
                <w:szCs w:val="20"/>
                <w:lang w:eastAsia="en-GB"/>
              </w:rPr>
              <w:t>3.49%</w:t>
            </w:r>
          </w:p>
        </w:tc>
        <w:tc>
          <w:tcPr>
            <w:tcW w:w="856" w:type="dxa"/>
            <w:tcBorders>
              <w:top w:val="nil"/>
              <w:left w:val="nil"/>
              <w:bottom w:val="single" w:sz="4" w:space="0" w:color="ED712C"/>
              <w:right w:val="single" w:sz="4" w:space="0" w:color="ED712C"/>
            </w:tcBorders>
            <w:shd w:val="clear" w:color="000000" w:fill="FFFFFF"/>
            <w:vAlign w:val="center"/>
            <w:hideMark/>
          </w:tcPr>
          <w:p w14:paraId="50FA3F01" w14:textId="7BC67352"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noProof/>
                <w:color w:val="000000"/>
                <w:sz w:val="20"/>
                <w:szCs w:val="20"/>
                <w:lang w:eastAsia="en-GB"/>
              </w:rPr>
              <w:drawing>
                <wp:anchor distT="0" distB="0" distL="114300" distR="114300" simplePos="0" relativeHeight="251658275" behindDoc="0" locked="0" layoutInCell="1" allowOverlap="1" wp14:anchorId="070B1A60" wp14:editId="115B3AFA">
                  <wp:simplePos x="0" y="0"/>
                  <wp:positionH relativeFrom="column">
                    <wp:posOffset>36195</wp:posOffset>
                  </wp:positionH>
                  <wp:positionV relativeFrom="paragraph">
                    <wp:posOffset>-13970</wp:posOffset>
                  </wp:positionV>
                  <wp:extent cx="279400" cy="260350"/>
                  <wp:effectExtent l="0" t="0" r="6350" b="0"/>
                  <wp:wrapNone/>
                  <wp:docPr id="15" name="Picture 30" descr="P682C53T9#y1">
                    <a:extLst xmlns:a="http://schemas.openxmlformats.org/drawingml/2006/main">
                      <a:ext uri="{FF2B5EF4-FFF2-40B4-BE49-F238E27FC236}">
                        <a16:creationId xmlns:a16="http://schemas.microsoft.com/office/drawing/2014/main" id="{6EC2089E-A4EF-45A1-B890-4C76FFA2D1F8}"/>
                      </a:ext>
                      <a:ext uri="{147F2762-F138-4A5C-976F-8EAC2B608ADB}">
                        <a16:predDERef xmlns:a16="http://schemas.microsoft.com/office/drawing/2014/main" pred="{E0D44764-20E3-4678-B3D4-538917B8870A}"/>
                      </a:ext>
                    </a:extLst>
                  </wp:docPr>
                  <wp:cNvGraphicFramePr/>
                  <a:graphic xmlns:a="http://schemas.openxmlformats.org/drawingml/2006/main">
                    <a:graphicData uri="http://schemas.openxmlformats.org/drawingml/2006/picture">
                      <pic:pic xmlns:pic="http://schemas.openxmlformats.org/drawingml/2006/picture">
                        <pic:nvPicPr>
                          <pic:cNvPr id="15" name="Picture 19" descr="P682C53T9#y1">
                            <a:extLst>
                              <a:ext uri="{FF2B5EF4-FFF2-40B4-BE49-F238E27FC236}">
                                <a16:creationId xmlns:a16="http://schemas.microsoft.com/office/drawing/2014/main" id="{6EC2089E-A4EF-45A1-B890-4C76FFA2D1F8}"/>
                              </a:ext>
                              <a:ext uri="{147F2762-F138-4A5C-976F-8EAC2B608ADB}">
                                <a16:predDERef xmlns:a16="http://schemas.microsoft.com/office/drawing/2014/main" pred="{E0D44764-20E3-4678-B3D4-538917B8870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1773" w:type="dxa"/>
            <w:tcBorders>
              <w:top w:val="nil"/>
              <w:left w:val="single" w:sz="4" w:space="0" w:color="ED712C"/>
              <w:bottom w:val="single" w:sz="4" w:space="0" w:color="ED712C"/>
              <w:right w:val="single" w:sz="4" w:space="0" w:color="ED712C"/>
            </w:tcBorders>
            <w:shd w:val="clear" w:color="000000" w:fill="FFC000"/>
            <w:vAlign w:val="center"/>
            <w:hideMark/>
          </w:tcPr>
          <w:p w14:paraId="3205BC7D" w14:textId="354A3B01"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3rd Quartile Eng Av. 73.6 LA Av. 88.6 (2022/23)</w:t>
            </w:r>
          </w:p>
        </w:tc>
      </w:tr>
      <w:tr w:rsidR="00187B10" w:rsidRPr="00187B10" w14:paraId="33A0A53E" w14:textId="77777777" w:rsidTr="00520244">
        <w:trPr>
          <w:trHeight w:val="1290"/>
        </w:trPr>
        <w:tc>
          <w:tcPr>
            <w:tcW w:w="2363" w:type="dxa"/>
            <w:vMerge/>
            <w:tcBorders>
              <w:top w:val="single" w:sz="4" w:space="0" w:color="ED712C"/>
              <w:left w:val="single" w:sz="4" w:space="0" w:color="ED712C"/>
              <w:bottom w:val="nil"/>
              <w:right w:val="single" w:sz="4" w:space="0" w:color="ED712C"/>
            </w:tcBorders>
            <w:vAlign w:val="center"/>
            <w:hideMark/>
          </w:tcPr>
          <w:p w14:paraId="6887AD9F" w14:textId="77777777" w:rsidR="00187B10" w:rsidRPr="00187B10" w:rsidRDefault="00187B10" w:rsidP="00187B10">
            <w:pPr>
              <w:spacing w:after="0" w:line="240" w:lineRule="auto"/>
              <w:rPr>
                <w:rFonts w:ascii="Arial" w:eastAsia="Times New Roman" w:hAnsi="Arial" w:cs="Arial"/>
                <w:b/>
                <w:bCs/>
                <w:color w:val="000000"/>
                <w:sz w:val="20"/>
                <w:szCs w:val="20"/>
                <w:lang w:eastAsia="en-GB"/>
              </w:rPr>
            </w:pPr>
          </w:p>
        </w:tc>
        <w:tc>
          <w:tcPr>
            <w:tcW w:w="694" w:type="dxa"/>
            <w:tcBorders>
              <w:top w:val="nil"/>
              <w:left w:val="nil"/>
              <w:bottom w:val="single" w:sz="4" w:space="0" w:color="ED712C"/>
              <w:right w:val="nil"/>
            </w:tcBorders>
            <w:shd w:val="clear" w:color="auto" w:fill="auto"/>
            <w:vAlign w:val="center"/>
            <w:hideMark/>
          </w:tcPr>
          <w:p w14:paraId="381CABB1"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PH-010</w:t>
            </w:r>
          </w:p>
        </w:tc>
        <w:tc>
          <w:tcPr>
            <w:tcW w:w="3459" w:type="dxa"/>
            <w:tcBorders>
              <w:top w:val="nil"/>
              <w:left w:val="single" w:sz="4" w:space="0" w:color="ED712C"/>
              <w:bottom w:val="single" w:sz="4" w:space="0" w:color="ED712C"/>
              <w:right w:val="single" w:sz="4" w:space="0" w:color="ED712C"/>
            </w:tcBorders>
            <w:shd w:val="clear" w:color="auto" w:fill="auto"/>
            <w:vAlign w:val="center"/>
            <w:hideMark/>
          </w:tcPr>
          <w:p w14:paraId="3EF3739A" w14:textId="77777777" w:rsidR="00187B10" w:rsidRPr="00187B10" w:rsidRDefault="00187B10" w:rsidP="00187B10">
            <w:pPr>
              <w:spacing w:after="0" w:line="240" w:lineRule="auto"/>
              <w:rPr>
                <w:rFonts w:ascii="Arial" w:eastAsia="Times New Roman" w:hAnsi="Arial" w:cs="Arial"/>
                <w:sz w:val="20"/>
                <w:szCs w:val="20"/>
                <w:lang w:eastAsia="en-GB"/>
              </w:rPr>
            </w:pPr>
            <w:r w:rsidRPr="00187B10">
              <w:rPr>
                <w:rFonts w:ascii="Arial" w:eastAsia="Times New Roman" w:hAnsi="Arial" w:cs="Arial"/>
                <w:sz w:val="20"/>
                <w:szCs w:val="20"/>
                <w:lang w:eastAsia="en-GB"/>
              </w:rPr>
              <w:t>Percentage of children achieving a good level of development at 2-2 1/2 years</w:t>
            </w:r>
          </w:p>
        </w:tc>
        <w:tc>
          <w:tcPr>
            <w:tcW w:w="1276" w:type="dxa"/>
            <w:tcBorders>
              <w:top w:val="nil"/>
              <w:left w:val="nil"/>
              <w:bottom w:val="single" w:sz="4" w:space="0" w:color="ED712C"/>
              <w:right w:val="single" w:sz="4" w:space="0" w:color="ED712C"/>
            </w:tcBorders>
            <w:shd w:val="clear" w:color="auto" w:fill="auto"/>
            <w:vAlign w:val="center"/>
            <w:hideMark/>
          </w:tcPr>
          <w:p w14:paraId="1CA6ADAB"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Quarterly</w:t>
            </w:r>
          </w:p>
        </w:tc>
        <w:tc>
          <w:tcPr>
            <w:tcW w:w="1078" w:type="dxa"/>
            <w:tcBorders>
              <w:top w:val="nil"/>
              <w:left w:val="nil"/>
              <w:bottom w:val="single" w:sz="4" w:space="0" w:color="ED712C"/>
              <w:right w:val="single" w:sz="4" w:space="0" w:color="ED712C"/>
            </w:tcBorders>
            <w:shd w:val="clear" w:color="000000" w:fill="FFFFFF"/>
            <w:vAlign w:val="center"/>
            <w:hideMark/>
          </w:tcPr>
          <w:p w14:paraId="416140FA"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Higher</w:t>
            </w:r>
          </w:p>
        </w:tc>
        <w:tc>
          <w:tcPr>
            <w:tcW w:w="950" w:type="dxa"/>
            <w:tcBorders>
              <w:top w:val="nil"/>
              <w:left w:val="nil"/>
              <w:bottom w:val="single" w:sz="4" w:space="0" w:color="ED712C"/>
              <w:right w:val="single" w:sz="4" w:space="0" w:color="ED712C"/>
            </w:tcBorders>
            <w:shd w:val="clear" w:color="000000" w:fill="92D050"/>
            <w:vAlign w:val="center"/>
            <w:hideMark/>
          </w:tcPr>
          <w:p w14:paraId="4B069814"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85.4%</w:t>
            </w:r>
          </w:p>
        </w:tc>
        <w:tc>
          <w:tcPr>
            <w:tcW w:w="0" w:type="auto"/>
            <w:tcBorders>
              <w:top w:val="nil"/>
              <w:left w:val="nil"/>
              <w:bottom w:val="single" w:sz="4" w:space="0" w:color="ED712C"/>
              <w:right w:val="single" w:sz="4" w:space="0" w:color="ED712C"/>
            </w:tcBorders>
            <w:shd w:val="clear" w:color="auto" w:fill="auto"/>
            <w:vAlign w:val="center"/>
            <w:hideMark/>
          </w:tcPr>
          <w:p w14:paraId="57050843"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85%</w:t>
            </w:r>
          </w:p>
        </w:tc>
        <w:tc>
          <w:tcPr>
            <w:tcW w:w="1061" w:type="dxa"/>
            <w:tcBorders>
              <w:top w:val="single" w:sz="4" w:space="0" w:color="ED712C"/>
              <w:left w:val="single" w:sz="4" w:space="0" w:color="ED712C"/>
              <w:bottom w:val="single" w:sz="4" w:space="0" w:color="ED712C"/>
              <w:right w:val="single" w:sz="4" w:space="0" w:color="ED712C"/>
            </w:tcBorders>
            <w:shd w:val="clear" w:color="000000" w:fill="92D050"/>
            <w:vAlign w:val="center"/>
            <w:hideMark/>
          </w:tcPr>
          <w:p w14:paraId="5C201AF9" w14:textId="7777777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color w:val="000000"/>
                <w:sz w:val="20"/>
                <w:szCs w:val="20"/>
                <w:lang w:eastAsia="en-GB"/>
              </w:rPr>
              <w:t>86</w:t>
            </w:r>
          </w:p>
        </w:tc>
        <w:tc>
          <w:tcPr>
            <w:tcW w:w="1050" w:type="dxa"/>
            <w:tcBorders>
              <w:top w:val="single" w:sz="4" w:space="0" w:color="ED712C"/>
              <w:left w:val="single" w:sz="4" w:space="0" w:color="ED712C"/>
              <w:bottom w:val="single" w:sz="4" w:space="0" w:color="ED712C"/>
              <w:right w:val="single" w:sz="4" w:space="0" w:color="ED712C"/>
            </w:tcBorders>
            <w:shd w:val="clear" w:color="auto" w:fill="auto"/>
            <w:vAlign w:val="center"/>
            <w:hideMark/>
          </w:tcPr>
          <w:p w14:paraId="6018BD11" w14:textId="77777777" w:rsidR="00187B10" w:rsidRPr="00187B10" w:rsidRDefault="00187B10" w:rsidP="00187B10">
            <w:pPr>
              <w:spacing w:after="0" w:line="240" w:lineRule="auto"/>
              <w:jc w:val="center"/>
              <w:rPr>
                <w:rFonts w:ascii="Arial" w:eastAsia="Times New Roman" w:hAnsi="Arial" w:cs="Arial"/>
                <w:color w:val="00B050"/>
                <w:sz w:val="20"/>
                <w:szCs w:val="20"/>
                <w:lang w:eastAsia="en-GB"/>
              </w:rPr>
            </w:pPr>
            <w:r w:rsidRPr="00187B10">
              <w:rPr>
                <w:rFonts w:ascii="Arial" w:eastAsia="Times New Roman" w:hAnsi="Arial" w:cs="Arial"/>
                <w:color w:val="00B050"/>
                <w:sz w:val="20"/>
                <w:szCs w:val="20"/>
                <w:lang w:eastAsia="en-GB"/>
              </w:rPr>
              <w:t>1.18%</w:t>
            </w:r>
          </w:p>
        </w:tc>
        <w:tc>
          <w:tcPr>
            <w:tcW w:w="856" w:type="dxa"/>
            <w:tcBorders>
              <w:top w:val="nil"/>
              <w:left w:val="nil"/>
              <w:bottom w:val="single" w:sz="4" w:space="0" w:color="ED712C"/>
              <w:right w:val="single" w:sz="4" w:space="0" w:color="ED712C"/>
            </w:tcBorders>
            <w:shd w:val="clear" w:color="000000" w:fill="FFFFFF"/>
            <w:vAlign w:val="center"/>
            <w:hideMark/>
          </w:tcPr>
          <w:p w14:paraId="301A31EF" w14:textId="10C64637" w:rsidR="00187B10" w:rsidRPr="00187B10" w:rsidRDefault="00187B10" w:rsidP="00187B10">
            <w:pPr>
              <w:spacing w:after="0" w:line="240" w:lineRule="auto"/>
              <w:jc w:val="center"/>
              <w:rPr>
                <w:rFonts w:ascii="Arial" w:eastAsia="Times New Roman" w:hAnsi="Arial" w:cs="Arial"/>
                <w:color w:val="000000"/>
                <w:sz w:val="20"/>
                <w:szCs w:val="20"/>
                <w:lang w:eastAsia="en-GB"/>
              </w:rPr>
            </w:pPr>
            <w:r w:rsidRPr="00187B10">
              <w:rPr>
                <w:rFonts w:ascii="Arial" w:eastAsia="Times New Roman" w:hAnsi="Arial" w:cs="Arial"/>
                <w:noProof/>
                <w:color w:val="000000"/>
                <w:sz w:val="20"/>
                <w:szCs w:val="20"/>
                <w:lang w:eastAsia="en-GB"/>
              </w:rPr>
              <w:drawing>
                <wp:anchor distT="0" distB="0" distL="114300" distR="114300" simplePos="0" relativeHeight="251658274" behindDoc="0" locked="0" layoutInCell="1" allowOverlap="1" wp14:anchorId="4FFF8A39" wp14:editId="389530A0">
                  <wp:simplePos x="0" y="0"/>
                  <wp:positionH relativeFrom="column">
                    <wp:posOffset>55245</wp:posOffset>
                  </wp:positionH>
                  <wp:positionV relativeFrom="paragraph">
                    <wp:posOffset>-29210</wp:posOffset>
                  </wp:positionV>
                  <wp:extent cx="285750" cy="241300"/>
                  <wp:effectExtent l="0" t="0" r="0" b="6350"/>
                  <wp:wrapNone/>
                  <wp:docPr id="63" name="Picture 31" descr="P694C63T9#y1">
                    <a:extLst xmlns:a="http://schemas.openxmlformats.org/drawingml/2006/main">
                      <a:ext uri="{FF2B5EF4-FFF2-40B4-BE49-F238E27FC236}">
                        <a16:creationId xmlns:a16="http://schemas.microsoft.com/office/drawing/2014/main" id="{C49BC922-F489-4E5D-A40D-724731BF9C55}"/>
                      </a:ext>
                      <a:ext uri="{147F2762-F138-4A5C-976F-8EAC2B608ADB}">
                        <a16:predDERef xmlns:a16="http://schemas.microsoft.com/office/drawing/2014/main" pred="{842F3EBC-8145-478F-B565-D002D09D3323}"/>
                      </a:ext>
                    </a:extLst>
                  </wp:docPr>
                  <wp:cNvGraphicFramePr/>
                  <a:graphic xmlns:a="http://schemas.openxmlformats.org/drawingml/2006/main">
                    <a:graphicData uri="http://schemas.openxmlformats.org/drawingml/2006/picture">
                      <pic:pic xmlns:pic="http://schemas.openxmlformats.org/drawingml/2006/picture">
                        <pic:nvPicPr>
                          <pic:cNvPr id="63" name="Picture 18" descr="P694C63T9#y1">
                            <a:extLst>
                              <a:ext uri="{FF2B5EF4-FFF2-40B4-BE49-F238E27FC236}">
                                <a16:creationId xmlns:a16="http://schemas.microsoft.com/office/drawing/2014/main" id="{C49BC922-F489-4E5D-A40D-724731BF9C55}"/>
                              </a:ext>
                              <a:ext uri="{147F2762-F138-4A5C-976F-8EAC2B608ADB}">
                                <a16:predDERef xmlns:a16="http://schemas.microsoft.com/office/drawing/2014/main" pred="{842F3EBC-8145-478F-B565-D002D09D332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857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1773" w:type="dxa"/>
            <w:tcBorders>
              <w:top w:val="nil"/>
              <w:left w:val="single" w:sz="4" w:space="0" w:color="ED712C"/>
              <w:bottom w:val="single" w:sz="4" w:space="0" w:color="ED712C"/>
              <w:right w:val="single" w:sz="4" w:space="0" w:color="ED712C"/>
            </w:tcBorders>
            <w:shd w:val="clear" w:color="000000" w:fill="FFFF00"/>
            <w:vAlign w:val="center"/>
            <w:hideMark/>
          </w:tcPr>
          <w:p w14:paraId="5B890C10" w14:textId="77777777" w:rsidR="00187B10" w:rsidRPr="00187B10" w:rsidRDefault="00187B10" w:rsidP="00187B10">
            <w:pPr>
              <w:spacing w:after="0" w:line="240" w:lineRule="auto"/>
              <w:jc w:val="center"/>
              <w:rPr>
                <w:rFonts w:ascii="Arial" w:eastAsia="Times New Roman" w:hAnsi="Arial" w:cs="Arial"/>
                <w:sz w:val="20"/>
                <w:szCs w:val="20"/>
                <w:lang w:eastAsia="en-GB"/>
              </w:rPr>
            </w:pPr>
            <w:r w:rsidRPr="00187B10">
              <w:rPr>
                <w:rFonts w:ascii="Arial" w:eastAsia="Times New Roman" w:hAnsi="Arial" w:cs="Arial"/>
                <w:sz w:val="20"/>
                <w:szCs w:val="20"/>
                <w:lang w:eastAsia="en-GB"/>
              </w:rPr>
              <w:t>2nd Quartile Eng Av. 79.3 LA Av. 79.5 (2022/23)</w:t>
            </w:r>
          </w:p>
        </w:tc>
      </w:tr>
    </w:tbl>
    <w:p w14:paraId="579B7C6E" w14:textId="4780EA89" w:rsidR="77310A43" w:rsidRDefault="77310A43"/>
    <w:p w14:paraId="6FA6E17D" w14:textId="77777777" w:rsidR="00B0379D" w:rsidRPr="003E149F" w:rsidRDefault="00E75E6D" w:rsidP="00B0379D">
      <w:pPr>
        <w:spacing w:after="240" w:line="240" w:lineRule="auto"/>
        <w:jc w:val="both"/>
        <w:rPr>
          <w:rFonts w:ascii="Arial" w:hAnsi="Arial" w:cs="Arial"/>
          <w:b/>
          <w:color w:val="ED712C"/>
          <w:sz w:val="32"/>
          <w:szCs w:val="32"/>
        </w:rPr>
      </w:pPr>
      <w:r w:rsidRPr="003E149F">
        <w:rPr>
          <w:rFonts w:ascii="Arial" w:hAnsi="Arial" w:cs="Arial"/>
          <w:b/>
          <w:color w:val="ED712C"/>
          <w:sz w:val="32"/>
          <w:szCs w:val="32"/>
        </w:rPr>
        <w:t xml:space="preserve">Summary of </w:t>
      </w:r>
      <w:r>
        <w:rPr>
          <w:rFonts w:ascii="Arial" w:hAnsi="Arial" w:cs="Arial"/>
          <w:b/>
          <w:color w:val="ED712C"/>
          <w:sz w:val="32"/>
          <w:szCs w:val="32"/>
        </w:rPr>
        <w:t>p</w:t>
      </w:r>
      <w:r w:rsidRPr="003E149F">
        <w:rPr>
          <w:rFonts w:ascii="Arial" w:hAnsi="Arial" w:cs="Arial"/>
          <w:b/>
          <w:color w:val="ED712C"/>
          <w:sz w:val="32"/>
          <w:szCs w:val="32"/>
        </w:rPr>
        <w:t>erformance against outcome and action for improvement</w:t>
      </w:r>
    </w:p>
    <w:p w14:paraId="702571CB" w14:textId="77777777" w:rsidR="00B0379D" w:rsidRPr="003E149F" w:rsidRDefault="00E75E6D" w:rsidP="00B0379D">
      <w:pPr>
        <w:spacing w:after="120" w:line="240" w:lineRule="auto"/>
        <w:jc w:val="both"/>
        <w:rPr>
          <w:rFonts w:ascii="Arial" w:hAnsi="Arial" w:cs="Arial"/>
          <w:b/>
          <w:color w:val="ED712C"/>
          <w:sz w:val="32"/>
          <w:szCs w:val="32"/>
        </w:rPr>
      </w:pPr>
      <w:r w:rsidRPr="003E149F">
        <w:rPr>
          <w:rFonts w:ascii="Arial" w:hAnsi="Arial" w:cs="Arial"/>
          <w:b/>
          <w:color w:val="ED712C"/>
          <w:sz w:val="32"/>
          <w:szCs w:val="32"/>
        </w:rPr>
        <w:t>Outcome – Children and young people are safe from harm and the lives of children in care improve</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ook w:val="04A0" w:firstRow="1" w:lastRow="0" w:firstColumn="1" w:lastColumn="0" w:noHBand="0" w:noVBand="1"/>
      </w:tblPr>
      <w:tblGrid>
        <w:gridCol w:w="8359"/>
        <w:gridCol w:w="7029"/>
      </w:tblGrid>
      <w:tr w:rsidR="00970157" w14:paraId="666C9C15" w14:textId="77777777" w:rsidTr="00EF032E">
        <w:tc>
          <w:tcPr>
            <w:tcW w:w="8359" w:type="dxa"/>
            <w:shd w:val="clear" w:color="auto" w:fill="ED712C"/>
          </w:tcPr>
          <w:p w14:paraId="678B5C79" w14:textId="77777777" w:rsidR="00B0379D" w:rsidRPr="00DA0660" w:rsidRDefault="00E75E6D" w:rsidP="00B0379D">
            <w:pPr>
              <w:spacing w:after="120"/>
              <w:jc w:val="both"/>
              <w:rPr>
                <w:rFonts w:ascii="Arial" w:hAnsi="Arial" w:cs="Arial"/>
                <w:b/>
                <w:bCs/>
                <w:color w:val="FFFFFF" w:themeColor="background1"/>
              </w:rPr>
            </w:pPr>
            <w:r w:rsidRPr="00DA0660">
              <w:rPr>
                <w:rFonts w:ascii="Arial" w:hAnsi="Arial" w:cs="Arial"/>
                <w:b/>
                <w:bCs/>
                <w:color w:val="FFFFFF" w:themeColor="background1"/>
              </w:rPr>
              <w:t>Current Performance</w:t>
            </w:r>
          </w:p>
        </w:tc>
        <w:tc>
          <w:tcPr>
            <w:tcW w:w="7029" w:type="dxa"/>
            <w:shd w:val="clear" w:color="auto" w:fill="ED712C"/>
          </w:tcPr>
          <w:p w14:paraId="6867852A" w14:textId="77777777" w:rsidR="00B0379D" w:rsidRPr="00DA0660" w:rsidRDefault="00B0379D" w:rsidP="00B0379D">
            <w:pPr>
              <w:spacing w:after="120"/>
              <w:jc w:val="both"/>
              <w:rPr>
                <w:rFonts w:ascii="Arial" w:hAnsi="Arial" w:cs="Arial"/>
                <w:b/>
                <w:bCs/>
                <w:color w:val="FFFFFF" w:themeColor="background1"/>
              </w:rPr>
            </w:pPr>
          </w:p>
        </w:tc>
      </w:tr>
      <w:tr w:rsidR="00970157" w14:paraId="73C87BF1" w14:textId="77777777" w:rsidTr="00EF032E">
        <w:tc>
          <w:tcPr>
            <w:tcW w:w="15388" w:type="dxa"/>
            <w:gridSpan w:val="2"/>
          </w:tcPr>
          <w:p w14:paraId="5450FD82" w14:textId="6069BE53" w:rsidR="008C6030" w:rsidRPr="00382363" w:rsidRDefault="008C6030" w:rsidP="008C6030">
            <w:pPr>
              <w:pStyle w:val="ListParagraph"/>
              <w:numPr>
                <w:ilvl w:val="0"/>
                <w:numId w:val="11"/>
              </w:numPr>
              <w:spacing w:before="120" w:after="120"/>
              <w:ind w:left="714" w:hanging="357"/>
              <w:contextualSpacing w:val="0"/>
              <w:rPr>
                <w:rFonts w:ascii="Arial" w:eastAsiaTheme="minorEastAsia" w:hAnsi="Arial" w:cs="Arial"/>
              </w:rPr>
            </w:pPr>
            <w:r w:rsidRPr="00382363">
              <w:rPr>
                <w:rFonts w:ascii="Arial" w:eastAsia="Arial" w:hAnsi="Arial" w:cs="Arial"/>
              </w:rPr>
              <w:t xml:space="preserve">Performance against the outcome showed some areas of strong performance and improvements but also some ongoing challenges </w:t>
            </w:r>
            <w:r w:rsidR="001B4B39">
              <w:rPr>
                <w:rFonts w:ascii="Arial" w:eastAsia="Arial" w:hAnsi="Arial" w:cs="Arial"/>
              </w:rPr>
              <w:t>particularly around dem</w:t>
            </w:r>
            <w:r w:rsidR="00EC578B">
              <w:rPr>
                <w:rFonts w:ascii="Arial" w:eastAsia="Arial" w:hAnsi="Arial" w:cs="Arial"/>
              </w:rPr>
              <w:t xml:space="preserve">and volume </w:t>
            </w:r>
            <w:r w:rsidRPr="00382363">
              <w:rPr>
                <w:rFonts w:ascii="Arial" w:eastAsia="Arial" w:hAnsi="Arial" w:cs="Arial"/>
              </w:rPr>
              <w:t xml:space="preserve">in the area of Children’s Social Care. </w:t>
            </w:r>
          </w:p>
          <w:p w14:paraId="421A5153" w14:textId="77777777" w:rsidR="008C6030" w:rsidRPr="00382363" w:rsidRDefault="008C6030" w:rsidP="008C6030">
            <w:pPr>
              <w:pStyle w:val="ListParagraph"/>
              <w:numPr>
                <w:ilvl w:val="0"/>
                <w:numId w:val="11"/>
              </w:numPr>
              <w:spacing w:before="120" w:after="120"/>
              <w:ind w:left="714" w:hanging="357"/>
              <w:contextualSpacing w:val="0"/>
              <w:rPr>
                <w:rFonts w:ascii="Arial" w:eastAsiaTheme="minorEastAsia" w:hAnsi="Arial" w:cs="Arial"/>
              </w:rPr>
            </w:pPr>
            <w:r w:rsidRPr="00382363">
              <w:rPr>
                <w:rFonts w:ascii="Arial" w:hAnsi="Arial" w:cs="Arial"/>
                <w:b/>
                <w:bCs/>
              </w:rPr>
              <w:t>CYP-001</w:t>
            </w:r>
            <w:r w:rsidRPr="00382363">
              <w:rPr>
                <w:rFonts w:ascii="Arial" w:hAnsi="Arial" w:cs="Arial"/>
              </w:rPr>
              <w:t xml:space="preserve"> - During Quarter 1 2024-25 a total of 402 early help episodes were initiated across the St Helens partnership. The projection for the end of the year is 1608 episodes starting, which is above our target of 1600. It should be noted that we are slightly down on the same period last year (421). Performance of the indicator will be closely monitored to assess how seasonal fluctuations impact the year-end projection.</w:t>
            </w:r>
          </w:p>
          <w:p w14:paraId="59D961FD" w14:textId="7777777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 xml:space="preserve">CYP-002 </w:t>
            </w:r>
            <w:r w:rsidRPr="004D672B">
              <w:rPr>
                <w:rFonts w:ascii="Arial" w:eastAsiaTheme="minorEastAsia" w:hAnsi="Arial" w:cs="Arial"/>
              </w:rPr>
              <w:t>– At the end of Quarter 1 2024-25,</w:t>
            </w:r>
            <w:r w:rsidRPr="004D672B">
              <w:rPr>
                <w:rFonts w:ascii="Arial" w:hAnsi="Arial" w:cs="Arial"/>
              </w:rPr>
              <w:t xml:space="preserve"> 89% of Early Help cases that have been closed for 12 months have not returned to social care in the subsequent 12 months. This is 2% up on Quarter 1 last year and puts us in line to be above our annual target of 87%.</w:t>
            </w:r>
          </w:p>
          <w:p w14:paraId="03910B65" w14:textId="7777777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 xml:space="preserve">CYP-003 </w:t>
            </w:r>
            <w:r w:rsidRPr="004D672B">
              <w:rPr>
                <w:rFonts w:ascii="Arial" w:eastAsiaTheme="minorEastAsia" w:hAnsi="Arial" w:cs="Arial"/>
              </w:rPr>
              <w:t>- At the end of Quarter 1 2024-25</w:t>
            </w:r>
            <w:r w:rsidRPr="004D672B">
              <w:rPr>
                <w:rFonts w:ascii="Arial" w:hAnsi="Arial" w:cs="Arial"/>
              </w:rPr>
              <w:t>, the rate of children and young people open to St Helens Children's Social Services (CIN) was 444.2 per 10,000 under 18-year-olds, compared to 451 per 10,000 at the end of Quarter 1 2023-24. The current rate is the lowest it has been since July 2023. However, the rate of Children In Need per 10,000 0-17 population reported for St Helens continues to above comparable regional and national averages. The CIN rate is quite volatile and open CIN numbers can vary between 1600 and 1800 in just a few months. Throughout Quarter 1 CIN numbers have been below 1700 and we will look to move this clos</w:t>
            </w:r>
            <w:r>
              <w:rPr>
                <w:rFonts w:ascii="Arial" w:hAnsi="Arial" w:cs="Arial"/>
              </w:rPr>
              <w:t>er</w:t>
            </w:r>
            <w:r w:rsidRPr="004D672B">
              <w:rPr>
                <w:rFonts w:ascii="Arial" w:hAnsi="Arial" w:cs="Arial"/>
              </w:rPr>
              <w:t xml:space="preserve"> to 1600 in line with the annual target. </w:t>
            </w:r>
          </w:p>
          <w:p w14:paraId="6E6EC50E" w14:textId="7777777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 xml:space="preserve">CYP-004 </w:t>
            </w:r>
            <w:r w:rsidRPr="004D672B">
              <w:rPr>
                <w:rFonts w:ascii="Arial" w:eastAsiaTheme="minorEastAsia" w:hAnsi="Arial" w:cs="Arial"/>
              </w:rPr>
              <w:t>-</w:t>
            </w:r>
            <w:r w:rsidRPr="004D672B">
              <w:rPr>
                <w:rFonts w:ascii="Arial" w:eastAsiaTheme="minorEastAsia" w:hAnsi="Arial" w:cs="Arial"/>
                <w:b/>
                <w:bCs/>
              </w:rPr>
              <w:t xml:space="preserve"> </w:t>
            </w:r>
            <w:r w:rsidRPr="004D672B">
              <w:rPr>
                <w:rFonts w:ascii="Arial" w:eastAsiaTheme="minorEastAsia" w:hAnsi="Arial" w:cs="Arial"/>
              </w:rPr>
              <w:t>At the end of Quarter 1 2024-25 the rate of children under-18 per 10,000</w:t>
            </w:r>
            <w:r w:rsidRPr="004D672B">
              <w:rPr>
                <w:rFonts w:ascii="Arial" w:hAnsi="Arial" w:cs="Arial"/>
              </w:rPr>
              <w:t xml:space="preserve"> subject to a Child Protection (CP) Plan and supported by St Helens Children's Social Services was 46.9 per 10,000, better than the annual target of 49. At the end of Quarter 1 2023-24 St Helens’ rate stood at 66.9 per 10,000. While we have gone from being above all of our comparator areas to below them, our new targets reflect how we aim to maintain our Child Protection rates as below our statistical neighbours</w:t>
            </w:r>
            <w:r>
              <w:rPr>
                <w:rFonts w:ascii="Arial" w:hAnsi="Arial" w:cs="Arial"/>
              </w:rPr>
              <w:t xml:space="preserve"> rate</w:t>
            </w:r>
            <w:r w:rsidRPr="004D672B">
              <w:rPr>
                <w:rFonts w:ascii="Arial" w:hAnsi="Arial" w:cs="Arial"/>
              </w:rPr>
              <w:t xml:space="preserve"> (60 per 10,000) and more in line with </w:t>
            </w:r>
            <w:r>
              <w:rPr>
                <w:rFonts w:ascii="Arial" w:hAnsi="Arial" w:cs="Arial"/>
              </w:rPr>
              <w:t>the regional</w:t>
            </w:r>
            <w:r w:rsidRPr="004D672B">
              <w:rPr>
                <w:rFonts w:ascii="Arial" w:hAnsi="Arial" w:cs="Arial"/>
              </w:rPr>
              <w:t xml:space="preserve"> rate (49 per 10,000). At 46.9 per 10,000 we are currently between</w:t>
            </w:r>
            <w:r>
              <w:rPr>
                <w:rFonts w:ascii="Arial" w:hAnsi="Arial" w:cs="Arial"/>
              </w:rPr>
              <w:t xml:space="preserve"> the</w:t>
            </w:r>
            <w:r w:rsidRPr="004D672B">
              <w:rPr>
                <w:rFonts w:ascii="Arial" w:hAnsi="Arial" w:cs="Arial"/>
              </w:rPr>
              <w:t xml:space="preserve"> </w:t>
            </w:r>
            <w:r>
              <w:rPr>
                <w:rFonts w:ascii="Arial" w:hAnsi="Arial" w:cs="Arial"/>
              </w:rPr>
              <w:t>n</w:t>
            </w:r>
            <w:r w:rsidRPr="004D672B">
              <w:rPr>
                <w:rFonts w:ascii="Arial" w:hAnsi="Arial" w:cs="Arial"/>
              </w:rPr>
              <w:t xml:space="preserve">ational rate (43.0 per 10,000) and </w:t>
            </w:r>
            <w:r>
              <w:rPr>
                <w:rFonts w:ascii="Arial" w:hAnsi="Arial" w:cs="Arial"/>
              </w:rPr>
              <w:t xml:space="preserve">the </w:t>
            </w:r>
            <w:r w:rsidRPr="004D672B">
              <w:rPr>
                <w:rFonts w:ascii="Arial" w:hAnsi="Arial" w:cs="Arial"/>
              </w:rPr>
              <w:t>North West rate (49.0 per 10,000).</w:t>
            </w:r>
          </w:p>
          <w:p w14:paraId="2A8AA01A" w14:textId="7777777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 xml:space="preserve">CYP-005 – </w:t>
            </w:r>
            <w:r w:rsidRPr="004D672B">
              <w:rPr>
                <w:rFonts w:ascii="Arial" w:eastAsiaTheme="minorEastAsia" w:hAnsi="Arial" w:cs="Arial"/>
              </w:rPr>
              <w:t>At the end of Quarter 1 2024-25, the percentage of</w:t>
            </w:r>
            <w:r w:rsidRPr="004D672B">
              <w:rPr>
                <w:rFonts w:ascii="Arial" w:hAnsi="Arial" w:cs="Arial"/>
              </w:rPr>
              <w:t xml:space="preserve"> children becoming the subject of a Child Protection Plan (CPP) for a second or subsequent time was 33%. This compares to 25% at the end of Quarter 1 2023-24.  The current position is 12 percentage points above our target for the year and significantly higher than last published national and comparator group averages. In the year to date we have had 2 very high months of repeat CPPs and one more in line with our target. This has been largely attributed to large sibling groups starting a second CPP and is something we will </w:t>
            </w:r>
            <w:r>
              <w:rPr>
                <w:rFonts w:ascii="Arial" w:hAnsi="Arial" w:cs="Arial"/>
              </w:rPr>
              <w:t>continue</w:t>
            </w:r>
            <w:r w:rsidRPr="004D672B">
              <w:rPr>
                <w:rFonts w:ascii="Arial" w:hAnsi="Arial" w:cs="Arial"/>
              </w:rPr>
              <w:t xml:space="preserve"> to monitor</w:t>
            </w:r>
            <w:r>
              <w:rPr>
                <w:rFonts w:ascii="Arial" w:hAnsi="Arial" w:cs="Arial"/>
              </w:rPr>
              <w:t xml:space="preserve"> closely</w:t>
            </w:r>
            <w:r w:rsidRPr="004D672B">
              <w:rPr>
                <w:rFonts w:ascii="Arial" w:hAnsi="Arial" w:cs="Arial"/>
              </w:rPr>
              <w:t xml:space="preserve"> throughout the year. </w:t>
            </w:r>
          </w:p>
          <w:p w14:paraId="232CBC38" w14:textId="3B2BA09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CYP-006 -</w:t>
            </w:r>
            <w:r w:rsidRPr="004D672B">
              <w:rPr>
                <w:rFonts w:ascii="Arial" w:eastAsiaTheme="minorEastAsia" w:hAnsi="Arial" w:cs="Arial"/>
              </w:rPr>
              <w:t xml:space="preserve"> At the end of Quarter 1 2024-25</w:t>
            </w:r>
            <w:r w:rsidRPr="004D672B">
              <w:rPr>
                <w:rFonts w:ascii="Arial" w:hAnsi="Arial" w:cs="Arial"/>
              </w:rPr>
              <w:t xml:space="preserve">, a total of 484 children and young people were cared for by St Helens Council, equating to a rate of 131.2 children per 10,000 under 18-year-olds. The number of Children Looked After (CLA) reported for St Helens on the 30th of June 2024 is above the 470 reported at the end of June 2024 and the annual target rate for 2024-25 of 125 per 10,000 under 18-year olds. The latest CLA population rate reported for St Helens continues to be higher than the most recently published (2022-23) comparable regional (96) and national (71) CLA population rates. St Helens CLA population over the last 2 years has consistently been between 465 and 495. </w:t>
            </w:r>
          </w:p>
          <w:p w14:paraId="063D81B8" w14:textId="5F44EEA9" w:rsidR="0033196B" w:rsidRPr="00005893" w:rsidRDefault="0033196B" w:rsidP="296EF0F8">
            <w:pPr>
              <w:pStyle w:val="ListParagraph"/>
              <w:numPr>
                <w:ilvl w:val="0"/>
                <w:numId w:val="11"/>
              </w:numPr>
              <w:spacing w:before="120" w:after="120"/>
              <w:ind w:left="714" w:hanging="357"/>
              <w:rPr>
                <w:rFonts w:ascii="Arial" w:eastAsiaTheme="minorEastAsia" w:hAnsi="Arial" w:cs="Arial"/>
              </w:rPr>
            </w:pPr>
            <w:r w:rsidRPr="004D672B">
              <w:rPr>
                <w:rFonts w:ascii="Arial" w:eastAsiaTheme="minorEastAsia" w:hAnsi="Arial" w:cs="Arial"/>
                <w:b/>
                <w:bCs/>
              </w:rPr>
              <w:t xml:space="preserve">CYP-008A </w:t>
            </w:r>
            <w:r w:rsidRPr="004D672B">
              <w:rPr>
                <w:rFonts w:ascii="Arial" w:eastAsiaTheme="minorEastAsia" w:hAnsi="Arial" w:cs="Arial"/>
              </w:rPr>
              <w:t xml:space="preserve">- </w:t>
            </w:r>
            <w:r w:rsidRPr="004D672B">
              <w:rPr>
                <w:rFonts w:ascii="Arial" w:hAnsi="Arial" w:cs="Arial"/>
              </w:rPr>
              <w:t xml:space="preserve">Over the course of Quarter 1 2024-25, a total of 41 children and young people have been discharged from care with 9 of the children discharged due to adoption, equating to 22% of total care discharges in the period. While this is pleasingly high at present, it should be noted that we have already had 9 children adopted in year which is 60% of last year’s total for the year, so while we are currently more than double our annual target of 10%, this may reduce as the year progresses. At Quarter 1 in 2023-24 we were at 12% for this indicator, which was equal to the last published 2022-23 England average. </w:t>
            </w:r>
          </w:p>
          <w:p w14:paraId="24CA539D" w14:textId="77777777" w:rsidR="00005893" w:rsidRPr="004D672B" w:rsidRDefault="00005893" w:rsidP="00005893">
            <w:pPr>
              <w:pStyle w:val="ListParagraph"/>
              <w:spacing w:before="120" w:after="120"/>
              <w:ind w:left="714"/>
              <w:rPr>
                <w:rFonts w:ascii="Arial" w:eastAsiaTheme="minorEastAsia" w:hAnsi="Arial" w:cs="Arial"/>
              </w:rPr>
            </w:pPr>
          </w:p>
          <w:p w14:paraId="00A62D5D" w14:textId="77777777" w:rsidR="0033196B" w:rsidRPr="004D672B" w:rsidRDefault="0033196B" w:rsidP="0033196B">
            <w:pPr>
              <w:pStyle w:val="ListParagraph"/>
              <w:numPr>
                <w:ilvl w:val="0"/>
                <w:numId w:val="11"/>
              </w:numPr>
              <w:spacing w:before="120" w:after="120"/>
              <w:ind w:left="714" w:hanging="357"/>
              <w:contextualSpacing w:val="0"/>
              <w:rPr>
                <w:rFonts w:ascii="Arial" w:eastAsiaTheme="minorEastAsia" w:hAnsi="Arial" w:cs="Arial"/>
              </w:rPr>
            </w:pPr>
            <w:r w:rsidRPr="004D672B">
              <w:rPr>
                <w:rFonts w:ascii="Arial" w:eastAsiaTheme="minorEastAsia" w:hAnsi="Arial" w:cs="Arial"/>
                <w:b/>
                <w:bCs/>
              </w:rPr>
              <w:t>CYP-008B</w:t>
            </w:r>
            <w:r w:rsidRPr="004D672B">
              <w:rPr>
                <w:rFonts w:ascii="Arial" w:eastAsiaTheme="minorEastAsia" w:hAnsi="Arial" w:cs="Arial"/>
              </w:rPr>
              <w:t xml:space="preserve"> - </w:t>
            </w:r>
            <w:r w:rsidRPr="004D672B">
              <w:rPr>
                <w:rFonts w:ascii="Arial" w:hAnsi="Arial" w:cs="Arial"/>
              </w:rPr>
              <w:t xml:space="preserve">Over the course of Quarter 1 2024-25, a total of 41 children and young people have been discharged from care with 3 of the children discharged due to a Special Guardianship Order (SGO), equating to 7.5% of total </w:t>
            </w:r>
            <w:r>
              <w:rPr>
                <w:rFonts w:ascii="Arial" w:hAnsi="Arial" w:cs="Arial"/>
              </w:rPr>
              <w:t>care</w:t>
            </w:r>
            <w:r w:rsidRPr="004D672B">
              <w:rPr>
                <w:rFonts w:ascii="Arial" w:hAnsi="Arial" w:cs="Arial"/>
              </w:rPr>
              <w:t xml:space="preserve"> discharges in the period. This is some way below our annual target of 18%. However, it is not necessarily a negative as current performance will have been impacted by the high number of children who were discharged from care via adoption in Quarter 1 and the high numbers of children who returned home as part of the planning process. The Quarter 1 figure for 2023-24 stood at 14%.</w:t>
            </w:r>
          </w:p>
          <w:p w14:paraId="02270123" w14:textId="77777777" w:rsidR="0033196B" w:rsidRPr="004D672B" w:rsidRDefault="0033196B" w:rsidP="0033196B">
            <w:pPr>
              <w:pStyle w:val="ListParagraph"/>
              <w:numPr>
                <w:ilvl w:val="0"/>
                <w:numId w:val="11"/>
              </w:numPr>
              <w:spacing w:before="120" w:after="120"/>
              <w:ind w:left="714" w:hanging="357"/>
              <w:contextualSpacing w:val="0"/>
              <w:rPr>
                <w:rFonts w:ascii="Arial" w:hAnsi="Arial" w:cs="Arial"/>
              </w:rPr>
            </w:pPr>
            <w:r w:rsidRPr="004D672B">
              <w:rPr>
                <w:rFonts w:ascii="Arial" w:eastAsiaTheme="minorEastAsia" w:hAnsi="Arial" w:cs="Arial"/>
                <w:b/>
                <w:bCs/>
              </w:rPr>
              <w:t>CYP-009-010-011</w:t>
            </w:r>
            <w:r w:rsidRPr="004D672B">
              <w:rPr>
                <w:rFonts w:ascii="Arial" w:eastAsiaTheme="minorEastAsia" w:hAnsi="Arial" w:cs="Arial"/>
              </w:rPr>
              <w:t xml:space="preserve"> - </w:t>
            </w:r>
            <w:r w:rsidRPr="004D672B">
              <w:rPr>
                <w:rFonts w:ascii="Arial" w:eastAsia="Arial" w:hAnsi="Arial" w:cs="Arial"/>
              </w:rPr>
              <w:t xml:space="preserve">Performance against all 3 key outcome indicators for care leavers, that being care leavers in suitable accommodation, care leavers the local authority is still in touch remains comparatively strong. Although, the percentage of care leavers in suitable accommodation and care leavers the local authority is still in touch are both marginally below our aspirational targets at the end of Quarter 1 2024-25, both are also exceeding last published </w:t>
            </w:r>
            <w:r>
              <w:rPr>
                <w:rFonts w:ascii="Arial" w:eastAsia="Arial" w:hAnsi="Arial" w:cs="Arial"/>
              </w:rPr>
              <w:t>national</w:t>
            </w:r>
            <w:r w:rsidRPr="004D672B">
              <w:rPr>
                <w:rFonts w:ascii="Arial" w:eastAsia="Arial" w:hAnsi="Arial" w:cs="Arial"/>
              </w:rPr>
              <w:t xml:space="preserve"> and statistical neighbour averages. The percentage of care leavers in employment education and training has improved significantly over the course of Quarter 1 2024-25 compared to outturn 2023-24, rising from 56% to 64%. St Helens current performance for this measure also compares favourably to last published regional, national and comparator authorities. </w:t>
            </w:r>
            <w:r w:rsidRPr="004D672B">
              <w:rPr>
                <w:rFonts w:ascii="Arial" w:hAnsi="Arial" w:cs="Arial"/>
              </w:rPr>
              <w:t xml:space="preserve">It should be noted that as these indicators are snapshot measures, due to the relatively small number of care leavers some noticeable fluctuations in percentages may occur from quarter to quarter.  </w:t>
            </w:r>
          </w:p>
          <w:p w14:paraId="5253CC11" w14:textId="20176EDB" w:rsidR="00EF032E" w:rsidRPr="0033196B" w:rsidRDefault="0033196B" w:rsidP="0033196B">
            <w:pPr>
              <w:pStyle w:val="ListParagraph"/>
              <w:numPr>
                <w:ilvl w:val="0"/>
                <w:numId w:val="11"/>
              </w:numPr>
              <w:spacing w:before="120" w:after="120"/>
              <w:ind w:left="714" w:hanging="357"/>
              <w:contextualSpacing w:val="0"/>
              <w:rPr>
                <w:rFonts w:ascii="Arial" w:hAnsi="Arial" w:cs="Arial"/>
              </w:rPr>
            </w:pPr>
            <w:r w:rsidRPr="004D672B">
              <w:rPr>
                <w:rFonts w:ascii="Arial" w:eastAsiaTheme="minorEastAsia" w:hAnsi="Arial" w:cs="Arial"/>
                <w:b/>
                <w:bCs/>
              </w:rPr>
              <w:t>CYP-007</w:t>
            </w:r>
            <w:r w:rsidRPr="004D672B">
              <w:rPr>
                <w:rFonts w:ascii="Arial" w:eastAsiaTheme="minorEastAsia" w:hAnsi="Arial" w:cs="Arial"/>
              </w:rPr>
              <w:t xml:space="preserve"> - </w:t>
            </w:r>
            <w:r w:rsidRPr="004D672B">
              <w:rPr>
                <w:rFonts w:ascii="Arial" w:hAnsi="Arial" w:cs="Arial"/>
              </w:rPr>
              <w:t xml:space="preserve">In the 12-month period up to and including June 2024, 7% </w:t>
            </w:r>
            <w:r>
              <w:rPr>
                <w:rFonts w:ascii="Arial" w:hAnsi="Arial" w:cs="Arial"/>
              </w:rPr>
              <w:t xml:space="preserve">of </w:t>
            </w:r>
            <w:r w:rsidRPr="004D672B">
              <w:rPr>
                <w:rFonts w:ascii="Arial" w:hAnsi="Arial" w:cs="Arial"/>
              </w:rPr>
              <w:t xml:space="preserve">children and young people supported by St Helens’ Children’s Social Care experienced three or more placement moves in the previous 12-month period, an improvement on the 7.7% for the same period in the previous year. Current performance is not only better than target but also better than statistical neighbour, </w:t>
            </w:r>
            <w:r>
              <w:rPr>
                <w:rFonts w:ascii="Arial" w:hAnsi="Arial" w:cs="Arial"/>
              </w:rPr>
              <w:t>regional</w:t>
            </w:r>
            <w:r w:rsidRPr="004D672B">
              <w:rPr>
                <w:rFonts w:ascii="Arial" w:hAnsi="Arial" w:cs="Arial"/>
              </w:rPr>
              <w:t xml:space="preserve"> and national rates. </w:t>
            </w:r>
          </w:p>
        </w:tc>
      </w:tr>
      <w:tr w:rsidR="00970157" w14:paraId="76F414F1" w14:textId="77777777" w:rsidTr="00EF032E">
        <w:tc>
          <w:tcPr>
            <w:tcW w:w="15388" w:type="dxa"/>
            <w:gridSpan w:val="2"/>
            <w:shd w:val="clear" w:color="auto" w:fill="ED712C"/>
          </w:tcPr>
          <w:p w14:paraId="6D47CF99" w14:textId="77777777" w:rsidR="00B0379D" w:rsidRDefault="00E75E6D" w:rsidP="00B0379D">
            <w:pPr>
              <w:pStyle w:val="ListBullet"/>
              <w:numPr>
                <w:ilvl w:val="0"/>
                <w:numId w:val="0"/>
              </w:numPr>
              <w:spacing w:after="120"/>
              <w:contextualSpacing w:val="0"/>
              <w:jc w:val="both"/>
              <w:rPr>
                <w:rFonts w:ascii="Arial" w:hAnsi="Arial" w:cs="Arial"/>
              </w:rPr>
            </w:pPr>
            <w:r w:rsidRPr="00DA0660">
              <w:rPr>
                <w:rFonts w:ascii="Arial" w:hAnsi="Arial" w:cs="Arial"/>
                <w:b/>
                <w:bCs/>
                <w:color w:val="FFFFFF" w:themeColor="background1"/>
              </w:rPr>
              <w:t>Action for Improvement</w:t>
            </w:r>
          </w:p>
        </w:tc>
      </w:tr>
      <w:tr w:rsidR="00970157" w14:paraId="77632E2D" w14:textId="77777777" w:rsidTr="00EF032E">
        <w:tc>
          <w:tcPr>
            <w:tcW w:w="15388" w:type="dxa"/>
            <w:gridSpan w:val="2"/>
          </w:tcPr>
          <w:p w14:paraId="14433EE2" w14:textId="77777777" w:rsidR="000C6E3D" w:rsidRPr="00F62CA6" w:rsidRDefault="5A61EFF8" w:rsidP="000C6E3D">
            <w:pPr>
              <w:spacing w:after="120"/>
              <w:jc w:val="both"/>
              <w:rPr>
                <w:rFonts w:ascii="Arial" w:eastAsia="Arial" w:hAnsi="Arial" w:cs="Arial"/>
              </w:rPr>
            </w:pPr>
            <w:r w:rsidRPr="00CB0FAA">
              <w:rPr>
                <w:rFonts w:ascii="Arial" w:eastAsia="Arial" w:hAnsi="Arial" w:cs="Arial"/>
              </w:rPr>
              <w:t xml:space="preserve"> </w:t>
            </w:r>
          </w:p>
          <w:p w14:paraId="72D03193" w14:textId="77777777" w:rsidR="000C6E3D" w:rsidRPr="00F62CA6" w:rsidRDefault="000C6E3D" w:rsidP="000C6E3D">
            <w:pPr>
              <w:pStyle w:val="ListParagraph"/>
              <w:numPr>
                <w:ilvl w:val="0"/>
                <w:numId w:val="36"/>
              </w:numPr>
              <w:spacing w:before="120" w:after="120"/>
              <w:ind w:left="714" w:hanging="357"/>
              <w:contextualSpacing w:val="0"/>
              <w:jc w:val="both"/>
              <w:rPr>
                <w:rFonts w:ascii="Arial" w:eastAsia="Aptos" w:hAnsi="Arial" w:cs="Arial"/>
                <w:color w:val="000000" w:themeColor="text1"/>
              </w:rPr>
            </w:pPr>
            <w:r w:rsidRPr="00F62CA6">
              <w:rPr>
                <w:rFonts w:ascii="Arial" w:eastAsia="Arial" w:hAnsi="Arial" w:cs="Arial"/>
                <w:b/>
                <w:bCs/>
              </w:rPr>
              <w:t xml:space="preserve">CYP-003 </w:t>
            </w:r>
            <w:r w:rsidRPr="00F62CA6">
              <w:rPr>
                <w:rFonts w:ascii="Arial" w:eastAsia="Arial" w:hAnsi="Arial" w:cs="Arial"/>
              </w:rPr>
              <w:t>- Although Quarter 1 saw a drop to our Child in Need (CIN) cohort, our numbers remain above comparator LAs</w:t>
            </w:r>
            <w:r w:rsidRPr="00F62CA6">
              <w:rPr>
                <w:rFonts w:ascii="Arial" w:eastAsia="Aptos" w:hAnsi="Arial" w:cs="Arial"/>
                <w:color w:val="000000" w:themeColor="text1"/>
              </w:rPr>
              <w:t>. This reflects the high prevalence of neglect and relates to the need to continue to strengthen early help provision and prevent concerns escalating. We are working with partners to strengthen our early help response to prevent escalation of need. Our CIN co-ordinator has worked with the duty teams in Quarter 1 and will focus on assessment teams during Quarter 2 to ensure CIN work is effective to prevent escalation to Child Protection (CP) and ensure timely step downs to early help or closure. During Quarter 1 thematic audit activity took place on CIN and Child Protection (CP).  Our recent Ofsted focused visit (April) concluded that children subject to CIN receive a consistent and effective service.</w:t>
            </w:r>
          </w:p>
          <w:p w14:paraId="380ACD90" w14:textId="77777777" w:rsidR="000C6E3D" w:rsidRPr="00F62CA6" w:rsidRDefault="000C6E3D" w:rsidP="000C6E3D">
            <w:pPr>
              <w:pStyle w:val="ListParagraph"/>
              <w:numPr>
                <w:ilvl w:val="0"/>
                <w:numId w:val="36"/>
              </w:numPr>
              <w:spacing w:before="120" w:after="120"/>
              <w:ind w:left="714" w:hanging="357"/>
              <w:contextualSpacing w:val="0"/>
              <w:jc w:val="both"/>
              <w:rPr>
                <w:rFonts w:ascii="Arial" w:eastAsia="Aptos" w:hAnsi="Arial" w:cs="Arial"/>
                <w:color w:val="000000" w:themeColor="text1"/>
              </w:rPr>
            </w:pPr>
            <w:r w:rsidRPr="00F62CA6">
              <w:rPr>
                <w:rFonts w:ascii="Arial" w:eastAsia="Arial" w:hAnsi="Arial" w:cs="Arial"/>
                <w:b/>
                <w:bCs/>
              </w:rPr>
              <w:t>CYP-005</w:t>
            </w:r>
            <w:r w:rsidRPr="00F62CA6">
              <w:rPr>
                <w:rFonts w:ascii="Arial" w:eastAsia="Arial" w:hAnsi="Arial" w:cs="Arial"/>
              </w:rPr>
              <w:t xml:space="preserve"> - </w:t>
            </w:r>
            <w:r w:rsidRPr="00F62CA6">
              <w:rPr>
                <w:rFonts w:ascii="Arial" w:eastAsia="Aptos" w:hAnsi="Arial" w:cs="Arial"/>
                <w:color w:val="000000" w:themeColor="text1"/>
              </w:rPr>
              <w:t>Our repeat Child Protection Plan figure is higher than comparators. This represents some large families, and the percentage figure is impacted by the reduction in the overall cohort. We monitor this regularly and are reviewing current data that will inform if any additional actions are necessary.  Our decision making was subject to external scrutiny in April providing further affirmation that decision making is generally appropriate.</w:t>
            </w:r>
          </w:p>
          <w:p w14:paraId="117CDC37" w14:textId="77777777" w:rsidR="000C6E3D" w:rsidRPr="00F62CA6" w:rsidRDefault="000C6E3D" w:rsidP="000C6E3D">
            <w:pPr>
              <w:pStyle w:val="ListParagraph"/>
              <w:numPr>
                <w:ilvl w:val="0"/>
                <w:numId w:val="36"/>
              </w:numPr>
              <w:spacing w:before="120" w:after="120"/>
              <w:ind w:left="714" w:hanging="357"/>
              <w:contextualSpacing w:val="0"/>
              <w:jc w:val="both"/>
              <w:rPr>
                <w:rFonts w:ascii="Arial" w:eastAsia="Aptos" w:hAnsi="Arial" w:cs="Arial"/>
                <w:color w:val="000000" w:themeColor="text1"/>
              </w:rPr>
            </w:pPr>
            <w:r w:rsidRPr="00F62CA6">
              <w:rPr>
                <w:rFonts w:ascii="Arial" w:eastAsia="Arial" w:hAnsi="Arial" w:cs="Arial"/>
                <w:b/>
                <w:bCs/>
              </w:rPr>
              <w:t xml:space="preserve">CYP-006 - </w:t>
            </w:r>
            <w:r w:rsidRPr="00F62CA6">
              <w:rPr>
                <w:rFonts w:ascii="Arial" w:eastAsia="Aptos" w:hAnsi="Arial" w:cs="Arial"/>
                <w:color w:val="000000" w:themeColor="text1"/>
              </w:rPr>
              <w:t>Our CLA (Children Looked After) population continues to be high, although this figure has decreased recently</w:t>
            </w:r>
            <w:r>
              <w:rPr>
                <w:rFonts w:ascii="Arial" w:eastAsia="Aptos" w:hAnsi="Arial" w:cs="Arial"/>
                <w:color w:val="000000" w:themeColor="text1"/>
              </w:rPr>
              <w:t>,</w:t>
            </w:r>
            <w:r w:rsidRPr="00F62CA6">
              <w:rPr>
                <w:rFonts w:ascii="Arial" w:eastAsia="Aptos" w:hAnsi="Arial" w:cs="Arial"/>
                <w:color w:val="000000" w:themeColor="text1"/>
              </w:rPr>
              <w:t xml:space="preserve"> our numbers remain above our comparators. We have adapted our Edge of Care offer to provide intensive time limited support to those most in need and will continue to develop our Edge of Care offer over the next 12-months.  We have strengthened the decision-making process with an increased level of oversight from </w:t>
            </w:r>
            <w:r>
              <w:rPr>
                <w:rFonts w:ascii="Arial" w:eastAsia="Aptos" w:hAnsi="Arial" w:cs="Arial"/>
                <w:color w:val="000000" w:themeColor="text1"/>
              </w:rPr>
              <w:t>s</w:t>
            </w:r>
            <w:r w:rsidRPr="00F62CA6">
              <w:rPr>
                <w:rFonts w:ascii="Arial" w:eastAsia="Aptos" w:hAnsi="Arial" w:cs="Arial"/>
                <w:color w:val="000000" w:themeColor="text1"/>
              </w:rPr>
              <w:t>enior management at an earlier stage in the process for Q</w:t>
            </w:r>
            <w:r>
              <w:rPr>
                <w:rFonts w:ascii="Arial" w:eastAsia="Aptos" w:hAnsi="Arial" w:cs="Arial"/>
                <w:color w:val="000000" w:themeColor="text1"/>
              </w:rPr>
              <w:t xml:space="preserve">uarter </w:t>
            </w:r>
            <w:r w:rsidRPr="00F62CA6">
              <w:rPr>
                <w:rFonts w:ascii="Arial" w:eastAsia="Aptos" w:hAnsi="Arial" w:cs="Arial"/>
                <w:color w:val="000000" w:themeColor="text1"/>
              </w:rPr>
              <w:t>2.  Our tracking systems ensure permanency is achieved and that exits from care are timely although some protracted adoption court cases have impacted on the CLA figure during the last quarter. There are high numbers of complex family situations which continue to impact on the volume of children becoming subject to care proceedings.</w:t>
            </w:r>
          </w:p>
          <w:p w14:paraId="30F30DBF" w14:textId="7A83FC28" w:rsidR="001A3613" w:rsidRPr="000C6E3D" w:rsidRDefault="000C6E3D" w:rsidP="000C6E3D">
            <w:pPr>
              <w:pStyle w:val="ListParagraph"/>
              <w:numPr>
                <w:ilvl w:val="0"/>
                <w:numId w:val="36"/>
              </w:numPr>
              <w:spacing w:before="120" w:after="120"/>
              <w:ind w:left="714" w:hanging="357"/>
              <w:contextualSpacing w:val="0"/>
              <w:jc w:val="both"/>
              <w:rPr>
                <w:rFonts w:ascii="Arial" w:eastAsia="Aptos" w:hAnsi="Arial" w:cs="Arial"/>
                <w:color w:val="000000" w:themeColor="text1"/>
              </w:rPr>
            </w:pPr>
            <w:r w:rsidRPr="00F62CA6">
              <w:rPr>
                <w:rFonts w:ascii="Arial" w:eastAsiaTheme="minorEastAsia" w:hAnsi="Arial" w:cs="Arial"/>
                <w:b/>
                <w:bCs/>
              </w:rPr>
              <w:t>CYP-008B</w:t>
            </w:r>
            <w:r w:rsidRPr="00F62CA6">
              <w:rPr>
                <w:rFonts w:ascii="Arial" w:eastAsiaTheme="minorEastAsia" w:hAnsi="Arial" w:cs="Arial"/>
              </w:rPr>
              <w:t xml:space="preserve"> - During Q</w:t>
            </w:r>
            <w:r>
              <w:rPr>
                <w:rFonts w:ascii="Arial" w:eastAsiaTheme="minorEastAsia" w:hAnsi="Arial" w:cs="Arial"/>
              </w:rPr>
              <w:t xml:space="preserve">uarter </w:t>
            </w:r>
            <w:r w:rsidRPr="00F62CA6">
              <w:rPr>
                <w:rFonts w:ascii="Arial" w:eastAsiaTheme="minorEastAsia" w:hAnsi="Arial" w:cs="Arial"/>
              </w:rPr>
              <w:t xml:space="preserve">1 a </w:t>
            </w:r>
            <w:r w:rsidRPr="00F62CA6">
              <w:rPr>
                <w:rFonts w:ascii="Arial" w:hAnsi="Arial" w:cs="Arial"/>
              </w:rPr>
              <w:t>total of 41 children and young people have been discharged from care with 3 of the children discharged due to a Special Guardianship Order (SGO), equating to 7.5% of total care discharges in the period. We are likely to see this increase over the remainder of the year and into the next financial year with the projected outcomes for court hearings and the focused work we are doing encouraging long term foster carers to become Special Guardians.</w:t>
            </w:r>
          </w:p>
        </w:tc>
      </w:tr>
    </w:tbl>
    <w:p w14:paraId="40A55FE4" w14:textId="0A990151" w:rsidR="004F2365" w:rsidRDefault="004F2365" w:rsidP="00B0379D">
      <w:pPr>
        <w:spacing w:after="120" w:line="240" w:lineRule="auto"/>
        <w:jc w:val="both"/>
        <w:rPr>
          <w:rFonts w:ascii="Arial" w:hAnsi="Arial" w:cs="Arial"/>
          <w:b/>
          <w:color w:val="ED712C"/>
          <w:sz w:val="32"/>
          <w:szCs w:val="32"/>
        </w:rPr>
      </w:pPr>
    </w:p>
    <w:p w14:paraId="06C9ADAC" w14:textId="77777777" w:rsidR="00081043" w:rsidRDefault="00081043" w:rsidP="00B0379D">
      <w:pPr>
        <w:spacing w:after="120" w:line="240" w:lineRule="auto"/>
        <w:jc w:val="both"/>
        <w:rPr>
          <w:rFonts w:ascii="Arial" w:hAnsi="Arial" w:cs="Arial"/>
          <w:b/>
          <w:color w:val="ED712C"/>
          <w:sz w:val="32"/>
          <w:szCs w:val="32"/>
        </w:rPr>
      </w:pPr>
    </w:p>
    <w:p w14:paraId="1E3D245A" w14:textId="77777777" w:rsidR="00E82087" w:rsidRDefault="00E82087" w:rsidP="00B0379D">
      <w:pPr>
        <w:spacing w:after="120" w:line="240" w:lineRule="auto"/>
        <w:jc w:val="both"/>
        <w:rPr>
          <w:rFonts w:ascii="Arial" w:hAnsi="Arial" w:cs="Arial"/>
          <w:b/>
          <w:color w:val="ED712C"/>
          <w:sz w:val="32"/>
          <w:szCs w:val="32"/>
        </w:rPr>
      </w:pPr>
    </w:p>
    <w:p w14:paraId="27377852" w14:textId="154488A9" w:rsidR="00B0379D" w:rsidRPr="00AB1B48" w:rsidRDefault="00E75E6D" w:rsidP="00B0379D">
      <w:pPr>
        <w:spacing w:after="120" w:line="240" w:lineRule="auto"/>
        <w:jc w:val="both"/>
        <w:rPr>
          <w:rFonts w:ascii="Arial" w:hAnsi="Arial" w:cs="Arial"/>
          <w:b/>
          <w:color w:val="ED712C"/>
          <w:sz w:val="32"/>
          <w:szCs w:val="32"/>
        </w:rPr>
      </w:pPr>
      <w:r w:rsidRPr="00AB1B48">
        <w:rPr>
          <w:rFonts w:ascii="Arial" w:hAnsi="Arial" w:cs="Arial"/>
          <w:b/>
          <w:color w:val="ED712C"/>
          <w:sz w:val="32"/>
          <w:szCs w:val="32"/>
        </w:rPr>
        <w:t>Outcome - Children and young people's aspirations, attainment and opportunities are raised</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ook w:val="04A0" w:firstRow="1" w:lastRow="0" w:firstColumn="1" w:lastColumn="0" w:noHBand="0" w:noVBand="1"/>
      </w:tblPr>
      <w:tblGrid>
        <w:gridCol w:w="8359"/>
        <w:gridCol w:w="7029"/>
      </w:tblGrid>
      <w:tr w:rsidR="00970157" w14:paraId="54EDEFC0" w14:textId="77777777" w:rsidTr="540E04D2">
        <w:tc>
          <w:tcPr>
            <w:tcW w:w="8359" w:type="dxa"/>
            <w:shd w:val="clear" w:color="auto" w:fill="ED712C"/>
          </w:tcPr>
          <w:p w14:paraId="160F9BC9" w14:textId="77777777" w:rsidR="00B0379D" w:rsidRPr="00DA0660" w:rsidRDefault="00E75E6D" w:rsidP="00B0379D">
            <w:pPr>
              <w:spacing w:after="120"/>
              <w:jc w:val="both"/>
              <w:rPr>
                <w:rFonts w:ascii="Arial" w:hAnsi="Arial" w:cs="Arial"/>
                <w:b/>
                <w:bCs/>
                <w:color w:val="FFFFFF" w:themeColor="background1"/>
              </w:rPr>
            </w:pPr>
            <w:r w:rsidRPr="00DA0660">
              <w:rPr>
                <w:rFonts w:ascii="Arial" w:hAnsi="Arial" w:cs="Arial"/>
                <w:b/>
                <w:bCs/>
                <w:color w:val="FFFFFF" w:themeColor="background1"/>
              </w:rPr>
              <w:t>Current Performance</w:t>
            </w:r>
          </w:p>
        </w:tc>
        <w:tc>
          <w:tcPr>
            <w:tcW w:w="7029" w:type="dxa"/>
            <w:shd w:val="clear" w:color="auto" w:fill="ED712C"/>
          </w:tcPr>
          <w:p w14:paraId="6FD8381F" w14:textId="77777777" w:rsidR="00B0379D" w:rsidRPr="00DA0660" w:rsidRDefault="00B0379D" w:rsidP="00B0379D">
            <w:pPr>
              <w:spacing w:after="120"/>
              <w:jc w:val="both"/>
              <w:rPr>
                <w:rFonts w:ascii="Arial" w:hAnsi="Arial" w:cs="Arial"/>
                <w:b/>
                <w:bCs/>
                <w:color w:val="FFFFFF" w:themeColor="background1"/>
              </w:rPr>
            </w:pPr>
          </w:p>
        </w:tc>
      </w:tr>
      <w:tr w:rsidR="00970157" w14:paraId="009B2C4C" w14:textId="77777777" w:rsidTr="540E04D2">
        <w:tc>
          <w:tcPr>
            <w:tcW w:w="15388" w:type="dxa"/>
            <w:gridSpan w:val="2"/>
          </w:tcPr>
          <w:p w14:paraId="3924AD6C" w14:textId="77777777" w:rsidR="00BE78CD" w:rsidRPr="00EE5072" w:rsidRDefault="00BE78CD" w:rsidP="00BE78CD">
            <w:pPr>
              <w:pStyle w:val="ListParagraph"/>
              <w:numPr>
                <w:ilvl w:val="0"/>
                <w:numId w:val="26"/>
              </w:numPr>
              <w:spacing w:before="120" w:after="120"/>
              <w:ind w:left="714" w:hanging="357"/>
              <w:contextualSpacing w:val="0"/>
              <w:rPr>
                <w:rFonts w:ascii="Arial" w:eastAsiaTheme="minorEastAsia" w:hAnsi="Arial" w:cs="Arial"/>
                <w:i/>
              </w:rPr>
            </w:pPr>
            <w:r w:rsidRPr="00EE5072">
              <w:rPr>
                <w:rFonts w:ascii="Arial" w:eastAsia="Arial" w:hAnsi="Arial" w:cs="Arial"/>
              </w:rPr>
              <w:t xml:space="preserve">The majority of indicators under this outcome relate to the attainment of children and young people and are only published annually. </w:t>
            </w:r>
          </w:p>
          <w:p w14:paraId="4F1DCC7E" w14:textId="77777777" w:rsidR="00BE78CD" w:rsidRPr="00EE5072" w:rsidRDefault="00BE78CD" w:rsidP="00BE78CD">
            <w:pPr>
              <w:pStyle w:val="ListParagraph"/>
              <w:numPr>
                <w:ilvl w:val="0"/>
                <w:numId w:val="26"/>
              </w:numPr>
              <w:spacing w:before="120" w:after="120"/>
              <w:ind w:left="714" w:hanging="357"/>
              <w:contextualSpacing w:val="0"/>
              <w:rPr>
                <w:rFonts w:ascii="Arial" w:hAnsi="Arial" w:cs="Arial"/>
              </w:rPr>
            </w:pPr>
            <w:r w:rsidRPr="540E04D2">
              <w:rPr>
                <w:rFonts w:ascii="Arial" w:eastAsia="Arial" w:hAnsi="Arial" w:cs="Arial"/>
                <w:b/>
                <w:bCs/>
              </w:rPr>
              <w:t>CYP-012</w:t>
            </w:r>
            <w:r w:rsidRPr="540E04D2">
              <w:rPr>
                <w:rFonts w:ascii="Arial" w:eastAsia="Arial" w:hAnsi="Arial" w:cs="Arial"/>
              </w:rPr>
              <w:t xml:space="preserve"> - Performance for the completion of Education, Health, and Care Plans (EHCPs) to timescale has shown a small improvement in timeliness over the course of Quarter 1 2024-25, coupled with a significant improvement in productivity.</w:t>
            </w:r>
            <w:r w:rsidRPr="540E04D2">
              <w:rPr>
                <w:rFonts w:ascii="Arial" w:hAnsi="Arial" w:cs="Arial"/>
              </w:rPr>
              <w:t xml:space="preserve"> As at 1st of July 2024, 1,836 children with SEND were supported with an EHCP. From April to June 2024, 158 EHCPs were issued. This compares to 66 in the first quarter in 2023. Of the 158 EHCPs issued, 16 or 10.3% were issued within 20 weeks, but is showing month on month improvement and in June 2024 this increased to 18%. Improvement is due to an increase in staffing since Easter and completion of the majority of transition reviews. The length of time taken to complete the assessment and to finalise an EHCP has improved each month this quarter from a mean average of 330 days to 277 by the end of June. Alongside this improvement the service is addressing EHCPs open for the longest period, and the median average between the longest and shortest period has reduced from 348 days to 214 days. Despite the progress being made, there remains a backlog of assessments which have already missed the 20-week deadline and it will take some time to address this. </w:t>
            </w:r>
          </w:p>
          <w:p w14:paraId="453AE9D2" w14:textId="77777777" w:rsidR="00BE78CD" w:rsidRDefault="00BE78CD" w:rsidP="00BE78CD">
            <w:pPr>
              <w:pStyle w:val="ListParagraph"/>
              <w:numPr>
                <w:ilvl w:val="0"/>
                <w:numId w:val="26"/>
              </w:numPr>
              <w:spacing w:before="120" w:after="120"/>
              <w:ind w:left="714" w:hanging="357"/>
              <w:contextualSpacing w:val="0"/>
              <w:rPr>
                <w:rFonts w:ascii="Arial" w:hAnsi="Arial" w:cs="Arial"/>
              </w:rPr>
            </w:pPr>
            <w:r w:rsidRPr="540E04D2">
              <w:rPr>
                <w:rFonts w:ascii="Arial" w:eastAsiaTheme="minorEastAsia" w:hAnsi="Arial" w:cs="Arial"/>
                <w:b/>
                <w:bCs/>
              </w:rPr>
              <w:t>E&amp;S-005</w:t>
            </w:r>
            <w:r w:rsidRPr="540E04D2">
              <w:rPr>
                <w:rFonts w:ascii="Arial" w:eastAsiaTheme="minorEastAsia" w:hAnsi="Arial" w:cs="Arial"/>
              </w:rPr>
              <w:t xml:space="preserve"> – At</w:t>
            </w:r>
            <w:r w:rsidRPr="540E04D2">
              <w:rPr>
                <w:rFonts w:ascii="Arial" w:hAnsi="Arial" w:cs="Arial"/>
              </w:rPr>
              <w:t xml:space="preserve"> the end of June 2024, </w:t>
            </w:r>
            <w:r w:rsidRPr="540E04D2">
              <w:rPr>
                <w:rFonts w:ascii="Arial" w:eastAsiaTheme="minorEastAsia" w:hAnsi="Arial" w:cs="Arial"/>
              </w:rPr>
              <w:t>S</w:t>
            </w:r>
            <w:r w:rsidRPr="540E04D2">
              <w:rPr>
                <w:rFonts w:ascii="Arial" w:hAnsi="Arial" w:cs="Arial"/>
              </w:rPr>
              <w:t>t Helens’ numbers of young people 16 to 17 years old not in employment, education, or training (NEET) and those whose status is not known has increased compared to the same period in the previous year. The 16-17-year-old cohort for June 2024 was 4203 young people.</w:t>
            </w:r>
            <w:r w:rsidRPr="540E04D2">
              <w:rPr>
                <w:rFonts w:ascii="Arial" w:hAnsi="Arial" w:cs="Arial"/>
                <w:color w:val="FF0000"/>
              </w:rPr>
              <w:t xml:space="preserve"> </w:t>
            </w:r>
            <w:r w:rsidRPr="540E04D2">
              <w:rPr>
                <w:rFonts w:ascii="Arial" w:hAnsi="Arial" w:cs="Arial"/>
              </w:rPr>
              <w:t xml:space="preserve">The combined NEET and Not Known performance at the end of June was 352 young people, 8.4% of the cohort. This is an increase of 1.4% compared to the figure of 268 or 6.6% of the cohort at the end of June 2023. The NEET figure for 16-17-year-olds was 7.9%, representing 330 young people, which is an increase of 2.1% from last year year’s figure of 238 young people. This quarter the NEET numbers have been exacerbated by the closure of St Helens Chamber which a number of those participating in their training provision on or enrolled in the summer term were left without an option to transfer. The Not Known figure for 16-17-year-olds was 0.5%, representing 22 young people, which is better than the percentage position of 30 young people at the end of June 2023. </w:t>
            </w:r>
          </w:p>
          <w:p w14:paraId="0D012954" w14:textId="7FB13BDB" w:rsidR="00DE364F" w:rsidRPr="00BE78CD" w:rsidRDefault="00BE78CD" w:rsidP="00BE78CD">
            <w:pPr>
              <w:pStyle w:val="ListParagraph"/>
              <w:numPr>
                <w:ilvl w:val="0"/>
                <w:numId w:val="26"/>
              </w:numPr>
              <w:spacing w:before="120" w:after="120"/>
              <w:ind w:left="714" w:hanging="357"/>
              <w:contextualSpacing w:val="0"/>
              <w:rPr>
                <w:rFonts w:ascii="Arial" w:hAnsi="Arial" w:cs="Arial"/>
              </w:rPr>
            </w:pPr>
            <w:r w:rsidRPr="00F62CA6">
              <w:rPr>
                <w:rFonts w:ascii="Arial" w:eastAsiaTheme="minorEastAsia" w:hAnsi="Arial" w:cs="Arial"/>
                <w:b/>
                <w:bCs/>
              </w:rPr>
              <w:t>E&amp;S-006</w:t>
            </w:r>
            <w:r w:rsidRPr="00F62CA6">
              <w:rPr>
                <w:rFonts w:ascii="Arial" w:eastAsiaTheme="minorEastAsia" w:hAnsi="Arial" w:cs="Arial"/>
              </w:rPr>
              <w:t xml:space="preserve"> - </w:t>
            </w:r>
            <w:r w:rsidRPr="00F62CA6">
              <w:rPr>
                <w:rFonts w:ascii="Arial" w:hAnsi="Arial" w:cs="Arial"/>
              </w:rPr>
              <w:t>At the end of June 2024 a total of 62 state funded schools in St Helens had been judged by Ofsted to be Good or better at their most recent Ofsted inspection, equating to 89% of the state funded schools in St Helens. The proportion of schools in St Helens judged to good or outstanding for overall effectiveness (89%) is in line with the latest NW regional average (89%) and marginally lower than the comparable England average (90%).</w:t>
            </w:r>
          </w:p>
        </w:tc>
      </w:tr>
      <w:tr w:rsidR="00970157" w14:paraId="64F9143D" w14:textId="77777777" w:rsidTr="540E04D2">
        <w:tc>
          <w:tcPr>
            <w:tcW w:w="15388" w:type="dxa"/>
            <w:gridSpan w:val="2"/>
            <w:shd w:val="clear" w:color="auto" w:fill="ED712C"/>
          </w:tcPr>
          <w:p w14:paraId="5BFF1C9A" w14:textId="77777777" w:rsidR="00B0379D" w:rsidRDefault="00E75E6D" w:rsidP="00B0379D">
            <w:pPr>
              <w:pStyle w:val="ListBullet"/>
              <w:numPr>
                <w:ilvl w:val="0"/>
                <w:numId w:val="0"/>
              </w:numPr>
              <w:spacing w:after="120"/>
              <w:contextualSpacing w:val="0"/>
              <w:jc w:val="both"/>
              <w:rPr>
                <w:rFonts w:ascii="Arial" w:hAnsi="Arial" w:cs="Arial"/>
              </w:rPr>
            </w:pPr>
            <w:r w:rsidRPr="00DA0660">
              <w:rPr>
                <w:rFonts w:ascii="Arial" w:hAnsi="Arial" w:cs="Arial"/>
                <w:b/>
                <w:bCs/>
                <w:color w:val="FFFFFF" w:themeColor="background1"/>
              </w:rPr>
              <w:t>Action for Improvement</w:t>
            </w:r>
          </w:p>
        </w:tc>
      </w:tr>
      <w:tr w:rsidR="00970157" w14:paraId="4CCFE883" w14:textId="77777777" w:rsidTr="540E04D2">
        <w:tc>
          <w:tcPr>
            <w:tcW w:w="15388" w:type="dxa"/>
            <w:gridSpan w:val="2"/>
          </w:tcPr>
          <w:p w14:paraId="6487116E" w14:textId="08059BB3" w:rsidR="00725CDD" w:rsidRPr="00D307C3" w:rsidRDefault="00835F50" w:rsidP="00BE78CD">
            <w:pPr>
              <w:pStyle w:val="ListParagraph"/>
              <w:numPr>
                <w:ilvl w:val="0"/>
                <w:numId w:val="26"/>
              </w:numPr>
              <w:spacing w:before="120" w:after="120"/>
              <w:ind w:left="714" w:hanging="357"/>
              <w:rPr>
                <w:rFonts w:ascii="Arial" w:hAnsi="Arial" w:cs="Arial"/>
              </w:rPr>
            </w:pPr>
            <w:r w:rsidRPr="00EC1218">
              <w:rPr>
                <w:rFonts w:ascii="Arial" w:eastAsiaTheme="minorEastAsia" w:hAnsi="Arial" w:cs="Arial"/>
                <w:b/>
                <w:bCs/>
              </w:rPr>
              <w:t>E&amp;S-012</w:t>
            </w:r>
            <w:r w:rsidR="5C9844C1" w:rsidRPr="00D307C3">
              <w:rPr>
                <w:rFonts w:ascii="Arial" w:eastAsiaTheme="minorEastAsia" w:hAnsi="Arial" w:cs="Arial"/>
              </w:rPr>
              <w:t xml:space="preserve"> – Additional temporary staffing and commissioned Educational Psychology assessment</w:t>
            </w:r>
            <w:r w:rsidR="14A67940" w:rsidRPr="00D307C3">
              <w:rPr>
                <w:rFonts w:ascii="Arial" w:eastAsiaTheme="minorEastAsia" w:hAnsi="Arial" w:cs="Arial"/>
              </w:rPr>
              <w:t xml:space="preserve">s is showing </w:t>
            </w:r>
            <w:r w:rsidR="6D562EFF" w:rsidRPr="00D307C3">
              <w:rPr>
                <w:rFonts w:ascii="Arial" w:eastAsiaTheme="minorEastAsia" w:hAnsi="Arial" w:cs="Arial"/>
              </w:rPr>
              <w:t xml:space="preserve">early </w:t>
            </w:r>
            <w:r w:rsidR="14A67940" w:rsidRPr="00D307C3">
              <w:rPr>
                <w:rFonts w:ascii="Arial" w:eastAsiaTheme="minorEastAsia" w:hAnsi="Arial" w:cs="Arial"/>
              </w:rPr>
              <w:t xml:space="preserve">impact </w:t>
            </w:r>
            <w:r w:rsidR="118E9EAA" w:rsidRPr="00D307C3">
              <w:rPr>
                <w:rFonts w:ascii="Arial" w:eastAsiaTheme="minorEastAsia" w:hAnsi="Arial" w:cs="Arial"/>
              </w:rPr>
              <w:t>in addressing the backlog of cases</w:t>
            </w:r>
            <w:r w:rsidR="5B713494" w:rsidRPr="00D307C3">
              <w:rPr>
                <w:rFonts w:ascii="Arial" w:eastAsiaTheme="minorEastAsia" w:hAnsi="Arial" w:cs="Arial"/>
              </w:rPr>
              <w:t xml:space="preserve">. An additional 2 casework officers have been sourced from Agency and will be starting with the team shortly. </w:t>
            </w:r>
            <w:r w:rsidR="263D127E" w:rsidRPr="00D307C3">
              <w:rPr>
                <w:rFonts w:ascii="Arial" w:eastAsiaTheme="minorEastAsia" w:hAnsi="Arial" w:cs="Arial"/>
              </w:rPr>
              <w:t xml:space="preserve">The increasing activity in relation to EHCPs </w:t>
            </w:r>
            <w:r w:rsidR="0072B98F" w:rsidRPr="00D307C3">
              <w:rPr>
                <w:rFonts w:ascii="Arial" w:eastAsiaTheme="minorEastAsia" w:hAnsi="Arial" w:cs="Arial"/>
              </w:rPr>
              <w:t xml:space="preserve">continues </w:t>
            </w:r>
            <w:r w:rsidR="745B3855" w:rsidRPr="00D307C3">
              <w:rPr>
                <w:rFonts w:ascii="Arial" w:eastAsiaTheme="minorEastAsia" w:hAnsi="Arial" w:cs="Arial"/>
              </w:rPr>
              <w:t>with</w:t>
            </w:r>
            <w:r w:rsidR="745B3855" w:rsidRPr="00D307C3">
              <w:rPr>
                <w:rFonts w:ascii="Arial" w:eastAsia="Arial" w:hAnsi="Arial" w:cs="Arial"/>
              </w:rPr>
              <w:t xml:space="preserve"> 189 requests to assess, compared to 139 in 2023, a 36% increase. Th</w:t>
            </w:r>
            <w:r w:rsidR="263D127E" w:rsidRPr="00D307C3">
              <w:rPr>
                <w:rFonts w:ascii="Arial" w:eastAsiaTheme="minorEastAsia" w:hAnsi="Arial" w:cs="Arial"/>
              </w:rPr>
              <w:t>e ability to finalise EHCPs is frustrated by the lack of specialist educational prov</w:t>
            </w:r>
            <w:r w:rsidR="06DB910F" w:rsidRPr="00D307C3">
              <w:rPr>
                <w:rFonts w:ascii="Arial" w:eastAsiaTheme="minorEastAsia" w:hAnsi="Arial" w:cs="Arial"/>
              </w:rPr>
              <w:t xml:space="preserve">ision. All of the </w:t>
            </w:r>
            <w:r w:rsidR="682E0818" w:rsidRPr="00D307C3">
              <w:rPr>
                <w:rFonts w:ascii="Arial" w:eastAsiaTheme="minorEastAsia" w:hAnsi="Arial" w:cs="Arial"/>
              </w:rPr>
              <w:t>borough’s-maintained</w:t>
            </w:r>
            <w:r w:rsidR="06DB910F" w:rsidRPr="00D307C3">
              <w:rPr>
                <w:rFonts w:ascii="Arial" w:eastAsiaTheme="minorEastAsia" w:hAnsi="Arial" w:cs="Arial"/>
              </w:rPr>
              <w:t xml:space="preserve"> </w:t>
            </w:r>
            <w:r w:rsidR="06DB910F" w:rsidRPr="560F2A29">
              <w:rPr>
                <w:rFonts w:ascii="Arial" w:eastAsiaTheme="minorEastAsia" w:hAnsi="Arial" w:cs="Arial"/>
              </w:rPr>
              <w:t xml:space="preserve">schools </w:t>
            </w:r>
            <w:r w:rsidR="084DFD2B" w:rsidRPr="560F2A29">
              <w:rPr>
                <w:rFonts w:ascii="Arial" w:eastAsiaTheme="minorEastAsia" w:hAnsi="Arial" w:cs="Arial"/>
              </w:rPr>
              <w:t>have</w:t>
            </w:r>
            <w:r w:rsidR="06DB910F" w:rsidRPr="00D307C3">
              <w:rPr>
                <w:rFonts w:ascii="Arial" w:eastAsiaTheme="minorEastAsia" w:hAnsi="Arial" w:cs="Arial"/>
              </w:rPr>
              <w:t xml:space="preserve"> increased numbers this year </w:t>
            </w:r>
            <w:r w:rsidR="5B751916" w:rsidRPr="00D307C3">
              <w:rPr>
                <w:rFonts w:ascii="Arial" w:eastAsiaTheme="minorEastAsia" w:hAnsi="Arial" w:cs="Arial"/>
              </w:rPr>
              <w:t>and despite the creation of additional resourced provision</w:t>
            </w:r>
            <w:r w:rsidR="730A67C6" w:rsidRPr="00D307C3">
              <w:rPr>
                <w:rFonts w:ascii="Arial" w:eastAsiaTheme="minorEastAsia" w:hAnsi="Arial" w:cs="Arial"/>
              </w:rPr>
              <w:t>s</w:t>
            </w:r>
            <w:r w:rsidR="5B751916" w:rsidRPr="00D307C3">
              <w:rPr>
                <w:rFonts w:ascii="Arial" w:eastAsiaTheme="minorEastAsia" w:hAnsi="Arial" w:cs="Arial"/>
              </w:rPr>
              <w:t xml:space="preserve"> for pupils with SEND, demand continues to outstrip supply. </w:t>
            </w:r>
            <w:r w:rsidR="5D084DAB" w:rsidRPr="00D307C3">
              <w:rPr>
                <w:rFonts w:ascii="Arial" w:eastAsiaTheme="minorEastAsia" w:hAnsi="Arial" w:cs="Arial"/>
              </w:rPr>
              <w:t xml:space="preserve">As a result, EHCPs cannot be finalised. </w:t>
            </w:r>
            <w:r w:rsidR="521149E4" w:rsidRPr="00D307C3">
              <w:rPr>
                <w:rFonts w:ascii="Arial" w:eastAsiaTheme="minorEastAsia" w:hAnsi="Arial" w:cs="Arial"/>
              </w:rPr>
              <w:t xml:space="preserve">Six schools have expressed an interest in working with the Council to create additional provisions for pupils with </w:t>
            </w:r>
            <w:r w:rsidR="172E624A" w:rsidRPr="00D307C3">
              <w:rPr>
                <w:rFonts w:ascii="Arial" w:eastAsiaTheme="minorEastAsia" w:hAnsi="Arial" w:cs="Arial"/>
              </w:rPr>
              <w:t xml:space="preserve">medical needs, </w:t>
            </w:r>
            <w:r w:rsidR="521149E4" w:rsidRPr="00D307C3">
              <w:rPr>
                <w:rFonts w:ascii="Arial" w:eastAsiaTheme="minorEastAsia" w:hAnsi="Arial" w:cs="Arial"/>
              </w:rPr>
              <w:t xml:space="preserve">autism or social, emotional </w:t>
            </w:r>
            <w:r w:rsidR="0E0E1F20" w:rsidRPr="00D307C3">
              <w:rPr>
                <w:rFonts w:ascii="Arial" w:eastAsiaTheme="minorEastAsia" w:hAnsi="Arial" w:cs="Arial"/>
              </w:rPr>
              <w:t>and/or mental health issues</w:t>
            </w:r>
            <w:r w:rsidR="4FD3ABDC" w:rsidRPr="00D307C3">
              <w:rPr>
                <w:rFonts w:ascii="Arial" w:eastAsiaTheme="minorEastAsia" w:hAnsi="Arial" w:cs="Arial"/>
              </w:rPr>
              <w:t xml:space="preserve">, and subject to capital funding and the capacity in the Council </w:t>
            </w:r>
            <w:r w:rsidR="64816FDD" w:rsidRPr="00D307C3">
              <w:rPr>
                <w:rFonts w:ascii="Arial" w:eastAsiaTheme="minorEastAsia" w:hAnsi="Arial" w:cs="Arial"/>
              </w:rPr>
              <w:t xml:space="preserve">to </w:t>
            </w:r>
            <w:r w:rsidR="4FD3ABDC" w:rsidRPr="00D307C3">
              <w:rPr>
                <w:rFonts w:ascii="Arial" w:eastAsiaTheme="minorEastAsia" w:hAnsi="Arial" w:cs="Arial"/>
              </w:rPr>
              <w:t xml:space="preserve">deliver the required </w:t>
            </w:r>
            <w:r w:rsidR="3C1AC43A" w:rsidRPr="00D307C3">
              <w:rPr>
                <w:rFonts w:ascii="Arial" w:eastAsiaTheme="minorEastAsia" w:hAnsi="Arial" w:cs="Arial"/>
              </w:rPr>
              <w:t>adaptations</w:t>
            </w:r>
            <w:r w:rsidR="4FD3ABDC" w:rsidRPr="00D307C3">
              <w:rPr>
                <w:rFonts w:ascii="Arial" w:eastAsiaTheme="minorEastAsia" w:hAnsi="Arial" w:cs="Arial"/>
              </w:rPr>
              <w:t xml:space="preserve"> to</w:t>
            </w:r>
            <w:r w:rsidR="221F0652" w:rsidRPr="00D307C3">
              <w:rPr>
                <w:rFonts w:ascii="Arial" w:eastAsiaTheme="minorEastAsia" w:hAnsi="Arial" w:cs="Arial"/>
              </w:rPr>
              <w:t xml:space="preserve"> school premises</w:t>
            </w:r>
            <w:r w:rsidR="47D219C2" w:rsidRPr="00D307C3">
              <w:rPr>
                <w:rFonts w:ascii="Arial" w:eastAsiaTheme="minorEastAsia" w:hAnsi="Arial" w:cs="Arial"/>
              </w:rPr>
              <w:t>, the borough has the potential to extend and improve the offer. This will sit alongside a range of initia</w:t>
            </w:r>
            <w:r w:rsidR="1812A3DA" w:rsidRPr="00D307C3">
              <w:rPr>
                <w:rFonts w:ascii="Arial" w:eastAsiaTheme="minorEastAsia" w:hAnsi="Arial" w:cs="Arial"/>
              </w:rPr>
              <w:t xml:space="preserve">tives to improve the mainstream offer funded through the Delivering Better Value Investment Fund. </w:t>
            </w:r>
          </w:p>
          <w:p w14:paraId="4E153C37" w14:textId="77777777" w:rsidR="00835F50" w:rsidRPr="00D307C3" w:rsidRDefault="00835F50" w:rsidP="00BE78CD">
            <w:pPr>
              <w:pStyle w:val="ListParagraph"/>
              <w:spacing w:before="120" w:after="120"/>
              <w:ind w:left="714"/>
              <w:rPr>
                <w:rFonts w:ascii="Arial" w:hAnsi="Arial" w:cs="Arial"/>
              </w:rPr>
            </w:pPr>
          </w:p>
          <w:p w14:paraId="097B39E7" w14:textId="7DC36581" w:rsidR="00835F50" w:rsidRPr="00D307C3" w:rsidRDefault="00835F50" w:rsidP="00BE78CD">
            <w:pPr>
              <w:pStyle w:val="ListParagraph"/>
              <w:numPr>
                <w:ilvl w:val="0"/>
                <w:numId w:val="26"/>
              </w:numPr>
              <w:spacing w:before="120" w:after="120"/>
              <w:ind w:left="714" w:hanging="357"/>
              <w:rPr>
                <w:rFonts w:ascii="Arial" w:hAnsi="Arial" w:cs="Arial"/>
              </w:rPr>
            </w:pPr>
            <w:r w:rsidRPr="00EC1218">
              <w:rPr>
                <w:rFonts w:ascii="Arial" w:eastAsiaTheme="minorEastAsia" w:hAnsi="Arial" w:cs="Arial"/>
                <w:b/>
                <w:bCs/>
              </w:rPr>
              <w:t>E&amp;S-005</w:t>
            </w:r>
            <w:r w:rsidRPr="00D307C3">
              <w:rPr>
                <w:rFonts w:ascii="Arial" w:eastAsiaTheme="minorEastAsia" w:hAnsi="Arial" w:cs="Arial"/>
              </w:rPr>
              <w:t xml:space="preserve"> -</w:t>
            </w:r>
            <w:r w:rsidR="71F40E2B" w:rsidRPr="00D307C3">
              <w:rPr>
                <w:rFonts w:ascii="Arial" w:eastAsiaTheme="minorEastAsia" w:hAnsi="Arial" w:cs="Arial"/>
              </w:rPr>
              <w:t xml:space="preserve"> </w:t>
            </w:r>
            <w:r w:rsidR="4B70C603" w:rsidRPr="00D307C3">
              <w:rPr>
                <w:rFonts w:ascii="Arial" w:eastAsiaTheme="minorEastAsia" w:hAnsi="Arial" w:cs="Arial"/>
              </w:rPr>
              <w:t xml:space="preserve">To address the increasing numbers, </w:t>
            </w:r>
            <w:r w:rsidR="71F40E2B" w:rsidRPr="00D307C3">
              <w:rPr>
                <w:rFonts w:ascii="Arial" w:eastAsiaTheme="minorEastAsia" w:hAnsi="Arial" w:cs="Arial"/>
              </w:rPr>
              <w:t>the NEET Taskforce</w:t>
            </w:r>
            <w:r w:rsidR="256CD934" w:rsidRPr="00D307C3">
              <w:rPr>
                <w:rFonts w:ascii="Arial" w:eastAsiaTheme="minorEastAsia" w:hAnsi="Arial" w:cs="Arial"/>
              </w:rPr>
              <w:t xml:space="preserve"> was relaunched</w:t>
            </w:r>
            <w:r w:rsidR="71F40E2B" w:rsidRPr="00D307C3">
              <w:rPr>
                <w:rFonts w:ascii="Arial" w:eastAsiaTheme="minorEastAsia" w:hAnsi="Arial" w:cs="Arial"/>
              </w:rPr>
              <w:t xml:space="preserve"> in July </w:t>
            </w:r>
            <w:r w:rsidR="0399DE84" w:rsidRPr="00D307C3">
              <w:rPr>
                <w:rFonts w:ascii="Arial" w:eastAsiaTheme="minorEastAsia" w:hAnsi="Arial" w:cs="Arial"/>
              </w:rPr>
              <w:t>and</w:t>
            </w:r>
            <w:r w:rsidR="71F40E2B" w:rsidRPr="00D307C3">
              <w:rPr>
                <w:rFonts w:ascii="Arial" w:eastAsiaTheme="minorEastAsia" w:hAnsi="Arial" w:cs="Arial"/>
              </w:rPr>
              <w:t xml:space="preserve"> </w:t>
            </w:r>
            <w:r w:rsidR="24712F17" w:rsidRPr="00D307C3">
              <w:rPr>
                <w:rFonts w:ascii="Arial" w:eastAsiaTheme="minorEastAsia" w:hAnsi="Arial" w:cs="Arial"/>
              </w:rPr>
              <w:t xml:space="preserve">was </w:t>
            </w:r>
            <w:r w:rsidR="71F40E2B" w:rsidRPr="00D307C3">
              <w:rPr>
                <w:rFonts w:ascii="Arial" w:eastAsiaTheme="minorEastAsia" w:hAnsi="Arial" w:cs="Arial"/>
              </w:rPr>
              <w:t xml:space="preserve">well attended by a range of </w:t>
            </w:r>
            <w:r w:rsidR="3B252976" w:rsidRPr="00D307C3">
              <w:rPr>
                <w:rFonts w:ascii="Arial" w:eastAsiaTheme="minorEastAsia" w:hAnsi="Arial" w:cs="Arial"/>
              </w:rPr>
              <w:t xml:space="preserve">partners </w:t>
            </w:r>
            <w:r w:rsidR="25EC0A6B" w:rsidRPr="00D307C3">
              <w:rPr>
                <w:rFonts w:ascii="Arial" w:eastAsiaTheme="minorEastAsia" w:hAnsi="Arial" w:cs="Arial"/>
              </w:rPr>
              <w:t>with a commitment to work together to address gaps</w:t>
            </w:r>
            <w:r w:rsidR="71F40E2B" w:rsidRPr="00D307C3">
              <w:rPr>
                <w:rFonts w:ascii="Arial" w:eastAsiaTheme="minorEastAsia" w:hAnsi="Arial" w:cs="Arial"/>
              </w:rPr>
              <w:t xml:space="preserve">. </w:t>
            </w:r>
            <w:r w:rsidR="18971AD5" w:rsidRPr="00D307C3">
              <w:rPr>
                <w:rFonts w:ascii="Arial" w:eastAsiaTheme="minorEastAsia" w:hAnsi="Arial" w:cs="Arial"/>
              </w:rPr>
              <w:t xml:space="preserve">The lack of engagement </w:t>
            </w:r>
            <w:r w:rsidR="46FEAAEB" w:rsidRPr="00D307C3">
              <w:rPr>
                <w:rFonts w:ascii="Arial" w:eastAsiaTheme="minorEastAsia" w:hAnsi="Arial" w:cs="Arial"/>
              </w:rPr>
              <w:t xml:space="preserve">and flexible training </w:t>
            </w:r>
            <w:r w:rsidR="18971AD5" w:rsidRPr="00D307C3">
              <w:rPr>
                <w:rFonts w:ascii="Arial" w:eastAsiaTheme="minorEastAsia" w:hAnsi="Arial" w:cs="Arial"/>
              </w:rPr>
              <w:t xml:space="preserve">provision continues to be </w:t>
            </w:r>
            <w:r w:rsidR="4C77F6A8" w:rsidRPr="00D307C3">
              <w:rPr>
                <w:rFonts w:ascii="Arial" w:eastAsiaTheme="minorEastAsia" w:hAnsi="Arial" w:cs="Arial"/>
              </w:rPr>
              <w:t>challenge</w:t>
            </w:r>
            <w:r w:rsidR="3AD57264" w:rsidRPr="00D307C3">
              <w:rPr>
                <w:rFonts w:ascii="Arial" w:eastAsiaTheme="minorEastAsia" w:hAnsi="Arial" w:cs="Arial"/>
              </w:rPr>
              <w:t xml:space="preserve"> for the borough</w:t>
            </w:r>
            <w:r w:rsidR="58F4014C" w:rsidRPr="4A6BD9B5">
              <w:rPr>
                <w:rFonts w:ascii="Arial" w:eastAsiaTheme="minorEastAsia" w:hAnsi="Arial" w:cs="Arial"/>
              </w:rPr>
              <w:t xml:space="preserve">. </w:t>
            </w:r>
            <w:r w:rsidR="58F4014C" w:rsidRPr="45D34F14">
              <w:rPr>
                <w:rFonts w:ascii="Arial" w:eastAsiaTheme="minorEastAsia" w:hAnsi="Arial" w:cs="Arial"/>
              </w:rPr>
              <w:t>F</w:t>
            </w:r>
            <w:r w:rsidR="3AD57264" w:rsidRPr="45D34F14">
              <w:rPr>
                <w:rFonts w:ascii="Arial" w:eastAsiaTheme="minorEastAsia" w:hAnsi="Arial" w:cs="Arial"/>
              </w:rPr>
              <w:t>ol</w:t>
            </w:r>
            <w:r w:rsidR="71F40E2B" w:rsidRPr="45D34F14">
              <w:rPr>
                <w:rFonts w:ascii="Arial" w:eastAsiaTheme="minorEastAsia" w:hAnsi="Arial" w:cs="Arial"/>
              </w:rPr>
              <w:t>lowing</w:t>
            </w:r>
            <w:r w:rsidR="71F40E2B" w:rsidRPr="00D307C3">
              <w:rPr>
                <w:rFonts w:ascii="Arial" w:eastAsiaTheme="minorEastAsia" w:hAnsi="Arial" w:cs="Arial"/>
              </w:rPr>
              <w:t xml:space="preserve"> the </w:t>
            </w:r>
            <w:r w:rsidR="436165EE" w:rsidRPr="00D307C3">
              <w:rPr>
                <w:rFonts w:ascii="Arial" w:eastAsiaTheme="minorEastAsia" w:hAnsi="Arial" w:cs="Arial"/>
              </w:rPr>
              <w:t>cessation of the St Helens Chamber</w:t>
            </w:r>
            <w:r w:rsidR="5E4B057A" w:rsidRPr="45D34F14">
              <w:rPr>
                <w:rFonts w:ascii="Arial" w:eastAsiaTheme="minorEastAsia" w:hAnsi="Arial" w:cs="Arial"/>
              </w:rPr>
              <w:t>,</w:t>
            </w:r>
            <w:r w:rsidR="436165EE" w:rsidRPr="00D307C3">
              <w:rPr>
                <w:rFonts w:ascii="Arial" w:eastAsiaTheme="minorEastAsia" w:hAnsi="Arial" w:cs="Arial"/>
              </w:rPr>
              <w:t xml:space="preserve"> the Local Authority submitted a </w:t>
            </w:r>
            <w:r w:rsidR="53BB19EF" w:rsidRPr="00D307C3">
              <w:rPr>
                <w:rFonts w:ascii="Arial" w:eastAsiaTheme="minorEastAsia" w:hAnsi="Arial" w:cs="Arial"/>
              </w:rPr>
              <w:t xml:space="preserve">successful </w:t>
            </w:r>
            <w:r w:rsidR="436165EE" w:rsidRPr="00D307C3">
              <w:rPr>
                <w:rFonts w:ascii="Arial" w:eastAsiaTheme="minorEastAsia" w:hAnsi="Arial" w:cs="Arial"/>
              </w:rPr>
              <w:t>business case to the Education &amp; Skills Funding Ag</w:t>
            </w:r>
            <w:r w:rsidR="30F34B4F" w:rsidRPr="00D307C3">
              <w:rPr>
                <w:rFonts w:ascii="Arial" w:eastAsiaTheme="minorEastAsia" w:hAnsi="Arial" w:cs="Arial"/>
              </w:rPr>
              <w:t xml:space="preserve">ency </w:t>
            </w:r>
            <w:r w:rsidR="7B55C6B8" w:rsidRPr="00D307C3">
              <w:rPr>
                <w:rFonts w:ascii="Arial" w:eastAsiaTheme="minorEastAsia" w:hAnsi="Arial" w:cs="Arial"/>
              </w:rPr>
              <w:t xml:space="preserve">(ESFA) </w:t>
            </w:r>
            <w:r w:rsidR="436165EE" w:rsidRPr="00D307C3">
              <w:rPr>
                <w:rFonts w:ascii="Arial" w:eastAsiaTheme="minorEastAsia" w:hAnsi="Arial" w:cs="Arial"/>
              </w:rPr>
              <w:t xml:space="preserve">for </w:t>
            </w:r>
            <w:r w:rsidR="38FC5D90" w:rsidRPr="00D307C3">
              <w:rPr>
                <w:rFonts w:ascii="Arial" w:eastAsiaTheme="minorEastAsia" w:hAnsi="Arial" w:cs="Arial"/>
              </w:rPr>
              <w:t xml:space="preserve">150 </w:t>
            </w:r>
            <w:r w:rsidR="436165EE" w:rsidRPr="00D307C3">
              <w:rPr>
                <w:rFonts w:ascii="Arial" w:eastAsiaTheme="minorEastAsia" w:hAnsi="Arial" w:cs="Arial"/>
              </w:rPr>
              <w:t xml:space="preserve">additional funded </w:t>
            </w:r>
            <w:r w:rsidR="0ED0F0C4" w:rsidRPr="00D307C3">
              <w:rPr>
                <w:rFonts w:ascii="Arial" w:eastAsiaTheme="minorEastAsia" w:hAnsi="Arial" w:cs="Arial"/>
              </w:rPr>
              <w:t>post 16 provision</w:t>
            </w:r>
            <w:r w:rsidR="7E481196" w:rsidRPr="45D34F14">
              <w:rPr>
                <w:rFonts w:ascii="Arial" w:eastAsiaTheme="minorEastAsia" w:hAnsi="Arial" w:cs="Arial"/>
              </w:rPr>
              <w:t xml:space="preserve">. </w:t>
            </w:r>
            <w:r w:rsidR="7E481196" w:rsidRPr="18035EC4">
              <w:rPr>
                <w:rFonts w:ascii="Arial" w:eastAsiaTheme="minorEastAsia" w:hAnsi="Arial" w:cs="Arial"/>
              </w:rPr>
              <w:t>A</w:t>
            </w:r>
            <w:r w:rsidR="719C3B73" w:rsidRPr="18035EC4">
              <w:rPr>
                <w:rFonts w:ascii="Arial" w:eastAsiaTheme="minorEastAsia" w:hAnsi="Arial" w:cs="Arial"/>
              </w:rPr>
              <w:t>s</w:t>
            </w:r>
            <w:r w:rsidR="719C3B73" w:rsidRPr="00D307C3">
              <w:rPr>
                <w:rFonts w:ascii="Arial" w:eastAsiaTheme="minorEastAsia" w:hAnsi="Arial" w:cs="Arial"/>
              </w:rPr>
              <w:t xml:space="preserve"> a result</w:t>
            </w:r>
            <w:r w:rsidR="79AD603A" w:rsidRPr="18035EC4">
              <w:rPr>
                <w:rFonts w:ascii="Arial" w:eastAsiaTheme="minorEastAsia" w:hAnsi="Arial" w:cs="Arial"/>
              </w:rPr>
              <w:t>,</w:t>
            </w:r>
            <w:r w:rsidR="719C3B73" w:rsidRPr="00D307C3">
              <w:rPr>
                <w:rFonts w:ascii="Arial" w:eastAsiaTheme="minorEastAsia" w:hAnsi="Arial" w:cs="Arial"/>
              </w:rPr>
              <w:t xml:space="preserve"> t</w:t>
            </w:r>
            <w:r w:rsidR="58CD22F4" w:rsidRPr="00D307C3">
              <w:rPr>
                <w:rFonts w:ascii="Arial" w:eastAsiaTheme="minorEastAsia" w:hAnsi="Arial" w:cs="Arial"/>
              </w:rPr>
              <w:t>he Council has e</w:t>
            </w:r>
            <w:r w:rsidR="7A58EF8B" w:rsidRPr="00D307C3">
              <w:rPr>
                <w:rFonts w:ascii="Arial" w:eastAsiaTheme="minorEastAsia" w:hAnsi="Arial" w:cs="Arial"/>
              </w:rPr>
              <w:t xml:space="preserve">ngaged with St Helens College and Growth Company </w:t>
            </w:r>
            <w:r w:rsidR="7C0B8E0F" w:rsidRPr="00D307C3">
              <w:rPr>
                <w:rFonts w:ascii="Arial" w:eastAsiaTheme="minorEastAsia" w:hAnsi="Arial" w:cs="Arial"/>
              </w:rPr>
              <w:t>who hav</w:t>
            </w:r>
            <w:r w:rsidR="763BEF92" w:rsidRPr="00D307C3">
              <w:rPr>
                <w:rFonts w:ascii="Arial" w:eastAsiaTheme="minorEastAsia" w:hAnsi="Arial" w:cs="Arial"/>
              </w:rPr>
              <w:t xml:space="preserve">e agreed </w:t>
            </w:r>
            <w:r w:rsidR="1B9EDB9E" w:rsidRPr="00D307C3">
              <w:rPr>
                <w:rFonts w:ascii="Arial" w:eastAsiaTheme="minorEastAsia" w:hAnsi="Arial" w:cs="Arial"/>
              </w:rPr>
              <w:t xml:space="preserve">changes for </w:t>
            </w:r>
            <w:r w:rsidR="33637F18" w:rsidRPr="00D307C3">
              <w:rPr>
                <w:rFonts w:ascii="Arial" w:eastAsiaTheme="minorEastAsia" w:hAnsi="Arial" w:cs="Arial"/>
              </w:rPr>
              <w:t>their</w:t>
            </w:r>
            <w:r w:rsidR="7A58EF8B" w:rsidRPr="00D307C3">
              <w:rPr>
                <w:rFonts w:ascii="Arial" w:eastAsiaTheme="minorEastAsia" w:hAnsi="Arial" w:cs="Arial"/>
              </w:rPr>
              <w:t xml:space="preserve"> offer from Sept</w:t>
            </w:r>
            <w:r w:rsidR="07A8D278" w:rsidRPr="00D307C3">
              <w:rPr>
                <w:rFonts w:ascii="Arial" w:eastAsiaTheme="minorEastAsia" w:hAnsi="Arial" w:cs="Arial"/>
              </w:rPr>
              <w:t>ember</w:t>
            </w:r>
            <w:r w:rsidR="7A58EF8B" w:rsidRPr="00D307C3">
              <w:rPr>
                <w:rFonts w:ascii="Arial" w:eastAsiaTheme="minorEastAsia" w:hAnsi="Arial" w:cs="Arial"/>
              </w:rPr>
              <w:t xml:space="preserve"> to address some gaps</w:t>
            </w:r>
            <w:r w:rsidR="7375574A" w:rsidRPr="00D307C3">
              <w:rPr>
                <w:rFonts w:ascii="Arial" w:eastAsiaTheme="minorEastAsia" w:hAnsi="Arial" w:cs="Arial"/>
              </w:rPr>
              <w:t>, which we hope will impact on our NEET numbers in 2024/25. Positively, the</w:t>
            </w:r>
            <w:r w:rsidR="7A58EF8B" w:rsidRPr="00D307C3">
              <w:rPr>
                <w:rFonts w:ascii="Arial" w:eastAsiaTheme="minorEastAsia" w:hAnsi="Arial" w:cs="Arial"/>
              </w:rPr>
              <w:t xml:space="preserve"> September Guarantee cohort checking </w:t>
            </w:r>
            <w:r w:rsidR="75A9F8A1" w:rsidRPr="00D307C3">
              <w:rPr>
                <w:rFonts w:ascii="Arial" w:eastAsiaTheme="minorEastAsia" w:hAnsi="Arial" w:cs="Arial"/>
              </w:rPr>
              <w:t xml:space="preserve">has been </w:t>
            </w:r>
            <w:r w:rsidR="7A58EF8B" w:rsidRPr="00D307C3">
              <w:rPr>
                <w:rFonts w:ascii="Arial" w:eastAsiaTheme="minorEastAsia" w:hAnsi="Arial" w:cs="Arial"/>
              </w:rPr>
              <w:t>completed by all schools by deadline.</w:t>
            </w:r>
            <w:r w:rsidR="2EEB7AC8" w:rsidRPr="00D307C3">
              <w:rPr>
                <w:rFonts w:ascii="Arial" w:eastAsiaTheme="minorEastAsia" w:hAnsi="Arial" w:cs="Arial"/>
              </w:rPr>
              <w:t xml:space="preserve"> </w:t>
            </w:r>
            <w:r w:rsidR="70BA5163" w:rsidRPr="00D307C3">
              <w:rPr>
                <w:rFonts w:ascii="Arial" w:eastAsiaTheme="minorEastAsia" w:hAnsi="Arial" w:cs="Arial"/>
              </w:rPr>
              <w:t xml:space="preserve">This will </w:t>
            </w:r>
            <w:r w:rsidR="380ECD7B" w:rsidRPr="00D307C3">
              <w:rPr>
                <w:rFonts w:ascii="Arial" w:eastAsiaTheme="minorEastAsia" w:hAnsi="Arial" w:cs="Arial"/>
              </w:rPr>
              <w:t>support t</w:t>
            </w:r>
            <w:r w:rsidR="5EF2F00A" w:rsidRPr="00D307C3">
              <w:rPr>
                <w:rFonts w:ascii="Arial" w:eastAsiaTheme="minorEastAsia" w:hAnsi="Arial" w:cs="Arial"/>
              </w:rPr>
              <w:t xml:space="preserve">racking </w:t>
            </w:r>
            <w:r w:rsidR="651E081D" w:rsidRPr="00D307C3">
              <w:rPr>
                <w:rFonts w:ascii="Arial" w:eastAsiaTheme="minorEastAsia" w:hAnsi="Arial" w:cs="Arial"/>
              </w:rPr>
              <w:t xml:space="preserve">of destinations in the Autumn. </w:t>
            </w:r>
          </w:p>
          <w:p w14:paraId="0BE0DECC" w14:textId="498095FA" w:rsidR="00835F50" w:rsidRPr="005E73D0" w:rsidRDefault="00835F50" w:rsidP="04A81018">
            <w:pPr>
              <w:pStyle w:val="ListParagraph"/>
              <w:spacing w:before="120" w:after="120"/>
              <w:ind w:left="714" w:hanging="357"/>
              <w:jc w:val="both"/>
              <w:rPr>
                <w:rFonts w:ascii="Arial" w:hAnsi="Arial" w:cs="Arial"/>
                <w:color w:val="000000" w:themeColor="text1"/>
              </w:rPr>
            </w:pPr>
          </w:p>
        </w:tc>
      </w:tr>
    </w:tbl>
    <w:p w14:paraId="10E964E0" w14:textId="77777777" w:rsidR="00603179" w:rsidRDefault="00603179" w:rsidP="00B0379D">
      <w:pPr>
        <w:spacing w:after="120" w:line="240" w:lineRule="auto"/>
        <w:jc w:val="both"/>
        <w:rPr>
          <w:rFonts w:ascii="Arial" w:hAnsi="Arial" w:cs="Arial"/>
          <w:b/>
          <w:color w:val="ED712C"/>
          <w:sz w:val="32"/>
          <w:szCs w:val="32"/>
        </w:rPr>
      </w:pPr>
    </w:p>
    <w:p w14:paraId="2FA54E22" w14:textId="5EE0AD86" w:rsidR="00B0379D" w:rsidRPr="00AB1B48" w:rsidRDefault="00E75E6D" w:rsidP="00B0379D">
      <w:pPr>
        <w:spacing w:after="120" w:line="240" w:lineRule="auto"/>
        <w:jc w:val="both"/>
        <w:rPr>
          <w:rFonts w:ascii="Arial" w:hAnsi="Arial" w:cs="Arial"/>
          <w:b/>
          <w:color w:val="ED712C"/>
          <w:sz w:val="32"/>
          <w:szCs w:val="32"/>
        </w:rPr>
      </w:pPr>
      <w:r w:rsidRPr="00AB1B48">
        <w:rPr>
          <w:rFonts w:ascii="Arial" w:hAnsi="Arial" w:cs="Arial"/>
          <w:b/>
          <w:color w:val="ED712C"/>
          <w:sz w:val="32"/>
          <w:szCs w:val="32"/>
        </w:rPr>
        <w:t>Outcome</w:t>
      </w:r>
      <w:r>
        <w:rPr>
          <w:rFonts w:ascii="Arial" w:hAnsi="Arial" w:cs="Arial"/>
          <w:b/>
          <w:bCs/>
          <w:color w:val="ED712C"/>
        </w:rPr>
        <w:t xml:space="preserve"> </w:t>
      </w:r>
      <w:r w:rsidRPr="00AB1B48">
        <w:rPr>
          <w:rFonts w:ascii="Arial" w:hAnsi="Arial" w:cs="Arial"/>
          <w:b/>
          <w:color w:val="ED712C"/>
          <w:sz w:val="32"/>
          <w:szCs w:val="32"/>
        </w:rPr>
        <w:t>- Children and young people are healthy, resilient, confident, involved and achieve their potential</w:t>
      </w:r>
    </w:p>
    <w:tbl>
      <w:tblPr>
        <w:tblStyle w:val="TableGrid"/>
        <w:tblW w:w="0" w:type="auto"/>
        <w:tblBorders>
          <w:top w:val="single" w:sz="4" w:space="0" w:color="ED712C"/>
          <w:left w:val="single" w:sz="4" w:space="0" w:color="ED712C"/>
          <w:bottom w:val="single" w:sz="4" w:space="0" w:color="ED712C"/>
          <w:right w:val="single" w:sz="4" w:space="0" w:color="ED712C"/>
          <w:insideH w:val="single" w:sz="4" w:space="0" w:color="ED712C"/>
          <w:insideV w:val="single" w:sz="4" w:space="0" w:color="ED712C"/>
        </w:tblBorders>
        <w:tblLook w:val="04A0" w:firstRow="1" w:lastRow="0" w:firstColumn="1" w:lastColumn="0" w:noHBand="0" w:noVBand="1"/>
      </w:tblPr>
      <w:tblGrid>
        <w:gridCol w:w="8359"/>
        <w:gridCol w:w="7029"/>
      </w:tblGrid>
      <w:tr w:rsidR="00970157" w14:paraId="486E7FDB" w14:textId="77777777" w:rsidTr="00B8AFBC">
        <w:tc>
          <w:tcPr>
            <w:tcW w:w="8359" w:type="dxa"/>
            <w:shd w:val="clear" w:color="auto" w:fill="ED712C"/>
          </w:tcPr>
          <w:p w14:paraId="73B32D37" w14:textId="77777777" w:rsidR="00B0379D" w:rsidRPr="00DA0660" w:rsidRDefault="00E75E6D" w:rsidP="00B0379D">
            <w:pPr>
              <w:spacing w:after="120"/>
              <w:jc w:val="both"/>
              <w:rPr>
                <w:rFonts w:ascii="Arial" w:hAnsi="Arial" w:cs="Arial"/>
                <w:b/>
                <w:bCs/>
                <w:color w:val="FFFFFF" w:themeColor="background1"/>
              </w:rPr>
            </w:pPr>
            <w:r w:rsidRPr="00DA0660">
              <w:rPr>
                <w:rFonts w:ascii="Arial" w:hAnsi="Arial" w:cs="Arial"/>
                <w:b/>
                <w:bCs/>
                <w:color w:val="FFFFFF" w:themeColor="background1"/>
              </w:rPr>
              <w:t>Current Performance</w:t>
            </w:r>
          </w:p>
        </w:tc>
        <w:tc>
          <w:tcPr>
            <w:tcW w:w="7029" w:type="dxa"/>
            <w:shd w:val="clear" w:color="auto" w:fill="ED712C"/>
          </w:tcPr>
          <w:p w14:paraId="3BDA8008" w14:textId="77777777" w:rsidR="00B0379D" w:rsidRPr="00DA0660" w:rsidRDefault="00B0379D" w:rsidP="00B0379D">
            <w:pPr>
              <w:spacing w:after="120"/>
              <w:jc w:val="both"/>
              <w:rPr>
                <w:rFonts w:ascii="Arial" w:hAnsi="Arial" w:cs="Arial"/>
                <w:b/>
                <w:bCs/>
                <w:color w:val="FFFFFF" w:themeColor="background1"/>
              </w:rPr>
            </w:pPr>
          </w:p>
        </w:tc>
      </w:tr>
      <w:tr w:rsidR="00970157" w14:paraId="3243DC55" w14:textId="77777777" w:rsidTr="00B8AFBC">
        <w:tc>
          <w:tcPr>
            <w:tcW w:w="15388" w:type="dxa"/>
            <w:gridSpan w:val="2"/>
          </w:tcPr>
          <w:p w14:paraId="78DCEBAC" w14:textId="19A47A55" w:rsidR="001003C8" w:rsidRPr="003D7EDE" w:rsidRDefault="00A01777" w:rsidP="00E10B8B">
            <w:pPr>
              <w:pStyle w:val="ListParagraph"/>
              <w:numPr>
                <w:ilvl w:val="0"/>
                <w:numId w:val="10"/>
              </w:numPr>
              <w:spacing w:before="80" w:after="120"/>
              <w:ind w:left="714" w:hanging="357"/>
              <w:contextualSpacing w:val="0"/>
              <w:jc w:val="both"/>
              <w:rPr>
                <w:rFonts w:ascii="Arial" w:eastAsiaTheme="minorEastAsia" w:hAnsi="Arial" w:cs="Arial"/>
              </w:rPr>
            </w:pPr>
            <w:r w:rsidRPr="003D7EDE">
              <w:rPr>
                <w:rFonts w:ascii="Arial" w:eastAsia="Arial" w:hAnsi="Arial" w:cs="Arial"/>
              </w:rPr>
              <w:t xml:space="preserve">Performance within the outcome of improving children’s health and resilience </w:t>
            </w:r>
            <w:r w:rsidR="00433FC4" w:rsidRPr="003D7EDE">
              <w:rPr>
                <w:rFonts w:ascii="Arial" w:eastAsia="Arial" w:hAnsi="Arial" w:cs="Arial"/>
              </w:rPr>
              <w:t>continued to remain</w:t>
            </w:r>
            <w:r w:rsidRPr="003D7EDE">
              <w:rPr>
                <w:rFonts w:ascii="Arial" w:eastAsia="Arial" w:hAnsi="Arial" w:cs="Arial"/>
              </w:rPr>
              <w:t xml:space="preserve"> challenging</w:t>
            </w:r>
            <w:r w:rsidR="00186BF7" w:rsidRPr="003D7EDE">
              <w:rPr>
                <w:rFonts w:ascii="Arial" w:eastAsia="Arial" w:hAnsi="Arial" w:cs="Arial"/>
              </w:rPr>
              <w:t xml:space="preserve"> in areas</w:t>
            </w:r>
            <w:r w:rsidR="00E13621" w:rsidRPr="003D7EDE">
              <w:rPr>
                <w:rFonts w:ascii="Arial" w:eastAsia="Arial" w:hAnsi="Arial" w:cs="Arial"/>
              </w:rPr>
              <w:t>, but also shows areas of improvement</w:t>
            </w:r>
            <w:r w:rsidRPr="003D7EDE">
              <w:rPr>
                <w:rFonts w:ascii="Arial" w:eastAsia="Arial" w:hAnsi="Arial" w:cs="Arial"/>
              </w:rPr>
              <w:t xml:space="preserve">. </w:t>
            </w:r>
          </w:p>
          <w:p w14:paraId="5C5F4FE8" w14:textId="27B3C2F4" w:rsidR="00C42A4D" w:rsidRPr="0091124F" w:rsidRDefault="00C42A4D" w:rsidP="00E10B8B">
            <w:pPr>
              <w:pStyle w:val="ListParagraph"/>
              <w:numPr>
                <w:ilvl w:val="0"/>
                <w:numId w:val="10"/>
              </w:numPr>
              <w:spacing w:before="80" w:after="120"/>
              <w:ind w:left="714" w:hanging="357"/>
              <w:contextualSpacing w:val="0"/>
              <w:jc w:val="both"/>
              <w:rPr>
                <w:rFonts w:ascii="Arial" w:eastAsiaTheme="minorEastAsia" w:hAnsi="Arial" w:cs="Arial"/>
              </w:rPr>
            </w:pPr>
            <w:r w:rsidRPr="00554483">
              <w:rPr>
                <w:rFonts w:ascii="Arial" w:eastAsiaTheme="minorEastAsia" w:hAnsi="Arial" w:cs="Arial"/>
                <w:b/>
                <w:bCs/>
              </w:rPr>
              <w:t>PH-001</w:t>
            </w:r>
            <w:r w:rsidRPr="00554483">
              <w:rPr>
                <w:rFonts w:ascii="Arial" w:eastAsiaTheme="minorEastAsia" w:hAnsi="Arial" w:cs="Arial"/>
              </w:rPr>
              <w:t xml:space="preserve"> - </w:t>
            </w:r>
            <w:r w:rsidR="00966512" w:rsidRPr="00554483">
              <w:rPr>
                <w:rFonts w:ascii="Arial" w:hAnsi="Arial" w:cs="Arial"/>
              </w:rPr>
              <w:t xml:space="preserve">The latest data for </w:t>
            </w:r>
            <w:r w:rsidR="00CE77F4" w:rsidRPr="00554483">
              <w:rPr>
                <w:rFonts w:ascii="Arial" w:hAnsi="Arial" w:cs="Arial"/>
              </w:rPr>
              <w:t xml:space="preserve">hospital admissions for self-harm aged 10-24 years relates to </w:t>
            </w:r>
            <w:r w:rsidR="00966512" w:rsidRPr="00554483">
              <w:rPr>
                <w:rFonts w:ascii="Arial" w:hAnsi="Arial" w:cs="Arial"/>
              </w:rPr>
              <w:t>Q</w:t>
            </w:r>
            <w:r w:rsidR="00CE77F4" w:rsidRPr="00554483">
              <w:rPr>
                <w:rFonts w:ascii="Arial" w:hAnsi="Arial" w:cs="Arial"/>
              </w:rPr>
              <w:t xml:space="preserve">uarter </w:t>
            </w:r>
            <w:r w:rsidR="00966512" w:rsidRPr="00554483">
              <w:rPr>
                <w:rFonts w:ascii="Arial" w:hAnsi="Arial" w:cs="Arial"/>
              </w:rPr>
              <w:t>4 2023</w:t>
            </w:r>
            <w:r w:rsidR="00CE77F4" w:rsidRPr="00554483">
              <w:rPr>
                <w:rFonts w:ascii="Arial" w:hAnsi="Arial" w:cs="Arial"/>
              </w:rPr>
              <w:t>-</w:t>
            </w:r>
            <w:r w:rsidR="00966512" w:rsidRPr="00554483">
              <w:rPr>
                <w:rFonts w:ascii="Arial" w:hAnsi="Arial" w:cs="Arial"/>
              </w:rPr>
              <w:t xml:space="preserve">24 </w:t>
            </w:r>
            <w:r w:rsidR="00CE77F4" w:rsidRPr="00554483">
              <w:rPr>
                <w:rFonts w:ascii="Arial" w:hAnsi="Arial" w:cs="Arial"/>
              </w:rPr>
              <w:t xml:space="preserve">and shows a </w:t>
            </w:r>
            <w:r w:rsidR="00966512" w:rsidRPr="00554483">
              <w:rPr>
                <w:rFonts w:ascii="Arial" w:hAnsi="Arial" w:cs="Arial"/>
              </w:rPr>
              <w:t xml:space="preserve">rolling annual rate </w:t>
            </w:r>
            <w:r w:rsidR="00CE77F4" w:rsidRPr="00554483">
              <w:rPr>
                <w:rFonts w:ascii="Arial" w:hAnsi="Arial" w:cs="Arial"/>
              </w:rPr>
              <w:t>of</w:t>
            </w:r>
            <w:r w:rsidR="00966512" w:rsidRPr="00554483">
              <w:rPr>
                <w:rFonts w:ascii="Arial" w:hAnsi="Arial" w:cs="Arial"/>
              </w:rPr>
              <w:t xml:space="preserve"> 686.8 per 100</w:t>
            </w:r>
            <w:r w:rsidR="00966512" w:rsidRPr="0091124F">
              <w:rPr>
                <w:rFonts w:ascii="Arial" w:hAnsi="Arial" w:cs="Arial"/>
              </w:rPr>
              <w:t>,000 aged 10-24, which relates to 196 admissions. This is a decrease from the previous 3 quarters and the lowest rate in a number of years.</w:t>
            </w:r>
          </w:p>
          <w:p w14:paraId="09CECE24" w14:textId="7904E762" w:rsidR="001003C8" w:rsidRPr="00D923AF" w:rsidRDefault="00FD3661" w:rsidP="00E10B8B">
            <w:pPr>
              <w:pStyle w:val="ListParagraph"/>
              <w:numPr>
                <w:ilvl w:val="0"/>
                <w:numId w:val="10"/>
              </w:numPr>
              <w:spacing w:before="80" w:after="120"/>
              <w:ind w:left="714" w:hanging="357"/>
              <w:contextualSpacing w:val="0"/>
              <w:jc w:val="both"/>
              <w:rPr>
                <w:rFonts w:ascii="Arial" w:eastAsiaTheme="minorEastAsia" w:hAnsi="Arial" w:cs="Arial"/>
              </w:rPr>
            </w:pPr>
            <w:r w:rsidRPr="0091124F">
              <w:rPr>
                <w:rFonts w:ascii="Arial" w:eastAsia="Arial" w:hAnsi="Arial" w:cs="Arial"/>
                <w:b/>
                <w:bCs/>
              </w:rPr>
              <w:t>PH-004</w:t>
            </w:r>
            <w:r w:rsidRPr="0091124F">
              <w:rPr>
                <w:rFonts w:ascii="Arial" w:eastAsia="Arial" w:hAnsi="Arial" w:cs="Arial"/>
              </w:rPr>
              <w:t xml:space="preserve"> </w:t>
            </w:r>
            <w:r w:rsidR="00E5357B" w:rsidRPr="0091124F">
              <w:rPr>
                <w:rFonts w:ascii="Arial" w:eastAsia="Arial" w:hAnsi="Arial" w:cs="Arial"/>
              </w:rPr>
              <w:t>–</w:t>
            </w:r>
            <w:r w:rsidRPr="0091124F">
              <w:rPr>
                <w:rFonts w:ascii="Arial" w:eastAsia="Arial" w:hAnsi="Arial" w:cs="Arial"/>
              </w:rPr>
              <w:t xml:space="preserve"> </w:t>
            </w:r>
            <w:r w:rsidR="00E5357B" w:rsidRPr="0091124F">
              <w:rPr>
                <w:rFonts w:ascii="Arial" w:eastAsia="Arial" w:hAnsi="Arial" w:cs="Arial"/>
              </w:rPr>
              <w:t xml:space="preserve">Further data </w:t>
            </w:r>
            <w:r w:rsidR="00440A61" w:rsidRPr="0091124F">
              <w:rPr>
                <w:rFonts w:ascii="Arial" w:eastAsia="Arial" w:hAnsi="Arial" w:cs="Arial"/>
              </w:rPr>
              <w:t xml:space="preserve">on the under-18 conception rate has yet to be published following </w:t>
            </w:r>
            <w:r w:rsidR="00262867" w:rsidRPr="0091124F">
              <w:rPr>
                <w:rFonts w:ascii="Arial" w:eastAsia="Arial" w:hAnsi="Arial" w:cs="Arial"/>
              </w:rPr>
              <w:t>the data reported within the Performance Outturn Report 202</w:t>
            </w:r>
            <w:r w:rsidR="0091124F" w:rsidRPr="0091124F">
              <w:rPr>
                <w:rFonts w:ascii="Arial" w:eastAsia="Arial" w:hAnsi="Arial" w:cs="Arial"/>
              </w:rPr>
              <w:t>3</w:t>
            </w:r>
            <w:r w:rsidR="00262867" w:rsidRPr="0091124F">
              <w:rPr>
                <w:rFonts w:ascii="Arial" w:eastAsia="Arial" w:hAnsi="Arial" w:cs="Arial"/>
              </w:rPr>
              <w:t>-2</w:t>
            </w:r>
            <w:r w:rsidR="0091124F" w:rsidRPr="0091124F">
              <w:rPr>
                <w:rFonts w:ascii="Arial" w:eastAsia="Arial" w:hAnsi="Arial" w:cs="Arial"/>
              </w:rPr>
              <w:t>4</w:t>
            </w:r>
            <w:r w:rsidR="00262867" w:rsidRPr="0091124F">
              <w:rPr>
                <w:rFonts w:ascii="Arial" w:eastAsia="Arial" w:hAnsi="Arial" w:cs="Arial"/>
              </w:rPr>
              <w:t xml:space="preserve">. </w:t>
            </w:r>
            <w:r w:rsidR="00A57C39" w:rsidRPr="0091124F">
              <w:rPr>
                <w:rFonts w:ascii="Arial" w:hAnsi="Arial" w:cs="Arial"/>
              </w:rPr>
              <w:t>The most recent published (provisional) data remain</w:t>
            </w:r>
            <w:r w:rsidR="004A0E0E">
              <w:rPr>
                <w:rFonts w:ascii="Arial" w:hAnsi="Arial" w:cs="Arial"/>
              </w:rPr>
              <w:t>s</w:t>
            </w:r>
            <w:r w:rsidR="00A57C39" w:rsidRPr="0091124F">
              <w:rPr>
                <w:rFonts w:ascii="Arial" w:hAnsi="Arial" w:cs="Arial"/>
              </w:rPr>
              <w:t xml:space="preserve"> the Q</w:t>
            </w:r>
            <w:r w:rsidR="004A0E0E">
              <w:rPr>
                <w:rFonts w:ascii="Arial" w:hAnsi="Arial" w:cs="Arial"/>
              </w:rPr>
              <w:t xml:space="preserve">uarter </w:t>
            </w:r>
            <w:r w:rsidR="00A57C39" w:rsidRPr="0091124F">
              <w:rPr>
                <w:rFonts w:ascii="Arial" w:hAnsi="Arial" w:cs="Arial"/>
              </w:rPr>
              <w:t xml:space="preserve">2 2022 (published April 2024) figures and reveals that there were 19 under-18 conceptions for St. Helens. The annual </w:t>
            </w:r>
            <w:r w:rsidR="00A57C39" w:rsidRPr="00D923AF">
              <w:rPr>
                <w:rFonts w:ascii="Arial" w:hAnsi="Arial" w:cs="Arial"/>
              </w:rPr>
              <w:t>rolling rate has now decreased to 21.8 per 1,000 which is below the target. For the same period</w:t>
            </w:r>
            <w:r w:rsidR="004A0E0E" w:rsidRPr="00D923AF">
              <w:rPr>
                <w:rFonts w:ascii="Arial" w:hAnsi="Arial" w:cs="Arial"/>
              </w:rPr>
              <w:t>,</w:t>
            </w:r>
            <w:r w:rsidR="00A57C39" w:rsidRPr="00D923AF">
              <w:rPr>
                <w:rFonts w:ascii="Arial" w:hAnsi="Arial" w:cs="Arial"/>
              </w:rPr>
              <w:t xml:space="preserve"> the North West rate increased slightly to 16.8, and the England rate increased slightly to 13.9.</w:t>
            </w:r>
            <w:r w:rsidR="008107DB" w:rsidRPr="00D923AF">
              <w:rPr>
                <w:rFonts w:ascii="Arial" w:hAnsi="Arial" w:cs="Arial"/>
              </w:rPr>
              <w:t xml:space="preserve"> St Helens’ rates remain comparatively high. </w:t>
            </w:r>
          </w:p>
          <w:p w14:paraId="5B6FB859" w14:textId="292274BC" w:rsidR="00FD3661" w:rsidRPr="002B3900" w:rsidRDefault="00FD3661" w:rsidP="00E10B8B">
            <w:pPr>
              <w:pStyle w:val="ListParagraph"/>
              <w:numPr>
                <w:ilvl w:val="0"/>
                <w:numId w:val="10"/>
              </w:numPr>
              <w:spacing w:before="80" w:after="120"/>
              <w:ind w:left="714" w:hanging="357"/>
              <w:contextualSpacing w:val="0"/>
              <w:jc w:val="both"/>
              <w:rPr>
                <w:rFonts w:ascii="Arial" w:eastAsiaTheme="minorEastAsia" w:hAnsi="Arial" w:cs="Arial"/>
              </w:rPr>
            </w:pPr>
            <w:r w:rsidRPr="00D923AF">
              <w:rPr>
                <w:rFonts w:ascii="Arial" w:eastAsia="Arial" w:hAnsi="Arial" w:cs="Arial"/>
                <w:b/>
                <w:bCs/>
              </w:rPr>
              <w:t>PH-005</w:t>
            </w:r>
            <w:r w:rsidRPr="00D923AF">
              <w:rPr>
                <w:rFonts w:ascii="Arial" w:eastAsia="Arial" w:hAnsi="Arial" w:cs="Arial"/>
              </w:rPr>
              <w:t xml:space="preserve"> </w:t>
            </w:r>
            <w:r w:rsidR="007116E4" w:rsidRPr="00D923AF">
              <w:rPr>
                <w:rFonts w:ascii="Arial" w:eastAsia="Arial" w:hAnsi="Arial" w:cs="Arial"/>
              </w:rPr>
              <w:t>–</w:t>
            </w:r>
            <w:r w:rsidRPr="00D923AF">
              <w:rPr>
                <w:rFonts w:ascii="Arial" w:eastAsia="Arial" w:hAnsi="Arial" w:cs="Arial"/>
              </w:rPr>
              <w:t xml:space="preserve"> </w:t>
            </w:r>
            <w:r w:rsidR="0063474D" w:rsidRPr="00D923AF">
              <w:rPr>
                <w:rFonts w:ascii="Arial" w:hAnsi="Arial" w:cs="Arial"/>
              </w:rPr>
              <w:t>Historically, St Helens has had low rates of breastfeedin</w:t>
            </w:r>
            <w:r w:rsidR="009004AA" w:rsidRPr="00D923AF">
              <w:rPr>
                <w:rFonts w:ascii="Arial" w:hAnsi="Arial" w:cs="Arial"/>
              </w:rPr>
              <w:t>g</w:t>
            </w:r>
            <w:r w:rsidR="007116E4" w:rsidRPr="00D923AF">
              <w:rPr>
                <w:rFonts w:ascii="Arial" w:eastAsia="Arial" w:hAnsi="Arial" w:cs="Arial"/>
              </w:rPr>
              <w:t xml:space="preserve">. </w:t>
            </w:r>
            <w:r w:rsidR="00C50971" w:rsidRPr="00D923AF">
              <w:rPr>
                <w:rFonts w:ascii="Arial" w:eastAsia="Arial" w:hAnsi="Arial" w:cs="Arial"/>
              </w:rPr>
              <w:t>D</w:t>
            </w:r>
            <w:r w:rsidR="001F0067" w:rsidRPr="00D923AF">
              <w:rPr>
                <w:rFonts w:ascii="Arial" w:hAnsi="Arial" w:cs="Arial"/>
              </w:rPr>
              <w:t>ata for Q</w:t>
            </w:r>
            <w:r w:rsidR="00EB5DE3" w:rsidRPr="00D923AF">
              <w:rPr>
                <w:rFonts w:ascii="Arial" w:hAnsi="Arial" w:cs="Arial"/>
              </w:rPr>
              <w:t xml:space="preserve">uarter </w:t>
            </w:r>
            <w:r w:rsidR="001F0067" w:rsidRPr="00D923AF">
              <w:rPr>
                <w:rFonts w:ascii="Arial" w:hAnsi="Arial" w:cs="Arial"/>
              </w:rPr>
              <w:t>1 202</w:t>
            </w:r>
            <w:r w:rsidR="00E84A76" w:rsidRPr="00D923AF">
              <w:rPr>
                <w:rFonts w:ascii="Arial" w:hAnsi="Arial" w:cs="Arial"/>
              </w:rPr>
              <w:t>4</w:t>
            </w:r>
            <w:r w:rsidR="00EB5DE3" w:rsidRPr="00D923AF">
              <w:rPr>
                <w:rFonts w:ascii="Arial" w:hAnsi="Arial" w:cs="Arial"/>
              </w:rPr>
              <w:t>-</w:t>
            </w:r>
            <w:r w:rsidR="001F0067" w:rsidRPr="00D923AF">
              <w:rPr>
                <w:rFonts w:ascii="Arial" w:hAnsi="Arial" w:cs="Arial"/>
              </w:rPr>
              <w:t>2</w:t>
            </w:r>
            <w:r w:rsidR="00E84A76" w:rsidRPr="00D923AF">
              <w:rPr>
                <w:rFonts w:ascii="Arial" w:hAnsi="Arial" w:cs="Arial"/>
              </w:rPr>
              <w:t>5</w:t>
            </w:r>
            <w:r w:rsidR="001F0067" w:rsidRPr="00D923AF">
              <w:rPr>
                <w:rFonts w:ascii="Arial" w:hAnsi="Arial" w:cs="Arial"/>
              </w:rPr>
              <w:t xml:space="preserve"> </w:t>
            </w:r>
            <w:r w:rsidR="00C50971" w:rsidRPr="00D923AF">
              <w:rPr>
                <w:rFonts w:ascii="Arial" w:hAnsi="Arial" w:cs="Arial"/>
              </w:rPr>
              <w:t>shows that 37.</w:t>
            </w:r>
            <w:r w:rsidR="00E84A76" w:rsidRPr="00D923AF">
              <w:rPr>
                <w:rFonts w:ascii="Arial" w:hAnsi="Arial" w:cs="Arial"/>
              </w:rPr>
              <w:t>4</w:t>
            </w:r>
            <w:r w:rsidR="00C50971" w:rsidRPr="00D923AF">
              <w:rPr>
                <w:rFonts w:ascii="Arial" w:hAnsi="Arial" w:cs="Arial"/>
              </w:rPr>
              <w:t xml:space="preserve">% </w:t>
            </w:r>
            <w:r w:rsidR="001F0067" w:rsidRPr="00D923AF">
              <w:rPr>
                <w:rFonts w:ascii="Arial" w:hAnsi="Arial" w:cs="Arial"/>
              </w:rPr>
              <w:t>of infants being breastfed at 6-8 weeks in St. Helens</w:t>
            </w:r>
            <w:r w:rsidR="00F06EBD" w:rsidRPr="00D923AF">
              <w:rPr>
                <w:rFonts w:ascii="Arial" w:hAnsi="Arial" w:cs="Arial"/>
              </w:rPr>
              <w:t xml:space="preserve">. This is </w:t>
            </w:r>
            <w:r w:rsidR="00125918" w:rsidRPr="00D923AF">
              <w:rPr>
                <w:rFonts w:ascii="Arial" w:hAnsi="Arial" w:cs="Arial"/>
              </w:rPr>
              <w:t>the highest percentage recorded in St Helens, above the 33% target</w:t>
            </w:r>
            <w:r w:rsidR="00C17765" w:rsidRPr="00D923AF">
              <w:rPr>
                <w:rFonts w:ascii="Arial" w:hAnsi="Arial" w:cs="Arial"/>
              </w:rPr>
              <w:t>, and</w:t>
            </w:r>
            <w:r w:rsidR="00125918" w:rsidRPr="00D923AF">
              <w:rPr>
                <w:rFonts w:ascii="Arial" w:hAnsi="Arial" w:cs="Arial"/>
              </w:rPr>
              <w:t xml:space="preserve"> </w:t>
            </w:r>
            <w:r w:rsidR="00F06EBD" w:rsidRPr="00D923AF">
              <w:rPr>
                <w:rFonts w:ascii="Arial" w:hAnsi="Arial" w:cs="Arial"/>
              </w:rPr>
              <w:t>an improvement on the 202</w:t>
            </w:r>
            <w:r w:rsidR="00D96E98" w:rsidRPr="00D923AF">
              <w:rPr>
                <w:rFonts w:ascii="Arial" w:hAnsi="Arial" w:cs="Arial"/>
              </w:rPr>
              <w:t>3</w:t>
            </w:r>
            <w:r w:rsidR="00F06EBD" w:rsidRPr="00D923AF">
              <w:rPr>
                <w:rFonts w:ascii="Arial" w:hAnsi="Arial" w:cs="Arial"/>
              </w:rPr>
              <w:t>-2</w:t>
            </w:r>
            <w:r w:rsidR="00D96E98" w:rsidRPr="00D923AF">
              <w:rPr>
                <w:rFonts w:ascii="Arial" w:hAnsi="Arial" w:cs="Arial"/>
              </w:rPr>
              <w:t>4</w:t>
            </w:r>
            <w:r w:rsidR="00F06EBD" w:rsidRPr="00D923AF">
              <w:rPr>
                <w:rFonts w:ascii="Arial" w:hAnsi="Arial" w:cs="Arial"/>
              </w:rPr>
              <w:t xml:space="preserve"> Quarter 4 figure </w:t>
            </w:r>
            <w:r w:rsidR="00F06EBD" w:rsidRPr="002B3900">
              <w:rPr>
                <w:rFonts w:ascii="Arial" w:hAnsi="Arial" w:cs="Arial"/>
              </w:rPr>
              <w:t>of</w:t>
            </w:r>
            <w:r w:rsidR="001F0067" w:rsidRPr="002B3900">
              <w:rPr>
                <w:rFonts w:ascii="Arial" w:hAnsi="Arial" w:cs="Arial"/>
              </w:rPr>
              <w:t xml:space="preserve"> 32.6%</w:t>
            </w:r>
            <w:r w:rsidR="00C17765" w:rsidRPr="002B3900">
              <w:rPr>
                <w:rFonts w:ascii="Arial" w:hAnsi="Arial" w:cs="Arial"/>
              </w:rPr>
              <w:t>.</w:t>
            </w:r>
            <w:r w:rsidR="000C6513" w:rsidRPr="002B3900">
              <w:rPr>
                <w:rFonts w:ascii="Arial" w:hAnsi="Arial" w:cs="Arial"/>
              </w:rPr>
              <w:t xml:space="preserve"> The latest </w:t>
            </w:r>
            <w:r w:rsidR="00FE50BB" w:rsidRPr="002B3900">
              <w:rPr>
                <w:rFonts w:ascii="Arial" w:hAnsi="Arial" w:cs="Arial"/>
              </w:rPr>
              <w:t xml:space="preserve">published </w:t>
            </w:r>
            <w:r w:rsidR="000C6513" w:rsidRPr="002B3900">
              <w:rPr>
                <w:rFonts w:ascii="Arial" w:hAnsi="Arial" w:cs="Arial"/>
              </w:rPr>
              <w:t>comparat</w:t>
            </w:r>
            <w:r w:rsidR="00FE50BB" w:rsidRPr="002B3900">
              <w:rPr>
                <w:rFonts w:ascii="Arial" w:hAnsi="Arial" w:cs="Arial"/>
              </w:rPr>
              <w:t>ive</w:t>
            </w:r>
            <w:r w:rsidR="000C6513" w:rsidRPr="002B3900">
              <w:rPr>
                <w:rFonts w:ascii="Arial" w:hAnsi="Arial" w:cs="Arial"/>
              </w:rPr>
              <w:t xml:space="preserve"> </w:t>
            </w:r>
            <w:r w:rsidR="00FE50BB" w:rsidRPr="002B3900">
              <w:rPr>
                <w:rFonts w:ascii="Arial" w:hAnsi="Arial" w:cs="Arial"/>
              </w:rPr>
              <w:t xml:space="preserve">data </w:t>
            </w:r>
            <w:r w:rsidR="004868BB" w:rsidRPr="002B3900">
              <w:rPr>
                <w:rFonts w:ascii="Arial" w:hAnsi="Arial" w:cs="Arial"/>
              </w:rPr>
              <w:t>show</w:t>
            </w:r>
            <w:r w:rsidR="00FE50BB" w:rsidRPr="002B3900">
              <w:rPr>
                <w:rFonts w:ascii="Arial" w:hAnsi="Arial" w:cs="Arial"/>
              </w:rPr>
              <w:t>s</w:t>
            </w:r>
            <w:r w:rsidR="004868BB" w:rsidRPr="002B3900">
              <w:rPr>
                <w:rFonts w:ascii="Arial" w:hAnsi="Arial" w:cs="Arial"/>
              </w:rPr>
              <w:t xml:space="preserve"> that St Helens </w:t>
            </w:r>
            <w:r w:rsidR="00FE50BB" w:rsidRPr="002B3900">
              <w:rPr>
                <w:rFonts w:ascii="Arial" w:hAnsi="Arial" w:cs="Arial"/>
              </w:rPr>
              <w:t xml:space="preserve">breastfeeding rates </w:t>
            </w:r>
            <w:r w:rsidR="00D923AF" w:rsidRPr="002B3900">
              <w:rPr>
                <w:rFonts w:ascii="Arial" w:hAnsi="Arial" w:cs="Arial"/>
              </w:rPr>
              <w:t>were</w:t>
            </w:r>
            <w:r w:rsidR="004868BB" w:rsidRPr="002B3900">
              <w:rPr>
                <w:rFonts w:ascii="Arial" w:hAnsi="Arial" w:cs="Arial"/>
              </w:rPr>
              <w:t xml:space="preserve"> well below the regional and national averages.</w:t>
            </w:r>
          </w:p>
          <w:p w14:paraId="44ADE933" w14:textId="1BF1506C" w:rsidR="007F0C2A" w:rsidRPr="00B9404C" w:rsidRDefault="007F0C2A" w:rsidP="00020202">
            <w:pPr>
              <w:pStyle w:val="ListParagraph"/>
              <w:numPr>
                <w:ilvl w:val="0"/>
                <w:numId w:val="10"/>
              </w:numPr>
              <w:spacing w:before="80" w:after="120"/>
              <w:ind w:left="714" w:hanging="357"/>
              <w:jc w:val="both"/>
              <w:rPr>
                <w:rFonts w:ascii="Arial" w:eastAsiaTheme="minorEastAsia" w:hAnsi="Arial" w:cs="Arial"/>
              </w:rPr>
            </w:pPr>
            <w:r w:rsidRPr="002B3900">
              <w:rPr>
                <w:rFonts w:ascii="Arial" w:eastAsia="Arial" w:hAnsi="Arial" w:cs="Arial"/>
                <w:b/>
                <w:bCs/>
              </w:rPr>
              <w:t>PH</w:t>
            </w:r>
            <w:r w:rsidRPr="002B3900">
              <w:rPr>
                <w:rFonts w:ascii="Arial" w:eastAsiaTheme="minorEastAsia" w:hAnsi="Arial" w:cs="Arial"/>
                <w:b/>
                <w:bCs/>
              </w:rPr>
              <w:t>-00</w:t>
            </w:r>
            <w:r w:rsidR="00A76021" w:rsidRPr="002B3900">
              <w:rPr>
                <w:rFonts w:ascii="Arial" w:eastAsiaTheme="minorEastAsia" w:hAnsi="Arial" w:cs="Arial"/>
                <w:b/>
                <w:bCs/>
              </w:rPr>
              <w:t>8</w:t>
            </w:r>
            <w:r w:rsidR="00A76021" w:rsidRPr="002B3900">
              <w:rPr>
                <w:rFonts w:ascii="Arial" w:eastAsiaTheme="minorEastAsia" w:hAnsi="Arial" w:cs="Arial"/>
              </w:rPr>
              <w:t xml:space="preserve"> -</w:t>
            </w:r>
            <w:r w:rsidR="00F23F7A" w:rsidRPr="002B3900">
              <w:rPr>
                <w:rFonts w:ascii="Arial" w:eastAsiaTheme="minorEastAsia" w:hAnsi="Arial" w:cs="Arial"/>
              </w:rPr>
              <w:t xml:space="preserve"> </w:t>
            </w:r>
            <w:r w:rsidR="00F23F7A" w:rsidRPr="002B3900">
              <w:rPr>
                <w:rFonts w:ascii="Arial" w:hAnsi="Arial" w:cs="Arial"/>
              </w:rPr>
              <w:t>The most recent</w:t>
            </w:r>
            <w:r w:rsidR="00EA24AD" w:rsidRPr="002B3900">
              <w:rPr>
                <w:rFonts w:ascii="Arial" w:hAnsi="Arial" w:cs="Arial"/>
              </w:rPr>
              <w:t>ly</w:t>
            </w:r>
            <w:r w:rsidR="00F23F7A" w:rsidRPr="002B3900">
              <w:rPr>
                <w:rFonts w:ascii="Arial" w:hAnsi="Arial" w:cs="Arial"/>
              </w:rPr>
              <w:t xml:space="preserve"> published data </w:t>
            </w:r>
            <w:r w:rsidR="00EA24AD" w:rsidRPr="002B3900">
              <w:rPr>
                <w:rFonts w:ascii="Arial" w:hAnsi="Arial" w:cs="Arial"/>
              </w:rPr>
              <w:t xml:space="preserve">for the percentage of children aged 5 have had </w:t>
            </w:r>
            <w:r w:rsidR="3EA75056" w:rsidRPr="71A7732F">
              <w:rPr>
                <w:rFonts w:ascii="Arial" w:hAnsi="Arial" w:cs="Arial"/>
              </w:rPr>
              <w:t>both</w:t>
            </w:r>
            <w:r w:rsidR="00EA24AD" w:rsidRPr="002B3900">
              <w:rPr>
                <w:rFonts w:ascii="Arial" w:hAnsi="Arial" w:cs="Arial"/>
              </w:rPr>
              <w:t xml:space="preserve"> doses of the MMR vaccination </w:t>
            </w:r>
            <w:r w:rsidR="00F23F7A" w:rsidRPr="002B3900">
              <w:rPr>
                <w:rFonts w:ascii="Arial" w:hAnsi="Arial" w:cs="Arial"/>
              </w:rPr>
              <w:t>relates to Q</w:t>
            </w:r>
            <w:r w:rsidR="00EA24AD" w:rsidRPr="002B3900">
              <w:rPr>
                <w:rFonts w:ascii="Arial" w:hAnsi="Arial" w:cs="Arial"/>
              </w:rPr>
              <w:t xml:space="preserve">uarter </w:t>
            </w:r>
            <w:r w:rsidR="00F23F7A" w:rsidRPr="002B3900">
              <w:rPr>
                <w:rFonts w:ascii="Arial" w:hAnsi="Arial" w:cs="Arial"/>
              </w:rPr>
              <w:t>4 202</w:t>
            </w:r>
            <w:r w:rsidR="0079796B" w:rsidRPr="002B3900">
              <w:rPr>
                <w:rFonts w:ascii="Arial" w:hAnsi="Arial" w:cs="Arial"/>
              </w:rPr>
              <w:t>3</w:t>
            </w:r>
            <w:r w:rsidR="00EA24AD" w:rsidRPr="002B3900">
              <w:rPr>
                <w:rFonts w:ascii="Arial" w:hAnsi="Arial" w:cs="Arial"/>
              </w:rPr>
              <w:t>-</w:t>
            </w:r>
            <w:r w:rsidR="00F23F7A" w:rsidRPr="002B3900">
              <w:rPr>
                <w:rFonts w:ascii="Arial" w:hAnsi="Arial" w:cs="Arial"/>
              </w:rPr>
              <w:t>2</w:t>
            </w:r>
            <w:r w:rsidR="0079796B" w:rsidRPr="002B3900">
              <w:rPr>
                <w:rFonts w:ascii="Arial" w:hAnsi="Arial" w:cs="Arial"/>
              </w:rPr>
              <w:t>4</w:t>
            </w:r>
            <w:r w:rsidR="00F23F7A" w:rsidRPr="002B3900">
              <w:rPr>
                <w:rFonts w:ascii="Arial" w:hAnsi="Arial" w:cs="Arial"/>
              </w:rPr>
              <w:t xml:space="preserve"> which show</w:t>
            </w:r>
            <w:r w:rsidR="00EA24AD" w:rsidRPr="002B3900">
              <w:rPr>
                <w:rFonts w:ascii="Arial" w:hAnsi="Arial" w:cs="Arial"/>
              </w:rPr>
              <w:t>ed</w:t>
            </w:r>
            <w:r w:rsidR="00F23F7A" w:rsidRPr="002B3900">
              <w:rPr>
                <w:rFonts w:ascii="Arial" w:hAnsi="Arial" w:cs="Arial"/>
              </w:rPr>
              <w:t xml:space="preserve"> that 8</w:t>
            </w:r>
            <w:r w:rsidR="00573872" w:rsidRPr="002B3900">
              <w:rPr>
                <w:rFonts w:ascii="Arial" w:hAnsi="Arial" w:cs="Arial"/>
              </w:rPr>
              <w:t>6.7</w:t>
            </w:r>
            <w:r w:rsidR="00F23F7A" w:rsidRPr="002B3900">
              <w:rPr>
                <w:rFonts w:ascii="Arial" w:hAnsi="Arial" w:cs="Arial"/>
              </w:rPr>
              <w:t xml:space="preserve">% of children </w:t>
            </w:r>
            <w:r w:rsidR="00346D2F" w:rsidRPr="002B3900">
              <w:rPr>
                <w:rFonts w:ascii="Arial" w:hAnsi="Arial" w:cs="Arial"/>
              </w:rPr>
              <w:t>in St Helens had 2 doses of the vaccine</w:t>
            </w:r>
            <w:r w:rsidR="00F23F7A" w:rsidRPr="002B3900">
              <w:rPr>
                <w:rFonts w:ascii="Arial" w:hAnsi="Arial" w:cs="Arial"/>
              </w:rPr>
              <w:t>. This is a</w:t>
            </w:r>
            <w:r w:rsidR="00C84117" w:rsidRPr="002B3900">
              <w:rPr>
                <w:rFonts w:ascii="Arial" w:hAnsi="Arial" w:cs="Arial"/>
              </w:rPr>
              <w:t xml:space="preserve"> decrease</w:t>
            </w:r>
            <w:r w:rsidR="00F23F7A" w:rsidRPr="002B3900">
              <w:rPr>
                <w:rFonts w:ascii="Arial" w:hAnsi="Arial" w:cs="Arial"/>
              </w:rPr>
              <w:t xml:space="preserve"> from the previous quarter where 8</w:t>
            </w:r>
            <w:r w:rsidR="00C84117" w:rsidRPr="002B3900">
              <w:rPr>
                <w:rFonts w:ascii="Arial" w:hAnsi="Arial" w:cs="Arial"/>
              </w:rPr>
              <w:t>8</w:t>
            </w:r>
            <w:r w:rsidR="00F23F7A" w:rsidRPr="002B3900">
              <w:rPr>
                <w:rFonts w:ascii="Arial" w:hAnsi="Arial" w:cs="Arial"/>
              </w:rPr>
              <w:t xml:space="preserve">.9% of children </w:t>
            </w:r>
            <w:r w:rsidR="00F23F7A" w:rsidRPr="001E4BAB">
              <w:rPr>
                <w:rFonts w:ascii="Arial" w:hAnsi="Arial" w:cs="Arial"/>
              </w:rPr>
              <w:t>aged 5 had 2 doses of the MMR vaccination</w:t>
            </w:r>
            <w:r w:rsidR="00C84117" w:rsidRPr="001E4BAB">
              <w:rPr>
                <w:rFonts w:ascii="Arial" w:hAnsi="Arial" w:cs="Arial"/>
              </w:rPr>
              <w:t xml:space="preserve">, but a </w:t>
            </w:r>
            <w:r w:rsidR="00495B49" w:rsidRPr="001E4BAB">
              <w:rPr>
                <w:rFonts w:ascii="Arial" w:hAnsi="Arial" w:cs="Arial"/>
              </w:rPr>
              <w:t xml:space="preserve">slight improvement </w:t>
            </w:r>
            <w:r w:rsidR="00013121" w:rsidRPr="001E4BAB">
              <w:rPr>
                <w:rFonts w:ascii="Arial" w:hAnsi="Arial" w:cs="Arial"/>
              </w:rPr>
              <w:t xml:space="preserve">on the Quarter </w:t>
            </w:r>
            <w:r w:rsidR="00552DE3" w:rsidRPr="001E4BAB">
              <w:rPr>
                <w:rFonts w:ascii="Arial" w:hAnsi="Arial" w:cs="Arial"/>
              </w:rPr>
              <w:t xml:space="preserve">4 figure in 2022-23 of </w:t>
            </w:r>
            <w:r w:rsidR="00450253" w:rsidRPr="001E4BAB">
              <w:rPr>
                <w:rFonts w:ascii="Arial" w:hAnsi="Arial" w:cs="Arial"/>
              </w:rPr>
              <w:t>85.8%</w:t>
            </w:r>
            <w:r w:rsidR="00F23F7A" w:rsidRPr="001E4BAB">
              <w:rPr>
                <w:rFonts w:ascii="Arial" w:hAnsi="Arial" w:cs="Arial"/>
              </w:rPr>
              <w:t xml:space="preserve">. </w:t>
            </w:r>
            <w:r w:rsidR="00E354C0" w:rsidRPr="001E4BAB">
              <w:rPr>
                <w:rFonts w:ascii="Arial" w:hAnsi="Arial" w:cs="Arial"/>
              </w:rPr>
              <w:t xml:space="preserve">MMR Vaccine uptake rates in St Helens have remained below the critical threshold of 90% for a number of years (including pre-pandemic). </w:t>
            </w:r>
            <w:r w:rsidR="002B3900" w:rsidRPr="001E4BAB">
              <w:rPr>
                <w:rFonts w:ascii="Arial" w:hAnsi="Arial" w:cs="Arial"/>
              </w:rPr>
              <w:t xml:space="preserve">However, </w:t>
            </w:r>
            <w:r w:rsidR="00E354C0" w:rsidRPr="001E4BAB">
              <w:rPr>
                <w:rFonts w:ascii="Arial" w:hAnsi="Arial" w:cs="Arial"/>
              </w:rPr>
              <w:t xml:space="preserve">St Helen's MMR vaccine uptake rate is currently higher than the </w:t>
            </w:r>
            <w:r w:rsidR="5243455B" w:rsidRPr="119C3116">
              <w:rPr>
                <w:rFonts w:ascii="Arial" w:hAnsi="Arial" w:cs="Arial"/>
              </w:rPr>
              <w:t xml:space="preserve">regional and </w:t>
            </w:r>
            <w:r w:rsidR="00E354C0" w:rsidRPr="001E4BAB">
              <w:rPr>
                <w:rFonts w:ascii="Arial" w:hAnsi="Arial" w:cs="Arial"/>
              </w:rPr>
              <w:t>national average.</w:t>
            </w:r>
          </w:p>
          <w:p w14:paraId="0D261712" w14:textId="77777777" w:rsidR="00B9404C" w:rsidRPr="001E4BAB" w:rsidRDefault="00B9404C" w:rsidP="00020202">
            <w:pPr>
              <w:pStyle w:val="ListParagraph"/>
              <w:numPr>
                <w:ilvl w:val="0"/>
                <w:numId w:val="10"/>
              </w:numPr>
              <w:spacing w:before="80" w:after="120"/>
              <w:ind w:left="714" w:hanging="357"/>
              <w:jc w:val="both"/>
              <w:rPr>
                <w:rFonts w:ascii="Arial" w:eastAsiaTheme="minorEastAsia" w:hAnsi="Arial" w:cs="Arial"/>
              </w:rPr>
            </w:pPr>
          </w:p>
          <w:p w14:paraId="2A52E42A" w14:textId="7FD8ABC1" w:rsidR="00A76021" w:rsidRPr="001E4BAB" w:rsidRDefault="00A76021" w:rsidP="00E10B8B">
            <w:pPr>
              <w:pStyle w:val="ListParagraph"/>
              <w:numPr>
                <w:ilvl w:val="0"/>
                <w:numId w:val="10"/>
              </w:numPr>
              <w:spacing w:before="80" w:after="120"/>
              <w:ind w:left="714" w:hanging="357"/>
              <w:contextualSpacing w:val="0"/>
              <w:jc w:val="both"/>
              <w:rPr>
                <w:rFonts w:ascii="Arial" w:eastAsiaTheme="minorEastAsia" w:hAnsi="Arial" w:cs="Arial"/>
              </w:rPr>
            </w:pPr>
            <w:r w:rsidRPr="001E4BAB">
              <w:rPr>
                <w:rFonts w:ascii="Arial" w:eastAsiaTheme="minorEastAsia" w:hAnsi="Arial" w:cs="Arial"/>
                <w:b/>
                <w:bCs/>
              </w:rPr>
              <w:t>CYP-</w:t>
            </w:r>
            <w:r w:rsidR="00D83A90" w:rsidRPr="001E4BAB">
              <w:rPr>
                <w:rFonts w:ascii="Arial" w:eastAsiaTheme="minorEastAsia" w:hAnsi="Arial" w:cs="Arial"/>
                <w:b/>
                <w:bCs/>
              </w:rPr>
              <w:t>013</w:t>
            </w:r>
            <w:r w:rsidR="00D83A90" w:rsidRPr="001E4BAB">
              <w:rPr>
                <w:rFonts w:ascii="Arial" w:eastAsiaTheme="minorEastAsia" w:hAnsi="Arial" w:cs="Arial"/>
              </w:rPr>
              <w:t xml:space="preserve"> </w:t>
            </w:r>
            <w:r w:rsidR="00A80D45" w:rsidRPr="001E4BAB">
              <w:rPr>
                <w:rFonts w:ascii="Arial" w:eastAsiaTheme="minorEastAsia" w:hAnsi="Arial" w:cs="Arial"/>
              </w:rPr>
              <w:t xml:space="preserve">– </w:t>
            </w:r>
            <w:r w:rsidR="001E4BAB" w:rsidRPr="001E4BAB">
              <w:rPr>
                <w:rFonts w:ascii="Arial" w:eastAsiaTheme="minorEastAsia" w:hAnsi="Arial" w:cs="Arial"/>
              </w:rPr>
              <w:t xml:space="preserve">Data for </w:t>
            </w:r>
            <w:r w:rsidR="00A80D45" w:rsidRPr="001E4BAB">
              <w:rPr>
                <w:rFonts w:ascii="Arial" w:eastAsiaTheme="minorEastAsia" w:hAnsi="Arial" w:cs="Arial"/>
              </w:rPr>
              <w:t>first</w:t>
            </w:r>
            <w:r w:rsidR="0068184D" w:rsidRPr="001E4BAB">
              <w:rPr>
                <w:rFonts w:ascii="Arial" w:eastAsiaTheme="minorEastAsia" w:hAnsi="Arial" w:cs="Arial"/>
              </w:rPr>
              <w:t>-</w:t>
            </w:r>
            <w:r w:rsidR="00A80D45" w:rsidRPr="001E4BAB">
              <w:rPr>
                <w:rFonts w:ascii="Arial" w:eastAsiaTheme="minorEastAsia" w:hAnsi="Arial" w:cs="Arial"/>
              </w:rPr>
              <w:t>time entrant to the Youth Justice System</w:t>
            </w:r>
            <w:r w:rsidR="001E4BAB" w:rsidRPr="001E4BAB">
              <w:rPr>
                <w:rFonts w:ascii="Arial" w:eastAsiaTheme="minorEastAsia" w:hAnsi="Arial" w:cs="Arial"/>
              </w:rPr>
              <w:t xml:space="preserve"> is time lagged and will be reported in the Quarter 2 performance report</w:t>
            </w:r>
            <w:r w:rsidR="00A80D45" w:rsidRPr="001E4BAB">
              <w:rPr>
                <w:rFonts w:ascii="Arial" w:eastAsiaTheme="minorEastAsia" w:hAnsi="Arial" w:cs="Arial"/>
              </w:rPr>
              <w:t xml:space="preserve"> </w:t>
            </w:r>
          </w:p>
          <w:p w14:paraId="346DCCC6" w14:textId="3770DAE3" w:rsidR="00D83A90" w:rsidRPr="001E4BAB" w:rsidRDefault="00D83A90" w:rsidP="00E10B8B">
            <w:pPr>
              <w:pStyle w:val="ListParagraph"/>
              <w:numPr>
                <w:ilvl w:val="0"/>
                <w:numId w:val="10"/>
              </w:numPr>
              <w:spacing w:before="80" w:after="120"/>
              <w:ind w:left="714" w:hanging="357"/>
              <w:contextualSpacing w:val="0"/>
              <w:jc w:val="both"/>
              <w:rPr>
                <w:rFonts w:ascii="Arial" w:eastAsiaTheme="minorEastAsia" w:hAnsi="Arial" w:cs="Arial"/>
                <w:b/>
                <w:bCs/>
              </w:rPr>
            </w:pPr>
            <w:r w:rsidRPr="001E4BAB">
              <w:rPr>
                <w:rFonts w:ascii="Arial" w:eastAsiaTheme="minorEastAsia" w:hAnsi="Arial" w:cs="Arial"/>
                <w:b/>
                <w:bCs/>
              </w:rPr>
              <w:t>CYP-014</w:t>
            </w:r>
            <w:r w:rsidRPr="001E4BAB">
              <w:rPr>
                <w:rFonts w:ascii="Arial" w:eastAsiaTheme="minorEastAsia" w:hAnsi="Arial" w:cs="Arial"/>
              </w:rPr>
              <w:t xml:space="preserve"> </w:t>
            </w:r>
            <w:r w:rsidR="004D5A4E" w:rsidRPr="001E4BAB">
              <w:rPr>
                <w:rFonts w:ascii="Arial" w:eastAsiaTheme="minorEastAsia" w:hAnsi="Arial" w:cs="Arial"/>
              </w:rPr>
              <w:t>–</w:t>
            </w:r>
            <w:r w:rsidRPr="001E4BAB">
              <w:rPr>
                <w:rFonts w:ascii="Arial" w:eastAsiaTheme="minorEastAsia" w:hAnsi="Arial" w:cs="Arial"/>
              </w:rPr>
              <w:t xml:space="preserve"> </w:t>
            </w:r>
            <w:r w:rsidR="001E4BAB" w:rsidRPr="001E4BAB">
              <w:rPr>
                <w:rFonts w:ascii="Arial" w:eastAsiaTheme="minorEastAsia" w:hAnsi="Arial" w:cs="Arial"/>
              </w:rPr>
              <w:t xml:space="preserve">Data for levels of youth re-offending is time lagged and will be reported in the Quarter 2 performance report. </w:t>
            </w:r>
          </w:p>
          <w:p w14:paraId="2162BD7A" w14:textId="33145771" w:rsidR="00585D1A" w:rsidRPr="00585D1A" w:rsidRDefault="00FD0905" w:rsidP="00027EE6">
            <w:pPr>
              <w:pStyle w:val="ListParagraph"/>
              <w:numPr>
                <w:ilvl w:val="0"/>
                <w:numId w:val="10"/>
              </w:numPr>
              <w:spacing w:before="80" w:after="120"/>
              <w:ind w:left="714" w:hanging="357"/>
              <w:contextualSpacing w:val="0"/>
              <w:rPr>
                <w:rFonts w:ascii="Arial" w:eastAsiaTheme="minorEastAsia" w:hAnsi="Arial" w:cs="Arial"/>
              </w:rPr>
            </w:pPr>
            <w:r w:rsidRPr="001764FC">
              <w:rPr>
                <w:rFonts w:ascii="Arial" w:eastAsiaTheme="minorEastAsia" w:hAnsi="Arial" w:cs="Arial"/>
                <w:b/>
                <w:bCs/>
              </w:rPr>
              <w:t>PH-006</w:t>
            </w:r>
            <w:r w:rsidRPr="001764FC">
              <w:rPr>
                <w:rFonts w:ascii="Arial" w:eastAsiaTheme="minorEastAsia" w:hAnsi="Arial" w:cs="Arial"/>
              </w:rPr>
              <w:t xml:space="preserve"> </w:t>
            </w:r>
            <w:r w:rsidR="00C75C69" w:rsidRPr="001764FC">
              <w:rPr>
                <w:rFonts w:ascii="Arial" w:eastAsiaTheme="minorEastAsia" w:hAnsi="Arial" w:cs="Arial"/>
              </w:rPr>
              <w:t>–</w:t>
            </w:r>
            <w:r w:rsidR="002A6944" w:rsidRPr="001764FC">
              <w:rPr>
                <w:rFonts w:ascii="Arial" w:eastAsiaTheme="minorEastAsia" w:hAnsi="Arial" w:cs="Arial"/>
              </w:rPr>
              <w:t xml:space="preserve"> </w:t>
            </w:r>
            <w:r w:rsidR="00C75C69" w:rsidRPr="001764FC">
              <w:rPr>
                <w:rFonts w:ascii="Arial" w:eastAsiaTheme="minorEastAsia" w:hAnsi="Arial" w:cs="Arial"/>
              </w:rPr>
              <w:t xml:space="preserve">St Helens has continued to have </w:t>
            </w:r>
            <w:r w:rsidR="006F6BB8" w:rsidRPr="001764FC">
              <w:rPr>
                <w:rFonts w:ascii="Arial" w:eastAsiaTheme="minorEastAsia" w:hAnsi="Arial" w:cs="Arial"/>
              </w:rPr>
              <w:t>a comparatively high percentage of expectant mothers smoking at the time of delivery.</w:t>
            </w:r>
            <w:r w:rsidR="00162892" w:rsidRPr="001764FC">
              <w:rPr>
                <w:rFonts w:ascii="Arial" w:eastAsiaTheme="minorEastAsia" w:hAnsi="Arial" w:cs="Arial"/>
              </w:rPr>
              <w:t xml:space="preserve"> </w:t>
            </w:r>
            <w:r w:rsidR="002A6944" w:rsidRPr="001764FC">
              <w:rPr>
                <w:rFonts w:ascii="Arial" w:hAnsi="Arial" w:cs="Arial"/>
              </w:rPr>
              <w:t>The most recent</w:t>
            </w:r>
            <w:r w:rsidR="00F1581D" w:rsidRPr="001764FC">
              <w:rPr>
                <w:rFonts w:ascii="Arial" w:hAnsi="Arial" w:cs="Arial"/>
              </w:rPr>
              <w:t>ly</w:t>
            </w:r>
            <w:r w:rsidR="002A6944" w:rsidRPr="001764FC">
              <w:rPr>
                <w:rFonts w:ascii="Arial" w:hAnsi="Arial" w:cs="Arial"/>
              </w:rPr>
              <w:t xml:space="preserve"> published </w:t>
            </w:r>
            <w:r w:rsidR="00F1581D" w:rsidRPr="001764FC">
              <w:rPr>
                <w:rFonts w:ascii="Arial" w:hAnsi="Arial" w:cs="Arial"/>
              </w:rPr>
              <w:t xml:space="preserve">quarterly </w:t>
            </w:r>
            <w:r w:rsidR="002A6944" w:rsidRPr="001764FC">
              <w:rPr>
                <w:rFonts w:ascii="Arial" w:hAnsi="Arial" w:cs="Arial"/>
              </w:rPr>
              <w:t xml:space="preserve">data on smoking status at the time of delivery relates to </w:t>
            </w:r>
            <w:r w:rsidR="00F1581D" w:rsidRPr="001764FC">
              <w:rPr>
                <w:rFonts w:ascii="Arial" w:hAnsi="Arial" w:cs="Arial"/>
              </w:rPr>
              <w:t xml:space="preserve">Quarter </w:t>
            </w:r>
            <w:r w:rsidR="005D2E60" w:rsidRPr="001764FC">
              <w:rPr>
                <w:rFonts w:ascii="Arial" w:hAnsi="Arial" w:cs="Arial"/>
              </w:rPr>
              <w:t>4</w:t>
            </w:r>
            <w:r w:rsidR="002A6944" w:rsidRPr="001764FC">
              <w:rPr>
                <w:rFonts w:ascii="Arial" w:hAnsi="Arial" w:cs="Arial"/>
              </w:rPr>
              <w:t xml:space="preserve"> 202</w:t>
            </w:r>
            <w:r w:rsidR="00585566" w:rsidRPr="001764FC">
              <w:rPr>
                <w:rFonts w:ascii="Arial" w:hAnsi="Arial" w:cs="Arial"/>
              </w:rPr>
              <w:t>3</w:t>
            </w:r>
            <w:r w:rsidR="00C97564" w:rsidRPr="001764FC">
              <w:rPr>
                <w:rFonts w:ascii="Arial" w:hAnsi="Arial" w:cs="Arial"/>
              </w:rPr>
              <w:t>-</w:t>
            </w:r>
            <w:r w:rsidR="002A6944" w:rsidRPr="001764FC">
              <w:rPr>
                <w:rFonts w:ascii="Arial" w:hAnsi="Arial" w:cs="Arial"/>
              </w:rPr>
              <w:t>2</w:t>
            </w:r>
            <w:r w:rsidR="00585566" w:rsidRPr="001764FC">
              <w:rPr>
                <w:rFonts w:ascii="Arial" w:hAnsi="Arial" w:cs="Arial"/>
              </w:rPr>
              <w:t>4</w:t>
            </w:r>
            <w:r w:rsidR="002A6944" w:rsidRPr="001764FC">
              <w:rPr>
                <w:rFonts w:ascii="Arial" w:hAnsi="Arial" w:cs="Arial"/>
              </w:rPr>
              <w:t xml:space="preserve"> where </w:t>
            </w:r>
            <w:r w:rsidR="00A93B71">
              <w:rPr>
                <w:rFonts w:ascii="Arial" w:hAnsi="Arial" w:cs="Arial"/>
              </w:rPr>
              <w:t>13.2</w:t>
            </w:r>
            <w:r w:rsidR="002A6944" w:rsidRPr="001764FC">
              <w:rPr>
                <w:rFonts w:ascii="Arial" w:hAnsi="Arial" w:cs="Arial"/>
              </w:rPr>
              <w:t>% of mothers in St. Helens were known to be smoking.</w:t>
            </w:r>
            <w:r w:rsidR="00424A71" w:rsidRPr="001764FC">
              <w:rPr>
                <w:rFonts w:ascii="Arial" w:hAnsi="Arial" w:cs="Arial"/>
              </w:rPr>
              <w:t xml:space="preserve"> T</w:t>
            </w:r>
            <w:r w:rsidR="005D2E60" w:rsidRPr="001764FC">
              <w:rPr>
                <w:rFonts w:ascii="Arial" w:hAnsi="Arial" w:cs="Arial"/>
              </w:rPr>
              <w:t>his</w:t>
            </w:r>
            <w:r w:rsidR="00424A71" w:rsidRPr="001764FC">
              <w:rPr>
                <w:rFonts w:ascii="Arial" w:hAnsi="Arial" w:cs="Arial"/>
              </w:rPr>
              <w:t xml:space="preserve"> was a</w:t>
            </w:r>
            <w:r w:rsidR="005D2E60" w:rsidRPr="001764FC">
              <w:rPr>
                <w:rFonts w:ascii="Arial" w:hAnsi="Arial" w:cs="Arial"/>
              </w:rPr>
              <w:t>n</w:t>
            </w:r>
            <w:r w:rsidR="00424A71" w:rsidRPr="001764FC">
              <w:rPr>
                <w:rFonts w:ascii="Arial" w:hAnsi="Arial" w:cs="Arial"/>
              </w:rPr>
              <w:t xml:space="preserve"> increase from the previous where the proportion was 11.9%. This percentage relates to 59 women out of 452 maternities</w:t>
            </w:r>
            <w:r w:rsidR="000A0F9A" w:rsidRPr="001764FC">
              <w:rPr>
                <w:rFonts w:ascii="Arial" w:hAnsi="Arial" w:cs="Arial"/>
              </w:rPr>
              <w:t xml:space="preserve">. </w:t>
            </w:r>
            <w:r w:rsidR="00424A71" w:rsidRPr="001764FC">
              <w:rPr>
                <w:rFonts w:ascii="Arial" w:hAnsi="Arial" w:cs="Arial"/>
              </w:rPr>
              <w:t>Compara</w:t>
            </w:r>
            <w:r w:rsidR="002A4CA4" w:rsidRPr="001764FC">
              <w:rPr>
                <w:rFonts w:ascii="Arial" w:hAnsi="Arial" w:cs="Arial"/>
              </w:rPr>
              <w:t>tive</w:t>
            </w:r>
            <w:r w:rsidR="00424A71" w:rsidRPr="001764FC">
              <w:rPr>
                <w:rFonts w:ascii="Arial" w:hAnsi="Arial" w:cs="Arial"/>
              </w:rPr>
              <w:t xml:space="preserve"> data for Q</w:t>
            </w:r>
            <w:r w:rsidR="0040572C">
              <w:rPr>
                <w:rFonts w:ascii="Arial" w:hAnsi="Arial" w:cs="Arial"/>
              </w:rPr>
              <w:t xml:space="preserve">uarter </w:t>
            </w:r>
            <w:r w:rsidR="00424A71" w:rsidRPr="001764FC">
              <w:rPr>
                <w:rFonts w:ascii="Arial" w:hAnsi="Arial" w:cs="Arial"/>
              </w:rPr>
              <w:t xml:space="preserve">4 </w:t>
            </w:r>
            <w:r w:rsidR="0040572C">
              <w:rPr>
                <w:rFonts w:ascii="Arial" w:hAnsi="Arial" w:cs="Arial"/>
              </w:rPr>
              <w:t>20</w:t>
            </w:r>
            <w:r w:rsidR="00424A71" w:rsidRPr="001764FC">
              <w:rPr>
                <w:rFonts w:ascii="Arial" w:hAnsi="Arial" w:cs="Arial"/>
              </w:rPr>
              <w:t>23</w:t>
            </w:r>
            <w:r w:rsidR="0040572C">
              <w:rPr>
                <w:rFonts w:ascii="Arial" w:hAnsi="Arial" w:cs="Arial"/>
              </w:rPr>
              <w:t>-</w:t>
            </w:r>
            <w:r w:rsidR="00424A71" w:rsidRPr="001764FC">
              <w:rPr>
                <w:rFonts w:ascii="Arial" w:hAnsi="Arial" w:cs="Arial"/>
              </w:rPr>
              <w:t xml:space="preserve">24 show that St. Helens </w:t>
            </w:r>
            <w:r w:rsidR="001764FC" w:rsidRPr="001764FC">
              <w:rPr>
                <w:rFonts w:ascii="Arial" w:hAnsi="Arial" w:cs="Arial"/>
              </w:rPr>
              <w:t>rates remain significantly abo</w:t>
            </w:r>
            <w:r w:rsidR="00424A71" w:rsidRPr="001764FC">
              <w:rPr>
                <w:rFonts w:ascii="Arial" w:hAnsi="Arial" w:cs="Arial"/>
              </w:rPr>
              <w:t>ve the North West and England averages of 8.3% and 7.3% respectively.</w:t>
            </w:r>
          </w:p>
          <w:p w14:paraId="16DB15F7" w14:textId="1D99BE3C" w:rsidR="00FD0905" w:rsidRPr="00585D1A" w:rsidRDefault="00FD0905" w:rsidP="00027EE6">
            <w:pPr>
              <w:pStyle w:val="ListParagraph"/>
              <w:numPr>
                <w:ilvl w:val="0"/>
                <w:numId w:val="10"/>
              </w:numPr>
              <w:spacing w:before="80" w:after="120"/>
              <w:ind w:left="714" w:hanging="357"/>
              <w:contextualSpacing w:val="0"/>
              <w:rPr>
                <w:rFonts w:ascii="Arial" w:eastAsiaTheme="minorEastAsia" w:hAnsi="Arial" w:cs="Arial"/>
              </w:rPr>
            </w:pPr>
            <w:r w:rsidRPr="00585D1A">
              <w:rPr>
                <w:rFonts w:ascii="Arial" w:eastAsiaTheme="minorEastAsia" w:hAnsi="Arial" w:cs="Arial"/>
                <w:b/>
                <w:bCs/>
              </w:rPr>
              <w:t>PH-007</w:t>
            </w:r>
            <w:r w:rsidRPr="00585D1A">
              <w:rPr>
                <w:rFonts w:ascii="Arial" w:eastAsiaTheme="minorEastAsia" w:hAnsi="Arial" w:cs="Arial"/>
              </w:rPr>
              <w:t xml:space="preserve"> </w:t>
            </w:r>
            <w:r w:rsidR="00E24365" w:rsidRPr="00585D1A">
              <w:rPr>
                <w:rFonts w:ascii="Arial" w:eastAsiaTheme="minorEastAsia" w:hAnsi="Arial" w:cs="Arial"/>
              </w:rPr>
              <w:t>–</w:t>
            </w:r>
            <w:r w:rsidRPr="00585D1A">
              <w:rPr>
                <w:rFonts w:ascii="Arial" w:eastAsiaTheme="minorEastAsia" w:hAnsi="Arial" w:cs="Arial"/>
              </w:rPr>
              <w:t xml:space="preserve"> </w:t>
            </w:r>
            <w:r w:rsidR="00F00632" w:rsidRPr="00F00632">
              <w:rPr>
                <w:rFonts w:ascii="Arial" w:eastAsiaTheme="minorEastAsia" w:hAnsi="Arial" w:cs="Arial"/>
              </w:rPr>
              <w:t>The latest data</w:t>
            </w:r>
            <w:r w:rsidR="008646B8" w:rsidRPr="00F00632">
              <w:rPr>
                <w:rFonts w:ascii="Arial" w:eastAsiaTheme="minorEastAsia" w:hAnsi="Arial" w:cs="Arial"/>
              </w:rPr>
              <w:t xml:space="preserve"> </w:t>
            </w:r>
            <w:r w:rsidR="00F00632" w:rsidRPr="00F00632">
              <w:rPr>
                <w:rFonts w:ascii="Arial" w:eastAsiaTheme="minorEastAsia" w:hAnsi="Arial" w:cs="Arial"/>
              </w:rPr>
              <w:t>from NHS colleagues f</w:t>
            </w:r>
            <w:r w:rsidR="008646B8" w:rsidRPr="00F00632">
              <w:rPr>
                <w:rFonts w:ascii="Arial" w:eastAsiaTheme="minorEastAsia" w:hAnsi="Arial" w:cs="Arial"/>
              </w:rPr>
              <w:t>or the</w:t>
            </w:r>
            <w:r w:rsidR="00585D1A" w:rsidRPr="00F00632">
              <w:rPr>
                <w:rStyle w:val="normaltextrun"/>
                <w:rFonts w:ascii="Arial" w:hAnsi="Arial" w:cs="Arial"/>
                <w:color w:val="000000"/>
                <w:shd w:val="clear" w:color="auto" w:fill="FFFFFF"/>
              </w:rPr>
              <w:t xml:space="preserve"> rate of under 18 alcohol specific hospital admissions in St Helen</w:t>
            </w:r>
            <w:r w:rsidR="0063089E" w:rsidRPr="00F00632">
              <w:rPr>
                <w:rStyle w:val="normaltextrun"/>
                <w:rFonts w:ascii="Arial" w:hAnsi="Arial" w:cs="Arial"/>
                <w:color w:val="000000"/>
                <w:shd w:val="clear" w:color="auto" w:fill="FFFFFF"/>
              </w:rPr>
              <w:t>s has been delayed</w:t>
            </w:r>
            <w:r w:rsidR="00F00632" w:rsidRPr="00F00632">
              <w:rPr>
                <w:rStyle w:val="normaltextrun"/>
                <w:rFonts w:ascii="Arial" w:hAnsi="Arial" w:cs="Arial"/>
                <w:color w:val="000000"/>
                <w:shd w:val="clear" w:color="auto" w:fill="FFFFFF"/>
              </w:rPr>
              <w:t xml:space="preserve"> and will be reported in Quarter 2. </w:t>
            </w:r>
            <w:r w:rsidR="00585D1A" w:rsidRPr="00F00632">
              <w:rPr>
                <w:rStyle w:val="normaltextrun"/>
                <w:rFonts w:ascii="Arial" w:hAnsi="Arial" w:cs="Arial"/>
                <w:color w:val="000000"/>
                <w:shd w:val="clear" w:color="auto" w:fill="FFFFFF"/>
              </w:rPr>
              <w:t>The</w:t>
            </w:r>
            <w:r w:rsidR="00585D1A" w:rsidRPr="00585D1A">
              <w:rPr>
                <w:rStyle w:val="normaltextrun"/>
                <w:rFonts w:ascii="Arial" w:hAnsi="Arial" w:cs="Arial"/>
                <w:color w:val="000000"/>
                <w:shd w:val="clear" w:color="auto" w:fill="FFFFFF"/>
              </w:rPr>
              <w:t xml:space="preserve"> latest verified published data relates to 2020/21 - 22/23, and the rate for St Helens is 72.6 per 100,000 aged under 18. This relates to 80 admissions over the period, which was similar to the previous year where the rate was 72.7. The St Helens rate remains statistically significantly higher than the England and North West rates of 26.0 and 31.2 per 100,000 under 18 respectively. St Helens has the highest rate in the North West and the second highest rate in England. The most recent provisional quarterly data for Quarter 2 2023-24 (a 3 year rolling average reported in Quarter 3 2023-24) gives a rate of 53.3 admissions per 100,000 aged under 18, which suggests admission rates are falling but still remain high.</w:t>
            </w:r>
          </w:p>
          <w:p w14:paraId="04A0DABF" w14:textId="1DFAA2EF" w:rsidR="00FD0905" w:rsidRPr="00750490" w:rsidRDefault="00FD0905" w:rsidP="00027EE6">
            <w:pPr>
              <w:pStyle w:val="ListParagraph"/>
              <w:numPr>
                <w:ilvl w:val="0"/>
                <w:numId w:val="10"/>
              </w:numPr>
              <w:spacing w:before="80" w:after="120"/>
              <w:ind w:left="714" w:hanging="357"/>
              <w:contextualSpacing w:val="0"/>
              <w:rPr>
                <w:rFonts w:ascii="Arial" w:eastAsiaTheme="minorEastAsia" w:hAnsi="Arial" w:cs="Arial"/>
              </w:rPr>
            </w:pPr>
            <w:r w:rsidRPr="001A0853">
              <w:rPr>
                <w:rFonts w:ascii="Arial" w:eastAsiaTheme="minorEastAsia" w:hAnsi="Arial" w:cs="Arial"/>
                <w:b/>
                <w:bCs/>
              </w:rPr>
              <w:t>PH-009</w:t>
            </w:r>
            <w:r w:rsidRPr="001A0853">
              <w:rPr>
                <w:rFonts w:ascii="Arial" w:eastAsiaTheme="minorEastAsia" w:hAnsi="Arial" w:cs="Arial"/>
              </w:rPr>
              <w:t xml:space="preserve"> - </w:t>
            </w:r>
            <w:r w:rsidR="000E170B" w:rsidRPr="001A0853">
              <w:rPr>
                <w:rFonts w:ascii="Arial" w:hAnsi="Arial" w:cs="Arial"/>
              </w:rPr>
              <w:t xml:space="preserve">The percentage of children in St. Helens who received their 2 - </w:t>
            </w:r>
            <w:r w:rsidR="00814922" w:rsidRPr="001A0853">
              <w:rPr>
                <w:rFonts w:ascii="Arial" w:hAnsi="Arial" w:cs="Arial"/>
              </w:rPr>
              <w:t>2.5-year</w:t>
            </w:r>
            <w:r w:rsidR="000E170B" w:rsidRPr="001A0853">
              <w:rPr>
                <w:rFonts w:ascii="Arial" w:hAnsi="Arial" w:cs="Arial"/>
              </w:rPr>
              <w:t xml:space="preserve"> review by the time they were 2.5 </w:t>
            </w:r>
            <w:r w:rsidR="00877558" w:rsidRPr="001A0853">
              <w:rPr>
                <w:rFonts w:ascii="Arial" w:hAnsi="Arial" w:cs="Arial"/>
              </w:rPr>
              <w:t xml:space="preserve">during </w:t>
            </w:r>
            <w:r w:rsidR="00814922" w:rsidRPr="001A0853">
              <w:rPr>
                <w:rFonts w:ascii="Arial" w:hAnsi="Arial" w:cs="Arial"/>
              </w:rPr>
              <w:t xml:space="preserve">Quarter </w:t>
            </w:r>
            <w:r w:rsidR="0060160B" w:rsidRPr="001A0853">
              <w:rPr>
                <w:rFonts w:ascii="Arial" w:hAnsi="Arial" w:cs="Arial"/>
              </w:rPr>
              <w:t>1</w:t>
            </w:r>
            <w:r w:rsidR="00814922" w:rsidRPr="001A0853">
              <w:rPr>
                <w:rFonts w:ascii="Arial" w:hAnsi="Arial" w:cs="Arial"/>
              </w:rPr>
              <w:t xml:space="preserve"> 202</w:t>
            </w:r>
            <w:r w:rsidR="007706F2" w:rsidRPr="001A0853">
              <w:rPr>
                <w:rFonts w:ascii="Arial" w:hAnsi="Arial" w:cs="Arial"/>
              </w:rPr>
              <w:t>4</w:t>
            </w:r>
            <w:r w:rsidR="00FA5254" w:rsidRPr="001A0853">
              <w:rPr>
                <w:rFonts w:ascii="Arial" w:hAnsi="Arial" w:cs="Arial"/>
              </w:rPr>
              <w:t>-</w:t>
            </w:r>
            <w:r w:rsidR="00814922" w:rsidRPr="001A0853">
              <w:rPr>
                <w:rFonts w:ascii="Arial" w:hAnsi="Arial" w:cs="Arial"/>
              </w:rPr>
              <w:t>2</w:t>
            </w:r>
            <w:r w:rsidR="007706F2" w:rsidRPr="001A0853">
              <w:rPr>
                <w:rFonts w:ascii="Arial" w:hAnsi="Arial" w:cs="Arial"/>
              </w:rPr>
              <w:t>5</w:t>
            </w:r>
            <w:r w:rsidR="00814922" w:rsidRPr="001A0853">
              <w:rPr>
                <w:rFonts w:ascii="Arial" w:hAnsi="Arial" w:cs="Arial"/>
              </w:rPr>
              <w:t xml:space="preserve"> </w:t>
            </w:r>
            <w:r w:rsidR="000E170B" w:rsidRPr="001A0853">
              <w:rPr>
                <w:rFonts w:ascii="Arial" w:hAnsi="Arial" w:cs="Arial"/>
              </w:rPr>
              <w:t xml:space="preserve">was </w:t>
            </w:r>
            <w:r w:rsidR="008A7C75" w:rsidRPr="001A0853">
              <w:rPr>
                <w:rFonts w:ascii="Arial" w:hAnsi="Arial" w:cs="Arial"/>
              </w:rPr>
              <w:t xml:space="preserve">89% </w:t>
            </w:r>
            <w:r w:rsidR="006F6B2B" w:rsidRPr="001A0853">
              <w:rPr>
                <w:rFonts w:ascii="Arial" w:hAnsi="Arial" w:cs="Arial"/>
              </w:rPr>
              <w:t xml:space="preserve">a </w:t>
            </w:r>
            <w:r w:rsidR="00C3276B">
              <w:rPr>
                <w:rFonts w:ascii="Arial" w:hAnsi="Arial" w:cs="Arial"/>
              </w:rPr>
              <w:t xml:space="preserve">small </w:t>
            </w:r>
            <w:r w:rsidR="006F6B2B" w:rsidRPr="001A0853">
              <w:rPr>
                <w:rFonts w:ascii="Arial" w:hAnsi="Arial" w:cs="Arial"/>
              </w:rPr>
              <w:t xml:space="preserve">decrease on the </w:t>
            </w:r>
            <w:r w:rsidR="00F32C16" w:rsidRPr="001A0853">
              <w:rPr>
                <w:rFonts w:ascii="Arial" w:hAnsi="Arial" w:cs="Arial"/>
              </w:rPr>
              <w:t>Q</w:t>
            </w:r>
            <w:r w:rsidR="00F32C16" w:rsidRPr="00750490">
              <w:rPr>
                <w:rFonts w:ascii="Arial" w:hAnsi="Arial" w:cs="Arial"/>
              </w:rPr>
              <w:t xml:space="preserve">uarter 1 figure in 2023-24 </w:t>
            </w:r>
            <w:r w:rsidR="000435FE" w:rsidRPr="00750490">
              <w:rPr>
                <w:rFonts w:ascii="Arial" w:hAnsi="Arial" w:cs="Arial"/>
              </w:rPr>
              <w:t xml:space="preserve">of 90.5%, </w:t>
            </w:r>
            <w:r w:rsidR="00F32C16" w:rsidRPr="00750490">
              <w:rPr>
                <w:rFonts w:ascii="Arial" w:hAnsi="Arial" w:cs="Arial"/>
              </w:rPr>
              <w:t>but above the annual target of 86%</w:t>
            </w:r>
            <w:r w:rsidR="00FA5254" w:rsidRPr="00750490">
              <w:rPr>
                <w:rFonts w:ascii="Arial" w:hAnsi="Arial" w:cs="Arial"/>
              </w:rPr>
              <w:t xml:space="preserve">. St Helens’ </w:t>
            </w:r>
            <w:r w:rsidR="008051D9" w:rsidRPr="00750490">
              <w:rPr>
                <w:rFonts w:ascii="Arial" w:hAnsi="Arial" w:cs="Arial"/>
              </w:rPr>
              <w:t>performance</w:t>
            </w:r>
            <w:r w:rsidR="00877558" w:rsidRPr="00750490">
              <w:rPr>
                <w:rFonts w:ascii="Arial" w:hAnsi="Arial" w:cs="Arial"/>
              </w:rPr>
              <w:t xml:space="preserve"> </w:t>
            </w:r>
            <w:r w:rsidR="000E170B" w:rsidRPr="00750490">
              <w:rPr>
                <w:rFonts w:ascii="Arial" w:hAnsi="Arial" w:cs="Arial"/>
              </w:rPr>
              <w:t xml:space="preserve">compares favourably to the </w:t>
            </w:r>
            <w:r w:rsidR="001A0853" w:rsidRPr="00750490">
              <w:rPr>
                <w:rFonts w:ascii="Arial" w:hAnsi="Arial" w:cs="Arial"/>
              </w:rPr>
              <w:t xml:space="preserve">last published 2022-23 </w:t>
            </w:r>
            <w:r w:rsidR="000E170B" w:rsidRPr="00750490">
              <w:rPr>
                <w:rFonts w:ascii="Arial" w:hAnsi="Arial" w:cs="Arial"/>
              </w:rPr>
              <w:t>England and North West averages of 7</w:t>
            </w:r>
            <w:r w:rsidR="00F93FEC" w:rsidRPr="00750490">
              <w:rPr>
                <w:rFonts w:ascii="Arial" w:hAnsi="Arial" w:cs="Arial"/>
              </w:rPr>
              <w:t>3</w:t>
            </w:r>
            <w:r w:rsidR="000E170B" w:rsidRPr="00750490">
              <w:rPr>
                <w:rFonts w:ascii="Arial" w:hAnsi="Arial" w:cs="Arial"/>
              </w:rPr>
              <w:t>.</w:t>
            </w:r>
            <w:r w:rsidR="00F93FEC" w:rsidRPr="00750490">
              <w:rPr>
                <w:rFonts w:ascii="Arial" w:hAnsi="Arial" w:cs="Arial"/>
              </w:rPr>
              <w:t>6</w:t>
            </w:r>
            <w:r w:rsidR="000E170B" w:rsidRPr="00750490">
              <w:rPr>
                <w:rFonts w:ascii="Arial" w:hAnsi="Arial" w:cs="Arial"/>
              </w:rPr>
              <w:t xml:space="preserve">% and </w:t>
            </w:r>
            <w:r w:rsidR="00F93FEC" w:rsidRPr="00750490">
              <w:rPr>
                <w:rFonts w:ascii="Arial" w:hAnsi="Arial" w:cs="Arial"/>
              </w:rPr>
              <w:t>8</w:t>
            </w:r>
            <w:r w:rsidR="000E170B" w:rsidRPr="00750490">
              <w:rPr>
                <w:rFonts w:ascii="Arial" w:hAnsi="Arial" w:cs="Arial"/>
              </w:rPr>
              <w:t>8.6% respectively.</w:t>
            </w:r>
            <w:r w:rsidR="007706F2" w:rsidRPr="00750490">
              <w:rPr>
                <w:rFonts w:ascii="Arial" w:hAnsi="Arial" w:cs="Arial"/>
              </w:rPr>
              <w:t xml:space="preserve"> </w:t>
            </w:r>
          </w:p>
          <w:p w14:paraId="1F2D91EC" w14:textId="673B3926" w:rsidR="00B75321" w:rsidRPr="00B91D74" w:rsidRDefault="00FD0905" w:rsidP="00B91D74">
            <w:pPr>
              <w:pStyle w:val="ListParagraph"/>
              <w:numPr>
                <w:ilvl w:val="0"/>
                <w:numId w:val="10"/>
              </w:numPr>
              <w:spacing w:before="80" w:after="120"/>
              <w:ind w:left="714" w:hanging="357"/>
              <w:contextualSpacing w:val="0"/>
              <w:jc w:val="both"/>
              <w:rPr>
                <w:rFonts w:ascii="Arial" w:eastAsiaTheme="minorEastAsia" w:hAnsi="Arial" w:cs="Arial"/>
                <w:color w:val="000000" w:themeColor="text1"/>
              </w:rPr>
            </w:pPr>
            <w:r w:rsidRPr="00750490">
              <w:rPr>
                <w:rFonts w:ascii="Arial" w:eastAsiaTheme="minorEastAsia" w:hAnsi="Arial" w:cs="Arial"/>
                <w:b/>
                <w:bCs/>
              </w:rPr>
              <w:t>PH-010</w:t>
            </w:r>
            <w:r w:rsidRPr="00750490">
              <w:rPr>
                <w:rFonts w:ascii="Arial" w:eastAsiaTheme="minorEastAsia" w:hAnsi="Arial" w:cs="Arial"/>
              </w:rPr>
              <w:t xml:space="preserve"> - </w:t>
            </w:r>
            <w:r w:rsidR="00815A26" w:rsidRPr="00750490">
              <w:rPr>
                <w:rFonts w:ascii="Arial" w:hAnsi="Arial" w:cs="Arial"/>
              </w:rPr>
              <w:t>T</w:t>
            </w:r>
            <w:r w:rsidR="008C32F8" w:rsidRPr="00750490">
              <w:rPr>
                <w:rFonts w:ascii="Arial" w:hAnsi="Arial" w:cs="Arial"/>
              </w:rPr>
              <w:t xml:space="preserve">he percentage of children achieving a good level of development at 2 - 2.5 years in St. Helens </w:t>
            </w:r>
            <w:r w:rsidR="00877558" w:rsidRPr="00750490">
              <w:rPr>
                <w:rFonts w:ascii="Arial" w:hAnsi="Arial" w:cs="Arial"/>
              </w:rPr>
              <w:t>during Quarter 1</w:t>
            </w:r>
            <w:r w:rsidR="00815A26" w:rsidRPr="00750490">
              <w:rPr>
                <w:rFonts w:ascii="Arial" w:hAnsi="Arial" w:cs="Arial"/>
              </w:rPr>
              <w:t xml:space="preserve"> 202</w:t>
            </w:r>
            <w:r w:rsidR="00867A06" w:rsidRPr="00750490">
              <w:rPr>
                <w:rFonts w:ascii="Arial" w:hAnsi="Arial" w:cs="Arial"/>
              </w:rPr>
              <w:t>4</w:t>
            </w:r>
            <w:r w:rsidR="00877558" w:rsidRPr="00750490">
              <w:rPr>
                <w:rFonts w:ascii="Arial" w:hAnsi="Arial" w:cs="Arial"/>
              </w:rPr>
              <w:t>-2</w:t>
            </w:r>
            <w:r w:rsidR="00867A06" w:rsidRPr="00750490">
              <w:rPr>
                <w:rFonts w:ascii="Arial" w:hAnsi="Arial" w:cs="Arial"/>
              </w:rPr>
              <w:t>5</w:t>
            </w:r>
            <w:r w:rsidR="00815A26" w:rsidRPr="00750490">
              <w:rPr>
                <w:rFonts w:ascii="Arial" w:hAnsi="Arial" w:cs="Arial"/>
              </w:rPr>
              <w:t xml:space="preserve"> was </w:t>
            </w:r>
            <w:r w:rsidR="00867A06" w:rsidRPr="00750490">
              <w:rPr>
                <w:rFonts w:ascii="Arial" w:hAnsi="Arial" w:cs="Arial"/>
              </w:rPr>
              <w:t xml:space="preserve">86%, a small increase on the position in the same period in the previous year. </w:t>
            </w:r>
            <w:r w:rsidR="00B7244D" w:rsidRPr="00750490">
              <w:rPr>
                <w:rFonts w:ascii="Arial" w:hAnsi="Arial" w:cs="Arial"/>
              </w:rPr>
              <w:t>Current performance is better</w:t>
            </w:r>
            <w:r w:rsidR="00877558" w:rsidRPr="00750490">
              <w:rPr>
                <w:rFonts w:ascii="Arial" w:hAnsi="Arial" w:cs="Arial"/>
              </w:rPr>
              <w:t xml:space="preserve"> than target and </w:t>
            </w:r>
            <w:r w:rsidR="00815A26" w:rsidRPr="00750490">
              <w:rPr>
                <w:rFonts w:ascii="Arial" w:hAnsi="Arial" w:cs="Arial"/>
              </w:rPr>
              <w:t xml:space="preserve">higher than the </w:t>
            </w:r>
            <w:r w:rsidR="00750490" w:rsidRPr="00750490">
              <w:rPr>
                <w:rFonts w:ascii="Arial" w:hAnsi="Arial" w:cs="Arial"/>
              </w:rPr>
              <w:t xml:space="preserve">last published </w:t>
            </w:r>
            <w:r w:rsidR="00815A26" w:rsidRPr="00750490">
              <w:rPr>
                <w:rFonts w:ascii="Arial" w:hAnsi="Arial" w:cs="Arial"/>
              </w:rPr>
              <w:t xml:space="preserve">England and North West averages of </w:t>
            </w:r>
            <w:r w:rsidR="00E15559" w:rsidRPr="00750490">
              <w:rPr>
                <w:rFonts w:ascii="Arial" w:hAnsi="Arial" w:cs="Arial"/>
              </w:rPr>
              <w:t>79.</w:t>
            </w:r>
            <w:r w:rsidR="00750490" w:rsidRPr="00750490">
              <w:rPr>
                <w:rFonts w:ascii="Arial" w:hAnsi="Arial" w:cs="Arial"/>
              </w:rPr>
              <w:t>3</w:t>
            </w:r>
            <w:r w:rsidR="00815A26" w:rsidRPr="00750490">
              <w:rPr>
                <w:rFonts w:ascii="Arial" w:hAnsi="Arial" w:cs="Arial"/>
              </w:rPr>
              <w:t>% and 79.</w:t>
            </w:r>
            <w:r w:rsidR="005A3B38" w:rsidRPr="00750490">
              <w:rPr>
                <w:rFonts w:ascii="Arial" w:hAnsi="Arial" w:cs="Arial"/>
              </w:rPr>
              <w:t>2</w:t>
            </w:r>
            <w:r w:rsidR="00815A26" w:rsidRPr="00750490">
              <w:rPr>
                <w:rFonts w:ascii="Arial" w:hAnsi="Arial" w:cs="Arial"/>
              </w:rPr>
              <w:t>% respectively</w:t>
            </w:r>
            <w:r w:rsidR="00750490" w:rsidRPr="00750490">
              <w:rPr>
                <w:rFonts w:ascii="Arial" w:hAnsi="Arial" w:cs="Arial"/>
              </w:rPr>
              <w:t xml:space="preserve"> in 2022-23</w:t>
            </w:r>
            <w:r w:rsidR="00815A26" w:rsidRPr="00750490">
              <w:rPr>
                <w:rFonts w:ascii="Arial" w:hAnsi="Arial" w:cs="Arial"/>
              </w:rPr>
              <w:t xml:space="preserve">. </w:t>
            </w:r>
          </w:p>
        </w:tc>
      </w:tr>
      <w:tr w:rsidR="00970157" w14:paraId="734F0B51" w14:textId="77777777" w:rsidTr="00B8AFBC">
        <w:tc>
          <w:tcPr>
            <w:tcW w:w="15388" w:type="dxa"/>
            <w:gridSpan w:val="2"/>
            <w:shd w:val="clear" w:color="auto" w:fill="ED712C"/>
          </w:tcPr>
          <w:p w14:paraId="70687B4C" w14:textId="77777777" w:rsidR="00B0379D" w:rsidRPr="00C02D8D" w:rsidRDefault="00E75E6D" w:rsidP="00B0379D">
            <w:pPr>
              <w:spacing w:after="120"/>
              <w:jc w:val="both"/>
              <w:rPr>
                <w:rFonts w:ascii="Arial" w:hAnsi="Arial" w:cs="Arial"/>
                <w:color w:val="000000" w:themeColor="text1"/>
              </w:rPr>
            </w:pPr>
            <w:r>
              <w:rPr>
                <w:rFonts w:ascii="Arial" w:hAnsi="Arial" w:cs="Arial"/>
                <w:b/>
                <w:bCs/>
                <w:color w:val="FFFFFF" w:themeColor="background1"/>
              </w:rPr>
              <w:t>Ac</w:t>
            </w:r>
            <w:r w:rsidRPr="00DA0660">
              <w:rPr>
                <w:rFonts w:ascii="Arial" w:hAnsi="Arial" w:cs="Arial"/>
                <w:b/>
                <w:bCs/>
                <w:color w:val="FFFFFF" w:themeColor="background1"/>
              </w:rPr>
              <w:t>tion for Improvement</w:t>
            </w:r>
          </w:p>
        </w:tc>
      </w:tr>
      <w:tr w:rsidR="00970157" w14:paraId="26CFC2AF" w14:textId="77777777" w:rsidTr="009A4F2B">
        <w:tc>
          <w:tcPr>
            <w:tcW w:w="15388" w:type="dxa"/>
            <w:gridSpan w:val="2"/>
            <w:shd w:val="clear" w:color="auto" w:fill="FFFFFF" w:themeFill="background1"/>
          </w:tcPr>
          <w:p w14:paraId="44470664" w14:textId="3B89F26F" w:rsidR="0090129E" w:rsidRPr="002E0E02" w:rsidRDefault="17B97BEB" w:rsidP="23C10523">
            <w:pPr>
              <w:pStyle w:val="ListParagraph"/>
              <w:numPr>
                <w:ilvl w:val="0"/>
                <w:numId w:val="53"/>
              </w:numPr>
              <w:shd w:val="clear" w:color="auto" w:fill="FFFFFF" w:themeFill="background1"/>
              <w:spacing w:before="80" w:after="120"/>
              <w:rPr>
                <w:rFonts w:ascii="Arial" w:eastAsiaTheme="minorEastAsia" w:hAnsi="Arial" w:cs="Arial"/>
              </w:rPr>
            </w:pPr>
            <w:r w:rsidRPr="524D18A9">
              <w:rPr>
                <w:rFonts w:ascii="Arial" w:eastAsiaTheme="minorEastAsia" w:hAnsi="Arial" w:cs="Arial"/>
                <w:b/>
                <w:bCs/>
              </w:rPr>
              <w:t>PH-001</w:t>
            </w:r>
            <w:r w:rsidRPr="524D18A9">
              <w:rPr>
                <w:rFonts w:ascii="Arial" w:eastAsiaTheme="minorEastAsia" w:hAnsi="Arial" w:cs="Arial"/>
              </w:rPr>
              <w:t xml:space="preserve"> - The </w:t>
            </w:r>
            <w:r w:rsidR="008054E7">
              <w:rPr>
                <w:rFonts w:ascii="Arial" w:eastAsiaTheme="minorEastAsia" w:hAnsi="Arial" w:cs="Arial"/>
              </w:rPr>
              <w:t>r</w:t>
            </w:r>
            <w:r w:rsidRPr="524D18A9">
              <w:rPr>
                <w:rFonts w:ascii="Arial" w:eastAsiaTheme="minorEastAsia" w:hAnsi="Arial" w:cs="Arial"/>
              </w:rPr>
              <w:t>ates of hospital admissions for self</w:t>
            </w:r>
            <w:r w:rsidR="61875080" w:rsidRPr="0DB46DEA">
              <w:rPr>
                <w:rFonts w:ascii="Arial" w:eastAsiaTheme="minorEastAsia" w:hAnsi="Arial" w:cs="Arial"/>
              </w:rPr>
              <w:t>-</w:t>
            </w:r>
            <w:r w:rsidRPr="524D18A9">
              <w:rPr>
                <w:rFonts w:ascii="Arial" w:eastAsiaTheme="minorEastAsia" w:hAnsi="Arial" w:cs="Arial"/>
              </w:rPr>
              <w:t xml:space="preserve">harm continue to </w:t>
            </w:r>
            <w:r w:rsidR="7DFE275D" w:rsidRPr="46EE2AD6">
              <w:rPr>
                <w:rFonts w:ascii="Arial" w:eastAsiaTheme="minorEastAsia" w:hAnsi="Arial" w:cs="Arial"/>
              </w:rPr>
              <w:t>be</w:t>
            </w:r>
            <w:r w:rsidRPr="524D18A9">
              <w:rPr>
                <w:rFonts w:ascii="Arial" w:eastAsiaTheme="minorEastAsia" w:hAnsi="Arial" w:cs="Arial"/>
              </w:rPr>
              <w:t xml:space="preserve"> below our target, tracking positive progress. Self</w:t>
            </w:r>
            <w:r w:rsidR="0C03913F" w:rsidRPr="0DB46DEA">
              <w:rPr>
                <w:rFonts w:ascii="Arial" w:eastAsiaTheme="minorEastAsia" w:hAnsi="Arial" w:cs="Arial"/>
              </w:rPr>
              <w:t>-</w:t>
            </w:r>
            <w:r w:rsidRPr="524D18A9">
              <w:rPr>
                <w:rFonts w:ascii="Arial" w:eastAsiaTheme="minorEastAsia" w:hAnsi="Arial" w:cs="Arial"/>
              </w:rPr>
              <w:t>harm is known to be a coping response to emotional distress, and hospital admissions for self</w:t>
            </w:r>
            <w:r w:rsidR="38B2CCC7" w:rsidRPr="0DB46DEA">
              <w:rPr>
                <w:rFonts w:ascii="Arial" w:eastAsiaTheme="minorEastAsia" w:hAnsi="Arial" w:cs="Arial"/>
              </w:rPr>
              <w:t>-</w:t>
            </w:r>
            <w:r w:rsidRPr="524D18A9">
              <w:rPr>
                <w:rFonts w:ascii="Arial" w:eastAsiaTheme="minorEastAsia" w:hAnsi="Arial" w:cs="Arial"/>
              </w:rPr>
              <w:t>harm indicate a higher</w:t>
            </w:r>
            <w:r w:rsidR="6FE94D53" w:rsidRPr="0DB46DEA">
              <w:rPr>
                <w:rFonts w:ascii="Arial" w:eastAsiaTheme="minorEastAsia" w:hAnsi="Arial" w:cs="Arial"/>
              </w:rPr>
              <w:t>-</w:t>
            </w:r>
            <w:r w:rsidRPr="524D18A9">
              <w:rPr>
                <w:rFonts w:ascii="Arial" w:eastAsiaTheme="minorEastAsia" w:hAnsi="Arial" w:cs="Arial"/>
              </w:rPr>
              <w:t>level risk.  A multi</w:t>
            </w:r>
            <w:r w:rsidR="665302E0" w:rsidRPr="0DB46DEA">
              <w:rPr>
                <w:rFonts w:ascii="Arial" w:eastAsiaTheme="minorEastAsia" w:hAnsi="Arial" w:cs="Arial"/>
              </w:rPr>
              <w:t>-</w:t>
            </w:r>
            <w:r w:rsidRPr="524D18A9">
              <w:rPr>
                <w:rFonts w:ascii="Arial" w:eastAsiaTheme="minorEastAsia" w:hAnsi="Arial" w:cs="Arial"/>
              </w:rPr>
              <w:t xml:space="preserve">agency task group has reviewed the data on hospital attendances and the 0-19 team receive notifications when a young </w:t>
            </w:r>
            <w:r w:rsidRPr="4895B6D9">
              <w:rPr>
                <w:rFonts w:ascii="Arial" w:eastAsiaTheme="minorEastAsia" w:hAnsi="Arial" w:cs="Arial"/>
              </w:rPr>
              <w:t>person</w:t>
            </w:r>
            <w:r w:rsidRPr="524D18A9">
              <w:rPr>
                <w:rFonts w:ascii="Arial" w:eastAsiaTheme="minorEastAsia" w:hAnsi="Arial" w:cs="Arial"/>
              </w:rPr>
              <w:t xml:space="preserve"> attends hospital so </w:t>
            </w:r>
            <w:r w:rsidR="00193CAC" w:rsidRPr="5A216AC9">
              <w:rPr>
                <w:rFonts w:ascii="Arial" w:eastAsiaTheme="minorEastAsia" w:hAnsi="Arial" w:cs="Arial"/>
              </w:rPr>
              <w:t xml:space="preserve">that </w:t>
            </w:r>
            <w:r w:rsidRPr="5A216AC9">
              <w:rPr>
                <w:rFonts w:ascii="Arial" w:eastAsiaTheme="minorEastAsia" w:hAnsi="Arial" w:cs="Arial"/>
              </w:rPr>
              <w:t>support</w:t>
            </w:r>
            <w:r w:rsidRPr="524D18A9">
              <w:rPr>
                <w:rFonts w:ascii="Arial" w:eastAsiaTheme="minorEastAsia" w:hAnsi="Arial" w:cs="Arial"/>
              </w:rPr>
              <w:t xml:space="preserve"> can be put in place. There is work underway with schools to promote the 'thrive' model of mental and emotional support for young people which is now available on a web page.  A </w:t>
            </w:r>
            <w:r w:rsidR="00C7392F">
              <w:rPr>
                <w:rFonts w:ascii="Arial" w:eastAsiaTheme="minorEastAsia" w:hAnsi="Arial" w:cs="Arial"/>
              </w:rPr>
              <w:t>y</w:t>
            </w:r>
            <w:r w:rsidRPr="524D18A9">
              <w:rPr>
                <w:rFonts w:ascii="Arial" w:eastAsiaTheme="minorEastAsia" w:hAnsi="Arial" w:cs="Arial"/>
              </w:rPr>
              <w:t>outh social prescribing pilot programme to engage young people who self</w:t>
            </w:r>
            <w:r w:rsidR="25612E84" w:rsidRPr="0DB46DEA">
              <w:rPr>
                <w:rFonts w:ascii="Arial" w:eastAsiaTheme="minorEastAsia" w:hAnsi="Arial" w:cs="Arial"/>
              </w:rPr>
              <w:t>-</w:t>
            </w:r>
            <w:r w:rsidRPr="524D18A9">
              <w:rPr>
                <w:rFonts w:ascii="Arial" w:eastAsiaTheme="minorEastAsia" w:hAnsi="Arial" w:cs="Arial"/>
              </w:rPr>
              <w:t>harm with a range of activities is currently progressing and being evaluated by an independent evaluator. A pilot A&amp;E pathway to respond to adults who present at A&amp;E for self</w:t>
            </w:r>
            <w:r w:rsidR="3EA7774F" w:rsidRPr="51CFBED7">
              <w:rPr>
                <w:rFonts w:ascii="Arial" w:eastAsiaTheme="minorEastAsia" w:hAnsi="Arial" w:cs="Arial"/>
              </w:rPr>
              <w:t>-</w:t>
            </w:r>
            <w:r w:rsidRPr="524D18A9">
              <w:rPr>
                <w:rFonts w:ascii="Arial" w:eastAsiaTheme="minorEastAsia" w:hAnsi="Arial" w:cs="Arial"/>
              </w:rPr>
              <w:t>harm is also being delivered by Mersey Care NHS FT. This is progressing well and being evaluated. The self</w:t>
            </w:r>
            <w:r w:rsidR="4CA40DE2" w:rsidRPr="51CFBED7">
              <w:rPr>
                <w:rFonts w:ascii="Arial" w:eastAsiaTheme="minorEastAsia" w:hAnsi="Arial" w:cs="Arial"/>
              </w:rPr>
              <w:t>-</w:t>
            </w:r>
            <w:r w:rsidRPr="524D18A9">
              <w:rPr>
                <w:rFonts w:ascii="Arial" w:eastAsiaTheme="minorEastAsia" w:hAnsi="Arial" w:cs="Arial"/>
              </w:rPr>
              <w:t>harm partnership continues to meet to discuss further opportunities to strengthen support.</w:t>
            </w:r>
          </w:p>
          <w:p w14:paraId="19D8464C" w14:textId="77777777" w:rsidR="0090129E" w:rsidRPr="002E0E02" w:rsidRDefault="0090129E" w:rsidP="269ECCA5">
            <w:pPr>
              <w:pStyle w:val="ListParagraph"/>
              <w:shd w:val="clear" w:color="auto" w:fill="FFFFFF" w:themeFill="background1"/>
              <w:spacing w:before="80" w:after="120"/>
              <w:rPr>
                <w:rFonts w:ascii="Arial" w:eastAsiaTheme="minorEastAsia" w:hAnsi="Arial" w:cs="Arial"/>
              </w:rPr>
            </w:pPr>
          </w:p>
          <w:p w14:paraId="2B799150" w14:textId="468885E6" w:rsidR="00E90E6D" w:rsidRPr="00E90E6D" w:rsidRDefault="23243E00" w:rsidP="04331295">
            <w:pPr>
              <w:pStyle w:val="ListParagraph"/>
              <w:numPr>
                <w:ilvl w:val="0"/>
                <w:numId w:val="53"/>
              </w:numPr>
              <w:shd w:val="clear" w:color="auto" w:fill="FFFFFF" w:themeFill="background1"/>
              <w:spacing w:before="80" w:after="120"/>
              <w:rPr>
                <w:rFonts w:ascii="Arial" w:eastAsiaTheme="minorEastAsia" w:hAnsi="Arial" w:cs="Arial"/>
              </w:rPr>
            </w:pPr>
            <w:r w:rsidRPr="00633D32">
              <w:rPr>
                <w:rFonts w:ascii="Arial" w:eastAsia="Arial" w:hAnsi="Arial" w:cs="Arial"/>
                <w:b/>
              </w:rPr>
              <w:t>PH-004</w:t>
            </w:r>
            <w:r w:rsidR="006D5371" w:rsidRPr="00633D32">
              <w:rPr>
                <w:rFonts w:ascii="Arial" w:eastAsia="Arial" w:hAnsi="Arial" w:cs="Arial"/>
                <w:b/>
              </w:rPr>
              <w:t xml:space="preserve"> </w:t>
            </w:r>
            <w:r w:rsidR="00A9321B" w:rsidRPr="00633D32">
              <w:rPr>
                <w:rFonts w:ascii="Arial" w:eastAsia="Arial" w:hAnsi="Arial" w:cs="Arial"/>
                <w:b/>
              </w:rPr>
              <w:t>–</w:t>
            </w:r>
            <w:r w:rsidR="006D5371" w:rsidRPr="00633D32">
              <w:rPr>
                <w:rFonts w:ascii="Arial" w:eastAsia="Arial" w:hAnsi="Arial" w:cs="Arial"/>
                <w:b/>
              </w:rPr>
              <w:t xml:space="preserve"> </w:t>
            </w:r>
            <w:r w:rsidR="00A9321B" w:rsidRPr="00236976">
              <w:rPr>
                <w:rFonts w:ascii="Arial" w:eastAsia="Arial" w:hAnsi="Arial" w:cs="Arial"/>
              </w:rPr>
              <w:t>There is no update</w:t>
            </w:r>
            <w:r w:rsidR="00A53859" w:rsidRPr="00236976">
              <w:rPr>
                <w:rFonts w:ascii="Arial" w:eastAsia="Arial" w:hAnsi="Arial" w:cs="Arial"/>
              </w:rPr>
              <w:t xml:space="preserve">d </w:t>
            </w:r>
            <w:r w:rsidR="00A9321B" w:rsidRPr="00236976">
              <w:rPr>
                <w:rFonts w:ascii="Arial" w:eastAsia="Arial" w:hAnsi="Arial" w:cs="Arial"/>
              </w:rPr>
              <w:t xml:space="preserve">data </w:t>
            </w:r>
            <w:r w:rsidR="008B7F5A" w:rsidRPr="00236976">
              <w:rPr>
                <w:rFonts w:ascii="Arial" w:eastAsia="Arial" w:hAnsi="Arial" w:cs="Arial"/>
              </w:rPr>
              <w:t xml:space="preserve">for </w:t>
            </w:r>
            <w:r w:rsidR="00A52108" w:rsidRPr="00236976">
              <w:rPr>
                <w:rFonts w:ascii="Arial" w:eastAsia="Arial" w:hAnsi="Arial" w:cs="Arial"/>
              </w:rPr>
              <w:t>thi</w:t>
            </w:r>
            <w:r w:rsidR="00092A44" w:rsidRPr="00236976">
              <w:rPr>
                <w:rFonts w:ascii="Arial" w:eastAsia="Arial" w:hAnsi="Arial" w:cs="Arial"/>
              </w:rPr>
              <w:t xml:space="preserve">s quarter on </w:t>
            </w:r>
            <w:r w:rsidR="00A53859" w:rsidRPr="00236976">
              <w:rPr>
                <w:rFonts w:ascii="Arial" w:eastAsia="Arial" w:hAnsi="Arial" w:cs="Arial"/>
              </w:rPr>
              <w:t xml:space="preserve">under 18 </w:t>
            </w:r>
            <w:r w:rsidR="008473C3" w:rsidRPr="00236976">
              <w:rPr>
                <w:rFonts w:ascii="Arial" w:eastAsia="Arial" w:hAnsi="Arial" w:cs="Arial"/>
              </w:rPr>
              <w:t>conception</w:t>
            </w:r>
            <w:r w:rsidR="00A53859" w:rsidRPr="00236976">
              <w:rPr>
                <w:rFonts w:ascii="Arial" w:eastAsia="Arial" w:hAnsi="Arial" w:cs="Arial"/>
              </w:rPr>
              <w:t xml:space="preserve"> rates</w:t>
            </w:r>
            <w:r w:rsidR="001803FE" w:rsidRPr="00236976">
              <w:rPr>
                <w:rFonts w:ascii="Arial" w:eastAsia="Arial" w:hAnsi="Arial" w:cs="Arial"/>
              </w:rPr>
              <w:t xml:space="preserve">, however </w:t>
            </w:r>
            <w:r w:rsidR="00290D98">
              <w:rPr>
                <w:rFonts w:ascii="Arial" w:eastAsia="Arial" w:hAnsi="Arial" w:cs="Arial"/>
              </w:rPr>
              <w:t>t</w:t>
            </w:r>
            <w:r w:rsidR="00214BB7" w:rsidRPr="00236976">
              <w:rPr>
                <w:rFonts w:ascii="Arial" w:eastAsia="Arial" w:hAnsi="Arial" w:cs="Arial"/>
              </w:rPr>
              <w:t xml:space="preserve">eenage </w:t>
            </w:r>
            <w:r w:rsidR="00290D98">
              <w:rPr>
                <w:rFonts w:ascii="Arial" w:eastAsia="Arial" w:hAnsi="Arial" w:cs="Arial"/>
              </w:rPr>
              <w:t>p</w:t>
            </w:r>
            <w:r w:rsidR="001214ED" w:rsidRPr="00236976">
              <w:rPr>
                <w:rFonts w:ascii="Arial" w:eastAsia="Arial" w:hAnsi="Arial" w:cs="Arial"/>
              </w:rPr>
              <w:t>regnancy</w:t>
            </w:r>
            <w:r w:rsidR="00C97ABE" w:rsidRPr="00236976">
              <w:rPr>
                <w:rFonts w:ascii="Arial" w:eastAsia="Arial" w:hAnsi="Arial" w:cs="Arial"/>
              </w:rPr>
              <w:t xml:space="preserve"> </w:t>
            </w:r>
            <w:r w:rsidR="00036B8D">
              <w:rPr>
                <w:rFonts w:ascii="Arial" w:eastAsia="Arial" w:hAnsi="Arial" w:cs="Arial"/>
              </w:rPr>
              <w:t>is</w:t>
            </w:r>
            <w:r w:rsidR="00C97ABE" w:rsidRPr="00236976">
              <w:rPr>
                <w:rFonts w:ascii="Arial" w:eastAsia="Arial" w:hAnsi="Arial" w:cs="Arial"/>
              </w:rPr>
              <w:t xml:space="preserve"> </w:t>
            </w:r>
            <w:r w:rsidR="006339FF" w:rsidRPr="00236976">
              <w:rPr>
                <w:rFonts w:ascii="Arial" w:eastAsia="Arial" w:hAnsi="Arial" w:cs="Arial"/>
              </w:rPr>
              <w:t xml:space="preserve">as </w:t>
            </w:r>
            <w:r w:rsidR="00905E8D" w:rsidRPr="00236976">
              <w:rPr>
                <w:rFonts w:ascii="Arial" w:eastAsia="Arial" w:hAnsi="Arial" w:cs="Arial"/>
              </w:rPr>
              <w:t>a</w:t>
            </w:r>
            <w:r w:rsidR="00214BB7" w:rsidRPr="00236976">
              <w:rPr>
                <w:rFonts w:ascii="Arial" w:eastAsia="Arial" w:hAnsi="Arial" w:cs="Arial"/>
              </w:rPr>
              <w:t>n</w:t>
            </w:r>
            <w:r w:rsidR="00905E8D" w:rsidRPr="00236976">
              <w:rPr>
                <w:rFonts w:ascii="Arial" w:eastAsia="Arial" w:hAnsi="Arial" w:cs="Arial"/>
              </w:rPr>
              <w:t xml:space="preserve"> </w:t>
            </w:r>
            <w:r w:rsidR="005771D9" w:rsidRPr="00236976">
              <w:rPr>
                <w:rFonts w:ascii="Arial" w:eastAsia="Arial" w:hAnsi="Arial" w:cs="Arial"/>
              </w:rPr>
              <w:t>ongoing area</w:t>
            </w:r>
            <w:r w:rsidR="00D142AB" w:rsidRPr="00236976">
              <w:rPr>
                <w:rFonts w:ascii="Arial" w:eastAsia="Arial" w:hAnsi="Arial" w:cs="Arial"/>
              </w:rPr>
              <w:t xml:space="preserve"> </w:t>
            </w:r>
            <w:r w:rsidR="006339FF" w:rsidRPr="00236976">
              <w:rPr>
                <w:rFonts w:ascii="Arial" w:eastAsia="Arial" w:hAnsi="Arial" w:cs="Arial"/>
              </w:rPr>
              <w:t>of</w:t>
            </w:r>
            <w:r w:rsidR="00D142AB" w:rsidRPr="00236976">
              <w:rPr>
                <w:rFonts w:ascii="Arial" w:eastAsia="Arial" w:hAnsi="Arial" w:cs="Arial"/>
              </w:rPr>
              <w:t xml:space="preserve"> improvement</w:t>
            </w:r>
            <w:r w:rsidR="004D58F2" w:rsidRPr="00236976">
              <w:rPr>
                <w:rFonts w:ascii="Arial" w:eastAsia="Arial" w:hAnsi="Arial" w:cs="Arial"/>
              </w:rPr>
              <w:t xml:space="preserve">.  </w:t>
            </w:r>
            <w:r w:rsidR="00CC36A9">
              <w:rPr>
                <w:rFonts w:ascii="Arial" w:eastAsia="Arial" w:hAnsi="Arial" w:cs="Arial"/>
              </w:rPr>
              <w:t xml:space="preserve">Recently released data on </w:t>
            </w:r>
            <w:r w:rsidR="00A00D9F">
              <w:rPr>
                <w:rFonts w:ascii="Arial" w:eastAsia="Arial" w:hAnsi="Arial" w:cs="Arial"/>
              </w:rPr>
              <w:t>abort</w:t>
            </w:r>
            <w:r w:rsidR="000713D4">
              <w:rPr>
                <w:rFonts w:ascii="Arial" w:eastAsia="Arial" w:hAnsi="Arial" w:cs="Arial"/>
              </w:rPr>
              <w:t xml:space="preserve">ion rates for </w:t>
            </w:r>
            <w:r w:rsidR="00110813">
              <w:rPr>
                <w:rFonts w:ascii="Arial" w:eastAsia="Arial" w:hAnsi="Arial" w:cs="Arial"/>
              </w:rPr>
              <w:t>15-17 year</w:t>
            </w:r>
            <w:r w:rsidR="00CC36A9">
              <w:rPr>
                <w:rFonts w:ascii="Arial" w:eastAsia="Arial" w:hAnsi="Arial" w:cs="Arial"/>
              </w:rPr>
              <w:t xml:space="preserve"> olds is showing a positive </w:t>
            </w:r>
            <w:r w:rsidR="000917B3">
              <w:rPr>
                <w:rFonts w:ascii="Arial" w:eastAsia="Arial" w:hAnsi="Arial" w:cs="Arial"/>
              </w:rPr>
              <w:t xml:space="preserve">reduction from </w:t>
            </w:r>
            <w:r w:rsidR="007750D4">
              <w:rPr>
                <w:rFonts w:ascii="Arial" w:eastAsia="Arial" w:hAnsi="Arial" w:cs="Arial"/>
              </w:rPr>
              <w:t>12.4</w:t>
            </w:r>
            <w:r w:rsidR="00CF7FF6">
              <w:rPr>
                <w:rFonts w:ascii="Arial" w:eastAsia="Arial" w:hAnsi="Arial" w:cs="Arial"/>
              </w:rPr>
              <w:t xml:space="preserve"> </w:t>
            </w:r>
            <w:r w:rsidR="00C95C77">
              <w:rPr>
                <w:rFonts w:ascii="Arial" w:eastAsia="Arial" w:hAnsi="Arial" w:cs="Arial"/>
              </w:rPr>
              <w:t>(2</w:t>
            </w:r>
            <w:r w:rsidR="009C6E74">
              <w:rPr>
                <w:rFonts w:ascii="Arial" w:eastAsia="Arial" w:hAnsi="Arial" w:cs="Arial"/>
              </w:rPr>
              <w:t xml:space="preserve">021) </w:t>
            </w:r>
            <w:r w:rsidR="00451861">
              <w:rPr>
                <w:rFonts w:ascii="Arial" w:eastAsia="Arial" w:hAnsi="Arial" w:cs="Arial"/>
              </w:rPr>
              <w:t xml:space="preserve">to 11.1 </w:t>
            </w:r>
            <w:r w:rsidR="009C6E74">
              <w:rPr>
                <w:rFonts w:ascii="Arial" w:eastAsia="Arial" w:hAnsi="Arial" w:cs="Arial"/>
              </w:rPr>
              <w:t>(2021)</w:t>
            </w:r>
            <w:r w:rsidR="00451861">
              <w:rPr>
                <w:rFonts w:ascii="Arial" w:eastAsia="Arial" w:hAnsi="Arial" w:cs="Arial"/>
              </w:rPr>
              <w:t xml:space="preserve"> </w:t>
            </w:r>
            <w:r w:rsidR="00CF7FF6">
              <w:rPr>
                <w:rFonts w:ascii="Arial" w:eastAsia="Arial" w:hAnsi="Arial" w:cs="Arial"/>
              </w:rPr>
              <w:t>per 1000</w:t>
            </w:r>
            <w:r w:rsidR="00EA2309">
              <w:rPr>
                <w:rFonts w:ascii="Arial" w:eastAsia="Arial" w:hAnsi="Arial" w:cs="Arial"/>
              </w:rPr>
              <w:t xml:space="preserve">, in a context where </w:t>
            </w:r>
            <w:r w:rsidR="00D813D8">
              <w:rPr>
                <w:rFonts w:ascii="Arial" w:eastAsia="Arial" w:hAnsi="Arial" w:cs="Arial"/>
              </w:rPr>
              <w:t>regional and national averages have increased</w:t>
            </w:r>
            <w:r w:rsidR="00C95C77">
              <w:rPr>
                <w:rFonts w:ascii="Arial" w:eastAsia="Arial" w:hAnsi="Arial" w:cs="Arial"/>
              </w:rPr>
              <w:t xml:space="preserve"> for the same period.</w:t>
            </w:r>
            <w:r w:rsidR="00CC36A9">
              <w:rPr>
                <w:rFonts w:ascii="Arial" w:eastAsia="Arial" w:hAnsi="Arial" w:cs="Arial"/>
              </w:rPr>
              <w:t xml:space="preserve"> </w:t>
            </w:r>
            <w:r w:rsidR="006632BD" w:rsidRPr="00236976">
              <w:rPr>
                <w:rFonts w:ascii="Arial" w:eastAsia="Arial" w:hAnsi="Arial" w:cs="Arial"/>
              </w:rPr>
              <w:t xml:space="preserve">The </w:t>
            </w:r>
            <w:r w:rsidR="004F09AB" w:rsidRPr="00236976">
              <w:rPr>
                <w:rFonts w:ascii="Arial" w:eastAsia="Arial" w:hAnsi="Arial" w:cs="Arial"/>
              </w:rPr>
              <w:t xml:space="preserve">strategy group has met this quarter and work is progressing on </w:t>
            </w:r>
            <w:r w:rsidR="002B6F87" w:rsidRPr="00236976">
              <w:rPr>
                <w:rFonts w:ascii="Arial" w:eastAsia="Arial" w:hAnsi="Arial" w:cs="Arial"/>
              </w:rPr>
              <w:t xml:space="preserve">refreshing </w:t>
            </w:r>
            <w:r w:rsidR="00A37340">
              <w:rPr>
                <w:rFonts w:ascii="Arial" w:eastAsia="Arial" w:hAnsi="Arial" w:cs="Arial"/>
              </w:rPr>
              <w:t>the action</w:t>
            </w:r>
            <w:r w:rsidR="00DF79AD">
              <w:rPr>
                <w:rFonts w:ascii="Arial" w:eastAsia="Arial" w:hAnsi="Arial" w:cs="Arial"/>
              </w:rPr>
              <w:t xml:space="preserve"> plan with </w:t>
            </w:r>
            <w:r w:rsidR="00E7751F">
              <w:rPr>
                <w:rFonts w:ascii="Arial" w:eastAsia="Arial" w:hAnsi="Arial" w:cs="Arial"/>
              </w:rPr>
              <w:t>partners</w:t>
            </w:r>
            <w:r w:rsidR="00FE7994">
              <w:rPr>
                <w:rFonts w:ascii="Arial" w:eastAsia="Arial" w:hAnsi="Arial" w:cs="Arial"/>
              </w:rPr>
              <w:t xml:space="preserve"> and stakeholders</w:t>
            </w:r>
            <w:r w:rsidR="00475177">
              <w:rPr>
                <w:rFonts w:ascii="Arial" w:eastAsia="Arial" w:hAnsi="Arial" w:cs="Arial"/>
              </w:rPr>
              <w:t xml:space="preserve">, with a focus on the </w:t>
            </w:r>
            <w:r w:rsidR="0085466C">
              <w:rPr>
                <w:rFonts w:ascii="Arial" w:eastAsia="Arial" w:hAnsi="Arial" w:cs="Arial"/>
              </w:rPr>
              <w:t xml:space="preserve">sexual health and </w:t>
            </w:r>
            <w:r w:rsidR="00475177">
              <w:rPr>
                <w:rFonts w:ascii="Arial" w:eastAsia="Arial" w:hAnsi="Arial" w:cs="Arial"/>
              </w:rPr>
              <w:t>contraceptive offer</w:t>
            </w:r>
            <w:r w:rsidR="00050915">
              <w:rPr>
                <w:rFonts w:ascii="Arial" w:eastAsia="Arial" w:hAnsi="Arial" w:cs="Arial"/>
              </w:rPr>
              <w:t xml:space="preserve"> via </w:t>
            </w:r>
            <w:r w:rsidR="00152DF2">
              <w:rPr>
                <w:rFonts w:ascii="Arial" w:eastAsia="Arial" w:hAnsi="Arial" w:cs="Arial"/>
              </w:rPr>
              <w:t xml:space="preserve">the developing </w:t>
            </w:r>
            <w:r w:rsidR="00050915">
              <w:rPr>
                <w:rFonts w:ascii="Arial" w:eastAsia="Arial" w:hAnsi="Arial" w:cs="Arial"/>
              </w:rPr>
              <w:t xml:space="preserve">Women’s </w:t>
            </w:r>
            <w:r w:rsidR="004A1390">
              <w:rPr>
                <w:rFonts w:ascii="Arial" w:eastAsia="Arial" w:hAnsi="Arial" w:cs="Arial"/>
              </w:rPr>
              <w:t>Health Hubs</w:t>
            </w:r>
            <w:r w:rsidR="00132BEA">
              <w:rPr>
                <w:rFonts w:ascii="Arial" w:eastAsia="Arial" w:hAnsi="Arial" w:cs="Arial"/>
              </w:rPr>
              <w:t xml:space="preserve">, </w:t>
            </w:r>
            <w:r w:rsidR="003638D2">
              <w:rPr>
                <w:rFonts w:ascii="Arial" w:eastAsia="Arial" w:hAnsi="Arial" w:cs="Arial"/>
              </w:rPr>
              <w:t>Family Hubs</w:t>
            </w:r>
            <w:r w:rsidR="00B14242">
              <w:rPr>
                <w:rFonts w:ascii="Arial" w:eastAsia="Arial" w:hAnsi="Arial" w:cs="Arial"/>
              </w:rPr>
              <w:t xml:space="preserve"> </w:t>
            </w:r>
            <w:r w:rsidR="000A5CC7">
              <w:rPr>
                <w:rFonts w:ascii="Arial" w:eastAsia="Arial" w:hAnsi="Arial" w:cs="Arial"/>
              </w:rPr>
              <w:t xml:space="preserve">which </w:t>
            </w:r>
            <w:r w:rsidR="00B14242">
              <w:rPr>
                <w:rFonts w:ascii="Arial" w:eastAsia="Arial" w:hAnsi="Arial" w:cs="Arial"/>
              </w:rPr>
              <w:t>includ</w:t>
            </w:r>
            <w:r w:rsidR="000A5CC7">
              <w:rPr>
                <w:rFonts w:ascii="Arial" w:eastAsia="Arial" w:hAnsi="Arial" w:cs="Arial"/>
              </w:rPr>
              <w:t>es</w:t>
            </w:r>
            <w:r w:rsidR="00B14242">
              <w:rPr>
                <w:rFonts w:ascii="Arial" w:eastAsia="Arial" w:hAnsi="Arial" w:cs="Arial"/>
              </w:rPr>
              <w:t xml:space="preserve"> training and parenting support</w:t>
            </w:r>
            <w:r w:rsidR="003638D2">
              <w:rPr>
                <w:rFonts w:ascii="Arial" w:eastAsia="Arial" w:hAnsi="Arial" w:cs="Arial"/>
              </w:rPr>
              <w:t xml:space="preserve">, and </w:t>
            </w:r>
            <w:r w:rsidR="0059595A">
              <w:rPr>
                <w:rFonts w:ascii="Arial" w:eastAsia="Arial" w:hAnsi="Arial" w:cs="Arial"/>
              </w:rPr>
              <w:t xml:space="preserve">working with </w:t>
            </w:r>
            <w:r w:rsidR="00803CE5">
              <w:rPr>
                <w:rFonts w:ascii="Arial" w:eastAsia="Arial" w:hAnsi="Arial" w:cs="Arial"/>
              </w:rPr>
              <w:t xml:space="preserve">secondary </w:t>
            </w:r>
            <w:r w:rsidR="0059595A">
              <w:rPr>
                <w:rFonts w:ascii="Arial" w:eastAsia="Arial" w:hAnsi="Arial" w:cs="Arial"/>
              </w:rPr>
              <w:t>schools</w:t>
            </w:r>
            <w:r w:rsidR="00736BA6">
              <w:rPr>
                <w:rFonts w:ascii="Arial" w:eastAsia="Arial" w:hAnsi="Arial" w:cs="Arial"/>
              </w:rPr>
              <w:t>.</w:t>
            </w:r>
            <w:r w:rsidR="00EB6950">
              <w:rPr>
                <w:rFonts w:ascii="Arial" w:eastAsia="Arial" w:hAnsi="Arial" w:cs="Arial"/>
              </w:rPr>
              <w:t xml:space="preserve"> </w:t>
            </w:r>
          </w:p>
          <w:p w14:paraId="5E91EAE9" w14:textId="2712D08C" w:rsidR="24A2F8C6" w:rsidRDefault="24A2F8C6" w:rsidP="24A2F8C6">
            <w:pPr>
              <w:pStyle w:val="ListParagraph"/>
              <w:shd w:val="clear" w:color="auto" w:fill="FFFFFF" w:themeFill="background1"/>
              <w:spacing w:before="80" w:after="120"/>
              <w:rPr>
                <w:rFonts w:ascii="Arial" w:eastAsiaTheme="minorEastAsia" w:hAnsi="Arial" w:cs="Arial"/>
              </w:rPr>
            </w:pPr>
          </w:p>
          <w:p w14:paraId="03089376" w14:textId="48DF3095" w:rsidR="0090129E" w:rsidRPr="00FF6CF8" w:rsidRDefault="23243E00" w:rsidP="2CD92F2C">
            <w:pPr>
              <w:pStyle w:val="ListParagraph"/>
              <w:numPr>
                <w:ilvl w:val="0"/>
                <w:numId w:val="53"/>
              </w:numPr>
              <w:shd w:val="clear" w:color="auto" w:fill="FFFFFF" w:themeFill="background1"/>
              <w:spacing w:before="80" w:after="120"/>
              <w:rPr>
                <w:rFonts w:ascii="Arial" w:eastAsia="Arial" w:hAnsi="Arial" w:cs="Arial"/>
              </w:rPr>
            </w:pPr>
            <w:r w:rsidRPr="00FF6CF8">
              <w:rPr>
                <w:rFonts w:ascii="Arial" w:eastAsia="Arial" w:hAnsi="Arial" w:cs="Arial"/>
                <w:b/>
              </w:rPr>
              <w:t>PH-005</w:t>
            </w:r>
            <w:r w:rsidR="006D50F9" w:rsidRPr="00FF6CF8">
              <w:rPr>
                <w:rFonts w:ascii="Arial" w:eastAsia="Arial" w:hAnsi="Arial" w:cs="Arial"/>
              </w:rPr>
              <w:t xml:space="preserve"> – </w:t>
            </w:r>
            <w:r w:rsidR="008023C3" w:rsidRPr="00FF6CF8">
              <w:rPr>
                <w:rFonts w:ascii="Arial" w:eastAsia="Arial" w:hAnsi="Arial" w:cs="Arial"/>
              </w:rPr>
              <w:t xml:space="preserve">Breast feeding rates at </w:t>
            </w:r>
            <w:r w:rsidR="00B321C8" w:rsidRPr="00FF6CF8">
              <w:rPr>
                <w:rFonts w:ascii="Arial" w:eastAsia="Arial" w:hAnsi="Arial" w:cs="Arial"/>
              </w:rPr>
              <w:t xml:space="preserve">6-8 weeks </w:t>
            </w:r>
            <w:r w:rsidR="00062B68" w:rsidRPr="00FF6CF8">
              <w:rPr>
                <w:rFonts w:ascii="Arial" w:eastAsia="Arial" w:hAnsi="Arial" w:cs="Arial"/>
              </w:rPr>
              <w:t xml:space="preserve">in this quarter has </w:t>
            </w:r>
            <w:r w:rsidR="00A9784B" w:rsidRPr="00FF6CF8">
              <w:rPr>
                <w:rFonts w:ascii="Arial" w:eastAsia="Arial" w:hAnsi="Arial" w:cs="Arial"/>
              </w:rPr>
              <w:t xml:space="preserve">shown a </w:t>
            </w:r>
            <w:r w:rsidR="00312920" w:rsidRPr="00FF6CF8">
              <w:rPr>
                <w:rFonts w:ascii="Arial" w:eastAsia="Arial" w:hAnsi="Arial" w:cs="Arial"/>
              </w:rPr>
              <w:t>not</w:t>
            </w:r>
            <w:r w:rsidR="009E613B" w:rsidRPr="00FF6CF8">
              <w:rPr>
                <w:rFonts w:ascii="Arial" w:eastAsia="Arial" w:hAnsi="Arial" w:cs="Arial"/>
              </w:rPr>
              <w:t xml:space="preserve">able </w:t>
            </w:r>
            <w:r w:rsidR="009D5D5D" w:rsidRPr="00FF6CF8">
              <w:rPr>
                <w:rFonts w:ascii="Arial" w:eastAsia="Arial" w:hAnsi="Arial" w:cs="Arial"/>
              </w:rPr>
              <w:t>increase compared to the last quarter</w:t>
            </w:r>
            <w:r w:rsidR="000B7D8E" w:rsidRPr="00FF6CF8">
              <w:rPr>
                <w:rFonts w:ascii="Arial" w:eastAsia="Arial" w:hAnsi="Arial" w:cs="Arial"/>
              </w:rPr>
              <w:t xml:space="preserve">, </w:t>
            </w:r>
            <w:r w:rsidR="00D32D9D" w:rsidRPr="00FF6CF8">
              <w:rPr>
                <w:rFonts w:ascii="Arial" w:eastAsia="Arial" w:hAnsi="Arial" w:cs="Arial"/>
              </w:rPr>
              <w:t xml:space="preserve">but this </w:t>
            </w:r>
            <w:r w:rsidR="00FF6CF8">
              <w:rPr>
                <w:rFonts w:ascii="Arial" w:eastAsia="Arial" w:hAnsi="Arial" w:cs="Arial"/>
              </w:rPr>
              <w:t>remains</w:t>
            </w:r>
            <w:r w:rsidR="00D32D9D" w:rsidRPr="00FF6CF8">
              <w:rPr>
                <w:rFonts w:ascii="Arial" w:eastAsia="Arial" w:hAnsi="Arial" w:cs="Arial"/>
              </w:rPr>
              <w:t xml:space="preserve"> </w:t>
            </w:r>
            <w:r w:rsidR="00013B21" w:rsidRPr="00FF6CF8">
              <w:rPr>
                <w:rFonts w:ascii="Arial" w:eastAsia="Arial" w:hAnsi="Arial" w:cs="Arial"/>
              </w:rPr>
              <w:t xml:space="preserve">an area of improvement as </w:t>
            </w:r>
            <w:r w:rsidR="00FF6CF8" w:rsidRPr="00FF6CF8">
              <w:rPr>
                <w:rFonts w:ascii="Arial" w:eastAsia="Arial" w:hAnsi="Arial" w:cs="Arial"/>
              </w:rPr>
              <w:t>S</w:t>
            </w:r>
            <w:r w:rsidR="00013B21" w:rsidRPr="00FF6CF8">
              <w:rPr>
                <w:rFonts w:ascii="Arial" w:eastAsia="Arial" w:hAnsi="Arial" w:cs="Arial"/>
              </w:rPr>
              <w:t xml:space="preserve">t Helens is </w:t>
            </w:r>
            <w:r w:rsidR="008C237A" w:rsidRPr="00FF6CF8">
              <w:rPr>
                <w:rFonts w:ascii="Arial" w:eastAsia="Arial" w:hAnsi="Arial" w:cs="Arial"/>
              </w:rPr>
              <w:t>below the regional and na</w:t>
            </w:r>
            <w:r w:rsidR="00FF6CF8" w:rsidRPr="00FF6CF8">
              <w:rPr>
                <w:rFonts w:ascii="Arial" w:eastAsia="Arial" w:hAnsi="Arial" w:cs="Arial"/>
              </w:rPr>
              <w:t>tional averages.</w:t>
            </w:r>
            <w:r w:rsidR="002142E6">
              <w:rPr>
                <w:rFonts w:ascii="Arial" w:eastAsia="Arial" w:hAnsi="Arial" w:cs="Arial"/>
              </w:rPr>
              <w:t xml:space="preserve">  The specialist infant feeding team is </w:t>
            </w:r>
            <w:r w:rsidR="00D264DD">
              <w:rPr>
                <w:rFonts w:ascii="Arial" w:eastAsia="Arial" w:hAnsi="Arial" w:cs="Arial"/>
              </w:rPr>
              <w:t>now trained and established</w:t>
            </w:r>
            <w:r w:rsidR="000F5FD8">
              <w:rPr>
                <w:rFonts w:ascii="Arial" w:eastAsia="Arial" w:hAnsi="Arial" w:cs="Arial"/>
              </w:rPr>
              <w:t xml:space="preserve"> working with Family Hubs partners</w:t>
            </w:r>
            <w:r w:rsidR="00123275">
              <w:rPr>
                <w:rFonts w:ascii="Arial" w:eastAsia="Arial" w:hAnsi="Arial" w:cs="Arial"/>
              </w:rPr>
              <w:t>, and</w:t>
            </w:r>
            <w:r w:rsidR="00DC747E">
              <w:rPr>
                <w:rFonts w:ascii="Arial" w:eastAsia="Arial" w:hAnsi="Arial" w:cs="Arial"/>
              </w:rPr>
              <w:t xml:space="preserve"> </w:t>
            </w:r>
            <w:r w:rsidR="00944937">
              <w:rPr>
                <w:rFonts w:ascii="Arial" w:eastAsia="Arial" w:hAnsi="Arial" w:cs="Arial"/>
              </w:rPr>
              <w:t>work is progressing</w:t>
            </w:r>
            <w:r w:rsidR="00A54DF7">
              <w:rPr>
                <w:rFonts w:ascii="Arial" w:eastAsia="Arial" w:hAnsi="Arial" w:cs="Arial"/>
              </w:rPr>
              <w:t xml:space="preserve"> </w:t>
            </w:r>
            <w:r w:rsidR="00854EEC">
              <w:rPr>
                <w:rFonts w:ascii="Arial" w:eastAsia="Arial" w:hAnsi="Arial" w:cs="Arial"/>
              </w:rPr>
              <w:t>well</w:t>
            </w:r>
            <w:r w:rsidR="00A54DF7">
              <w:rPr>
                <w:rFonts w:ascii="Arial" w:eastAsia="Arial" w:hAnsi="Arial" w:cs="Arial"/>
              </w:rPr>
              <w:t xml:space="preserve"> </w:t>
            </w:r>
            <w:r w:rsidR="001C247C">
              <w:rPr>
                <w:rFonts w:ascii="Arial" w:eastAsia="Arial" w:hAnsi="Arial" w:cs="Arial"/>
              </w:rPr>
              <w:t xml:space="preserve">to achieve the </w:t>
            </w:r>
            <w:r w:rsidR="000E6554">
              <w:rPr>
                <w:rFonts w:ascii="Arial" w:eastAsia="Arial" w:hAnsi="Arial" w:cs="Arial"/>
              </w:rPr>
              <w:t xml:space="preserve">first stage of </w:t>
            </w:r>
            <w:r w:rsidR="001C247C">
              <w:rPr>
                <w:rFonts w:ascii="Arial" w:eastAsia="Arial" w:hAnsi="Arial" w:cs="Arial"/>
              </w:rPr>
              <w:t>B</w:t>
            </w:r>
            <w:r w:rsidR="00C06B1F">
              <w:rPr>
                <w:rFonts w:ascii="Arial" w:eastAsia="Arial" w:hAnsi="Arial" w:cs="Arial"/>
              </w:rPr>
              <w:t xml:space="preserve">aby </w:t>
            </w:r>
            <w:r w:rsidR="001C247C">
              <w:rPr>
                <w:rFonts w:ascii="Arial" w:eastAsia="Arial" w:hAnsi="Arial" w:cs="Arial"/>
              </w:rPr>
              <w:t>F</w:t>
            </w:r>
            <w:r w:rsidR="00C06B1F">
              <w:rPr>
                <w:rFonts w:ascii="Arial" w:eastAsia="Arial" w:hAnsi="Arial" w:cs="Arial"/>
              </w:rPr>
              <w:t xml:space="preserve">riendly </w:t>
            </w:r>
            <w:r w:rsidR="001C247C">
              <w:rPr>
                <w:rFonts w:ascii="Arial" w:eastAsia="Arial" w:hAnsi="Arial" w:cs="Arial"/>
              </w:rPr>
              <w:t>I</w:t>
            </w:r>
            <w:r w:rsidR="00C06B1F">
              <w:rPr>
                <w:rFonts w:ascii="Arial" w:eastAsia="Arial" w:hAnsi="Arial" w:cs="Arial"/>
              </w:rPr>
              <w:t>nitiative (</w:t>
            </w:r>
            <w:r w:rsidR="001C247C">
              <w:rPr>
                <w:rFonts w:ascii="Arial" w:eastAsia="Arial" w:hAnsi="Arial" w:cs="Arial"/>
              </w:rPr>
              <w:t>BFI</w:t>
            </w:r>
            <w:r w:rsidR="00C06B1F">
              <w:rPr>
                <w:rFonts w:ascii="Arial" w:eastAsia="Arial" w:hAnsi="Arial" w:cs="Arial"/>
              </w:rPr>
              <w:t>)</w:t>
            </w:r>
            <w:r w:rsidR="00452DDB">
              <w:rPr>
                <w:rFonts w:ascii="Arial" w:eastAsia="Arial" w:hAnsi="Arial" w:cs="Arial"/>
              </w:rPr>
              <w:t xml:space="preserve"> standa</w:t>
            </w:r>
            <w:r w:rsidR="000E6554">
              <w:rPr>
                <w:rFonts w:ascii="Arial" w:eastAsia="Arial" w:hAnsi="Arial" w:cs="Arial"/>
              </w:rPr>
              <w:t>rds</w:t>
            </w:r>
            <w:r w:rsidR="00A37F22">
              <w:rPr>
                <w:rFonts w:ascii="Arial" w:eastAsia="Arial" w:hAnsi="Arial" w:cs="Arial"/>
              </w:rPr>
              <w:t xml:space="preserve"> and accreditation.</w:t>
            </w:r>
          </w:p>
          <w:p w14:paraId="6276A2C1" w14:textId="18FF9211" w:rsidR="0090129E" w:rsidRPr="002E0E02" w:rsidRDefault="0090129E" w:rsidP="269ECCA5">
            <w:pPr>
              <w:pStyle w:val="ListParagraph"/>
              <w:shd w:val="clear" w:color="auto" w:fill="FFFFFF" w:themeFill="background1"/>
              <w:spacing w:before="80" w:after="120"/>
              <w:rPr>
                <w:rFonts w:ascii="Arial" w:eastAsia="Arial" w:hAnsi="Arial" w:cs="Arial"/>
              </w:rPr>
            </w:pPr>
          </w:p>
          <w:p w14:paraId="6241429A" w14:textId="47FB6C6E" w:rsidR="0090129E" w:rsidRPr="002E0E02" w:rsidRDefault="23243E00" w:rsidP="6077E449">
            <w:pPr>
              <w:pStyle w:val="ListParagraph"/>
              <w:numPr>
                <w:ilvl w:val="0"/>
                <w:numId w:val="53"/>
              </w:numPr>
              <w:shd w:val="clear" w:color="auto" w:fill="FFFFFF" w:themeFill="background1"/>
              <w:spacing w:before="80" w:after="120"/>
              <w:rPr>
                <w:rFonts w:ascii="Arial" w:eastAsiaTheme="minorEastAsia" w:hAnsi="Arial" w:cs="Arial"/>
              </w:rPr>
            </w:pPr>
            <w:r w:rsidRPr="00867FEF">
              <w:rPr>
                <w:rFonts w:ascii="Arial" w:eastAsiaTheme="minorEastAsia" w:hAnsi="Arial" w:cs="Arial"/>
                <w:b/>
              </w:rPr>
              <w:t>PH-006</w:t>
            </w:r>
            <w:r w:rsidR="00EF0376" w:rsidRPr="002960D7">
              <w:rPr>
                <w:rFonts w:ascii="Arial" w:eastAsiaTheme="minorEastAsia" w:hAnsi="Arial" w:cs="Arial"/>
              </w:rPr>
              <w:t xml:space="preserve"> </w:t>
            </w:r>
            <w:r w:rsidR="002960D7" w:rsidRPr="002960D7">
              <w:rPr>
                <w:rFonts w:ascii="Arial" w:eastAsiaTheme="minorEastAsia" w:hAnsi="Arial" w:cs="Arial"/>
              </w:rPr>
              <w:t>–</w:t>
            </w:r>
            <w:r w:rsidR="00EF0376" w:rsidRPr="002960D7">
              <w:rPr>
                <w:rFonts w:ascii="Arial" w:eastAsiaTheme="minorEastAsia" w:hAnsi="Arial" w:cs="Arial"/>
              </w:rPr>
              <w:t xml:space="preserve"> </w:t>
            </w:r>
            <w:r w:rsidR="002960D7" w:rsidRPr="002960D7">
              <w:rPr>
                <w:rFonts w:ascii="Arial" w:eastAsiaTheme="minorEastAsia" w:hAnsi="Arial" w:cs="Arial"/>
              </w:rPr>
              <w:t>Smoking at the Time of Delivery (SATOD)</w:t>
            </w:r>
            <w:r w:rsidR="007532AB">
              <w:rPr>
                <w:rFonts w:ascii="Arial" w:eastAsiaTheme="minorEastAsia" w:hAnsi="Arial" w:cs="Arial"/>
              </w:rPr>
              <w:t xml:space="preserve"> rates have unfortunately increased</w:t>
            </w:r>
            <w:r w:rsidR="00C12DF7">
              <w:rPr>
                <w:rFonts w:ascii="Arial" w:eastAsiaTheme="minorEastAsia" w:hAnsi="Arial" w:cs="Arial"/>
              </w:rPr>
              <w:t xml:space="preserve"> this quarter </w:t>
            </w:r>
            <w:r w:rsidR="00582FF3">
              <w:rPr>
                <w:rFonts w:ascii="Arial" w:eastAsiaTheme="minorEastAsia" w:hAnsi="Arial" w:cs="Arial"/>
              </w:rPr>
              <w:t>(</w:t>
            </w:r>
            <w:r w:rsidR="00845C16">
              <w:rPr>
                <w:rFonts w:ascii="Arial" w:eastAsiaTheme="minorEastAsia" w:hAnsi="Arial" w:cs="Arial"/>
              </w:rPr>
              <w:t xml:space="preserve">13.2%) </w:t>
            </w:r>
            <w:r w:rsidR="00C12DF7">
              <w:rPr>
                <w:rFonts w:ascii="Arial" w:eastAsiaTheme="minorEastAsia" w:hAnsi="Arial" w:cs="Arial"/>
              </w:rPr>
              <w:t xml:space="preserve">compared </w:t>
            </w:r>
            <w:r w:rsidR="000D21FD">
              <w:rPr>
                <w:rFonts w:ascii="Arial" w:eastAsiaTheme="minorEastAsia" w:hAnsi="Arial" w:cs="Arial"/>
              </w:rPr>
              <w:t>to the previous quarter</w:t>
            </w:r>
            <w:r w:rsidR="00845C16">
              <w:rPr>
                <w:rFonts w:ascii="Arial" w:eastAsiaTheme="minorEastAsia" w:hAnsi="Arial" w:cs="Arial"/>
              </w:rPr>
              <w:t xml:space="preserve"> (</w:t>
            </w:r>
            <w:r w:rsidR="00683DCA">
              <w:rPr>
                <w:rFonts w:ascii="Arial" w:eastAsiaTheme="minorEastAsia" w:hAnsi="Arial" w:cs="Arial"/>
              </w:rPr>
              <w:t xml:space="preserve">11.9%). </w:t>
            </w:r>
            <w:r w:rsidR="000D21FD">
              <w:rPr>
                <w:rFonts w:ascii="Arial" w:eastAsiaTheme="minorEastAsia" w:hAnsi="Arial" w:cs="Arial"/>
              </w:rPr>
              <w:t xml:space="preserve"> </w:t>
            </w:r>
            <w:r w:rsidR="00BB29CE">
              <w:rPr>
                <w:rFonts w:ascii="Arial" w:eastAsiaTheme="minorEastAsia" w:hAnsi="Arial" w:cs="Arial"/>
              </w:rPr>
              <w:t xml:space="preserve">A new maternity </w:t>
            </w:r>
            <w:r w:rsidR="00E2051D">
              <w:rPr>
                <w:rFonts w:ascii="Arial" w:eastAsiaTheme="minorEastAsia" w:hAnsi="Arial" w:cs="Arial"/>
              </w:rPr>
              <w:t>lead</w:t>
            </w:r>
            <w:r w:rsidR="00BB29CE">
              <w:rPr>
                <w:rFonts w:ascii="Arial" w:eastAsiaTheme="minorEastAsia" w:hAnsi="Arial" w:cs="Arial"/>
              </w:rPr>
              <w:t xml:space="preserve"> ha</w:t>
            </w:r>
            <w:r w:rsidR="00E2051D">
              <w:rPr>
                <w:rFonts w:ascii="Arial" w:eastAsiaTheme="minorEastAsia" w:hAnsi="Arial" w:cs="Arial"/>
              </w:rPr>
              <w:t>s</w:t>
            </w:r>
            <w:r w:rsidR="00BB29CE">
              <w:rPr>
                <w:rFonts w:ascii="Arial" w:eastAsiaTheme="minorEastAsia" w:hAnsi="Arial" w:cs="Arial"/>
              </w:rPr>
              <w:t xml:space="preserve"> been engaged</w:t>
            </w:r>
            <w:r w:rsidR="009B071A">
              <w:rPr>
                <w:rFonts w:ascii="Arial" w:eastAsiaTheme="minorEastAsia" w:hAnsi="Arial" w:cs="Arial"/>
              </w:rPr>
              <w:t xml:space="preserve"> </w:t>
            </w:r>
            <w:r w:rsidR="00560F29">
              <w:rPr>
                <w:rFonts w:ascii="Arial" w:eastAsiaTheme="minorEastAsia" w:hAnsi="Arial" w:cs="Arial"/>
              </w:rPr>
              <w:t xml:space="preserve">to </w:t>
            </w:r>
            <w:r w:rsidR="002D674F">
              <w:rPr>
                <w:rFonts w:ascii="Arial" w:eastAsiaTheme="minorEastAsia" w:hAnsi="Arial" w:cs="Arial"/>
              </w:rPr>
              <w:t xml:space="preserve">help investigate </w:t>
            </w:r>
            <w:r w:rsidR="00AE2CA2">
              <w:rPr>
                <w:rFonts w:ascii="Arial" w:eastAsiaTheme="minorEastAsia" w:hAnsi="Arial" w:cs="Arial"/>
              </w:rPr>
              <w:t xml:space="preserve">this issue and </w:t>
            </w:r>
            <w:r w:rsidR="00E2051D">
              <w:rPr>
                <w:rFonts w:ascii="Arial" w:eastAsiaTheme="minorEastAsia" w:hAnsi="Arial" w:cs="Arial"/>
              </w:rPr>
              <w:t>to identify</w:t>
            </w:r>
            <w:r w:rsidR="002D674F">
              <w:rPr>
                <w:rFonts w:ascii="Arial" w:eastAsiaTheme="minorEastAsia" w:hAnsi="Arial" w:cs="Arial"/>
              </w:rPr>
              <w:t xml:space="preserve"> </w:t>
            </w:r>
            <w:r w:rsidR="00A73188">
              <w:rPr>
                <w:rFonts w:ascii="Arial" w:eastAsiaTheme="minorEastAsia" w:hAnsi="Arial" w:cs="Arial"/>
              </w:rPr>
              <w:t>further areas for improvement</w:t>
            </w:r>
            <w:r w:rsidR="00DF59A3">
              <w:rPr>
                <w:rFonts w:ascii="Arial" w:eastAsiaTheme="minorEastAsia" w:hAnsi="Arial" w:cs="Arial"/>
              </w:rPr>
              <w:t xml:space="preserve">. </w:t>
            </w:r>
            <w:r w:rsidR="003C1C6C">
              <w:rPr>
                <w:rFonts w:ascii="Arial" w:eastAsiaTheme="minorEastAsia" w:hAnsi="Arial" w:cs="Arial"/>
              </w:rPr>
              <w:t xml:space="preserve"> </w:t>
            </w:r>
            <w:r w:rsidR="00DF59A3">
              <w:rPr>
                <w:rFonts w:ascii="Arial" w:eastAsiaTheme="minorEastAsia" w:hAnsi="Arial" w:cs="Arial"/>
              </w:rPr>
              <w:t>A</w:t>
            </w:r>
            <w:r w:rsidR="003C1C6C">
              <w:rPr>
                <w:rFonts w:ascii="Arial" w:eastAsiaTheme="minorEastAsia" w:hAnsi="Arial" w:cs="Arial"/>
              </w:rPr>
              <w:t xml:space="preserve"> review of the </w:t>
            </w:r>
            <w:r w:rsidR="00194EBE">
              <w:rPr>
                <w:rFonts w:ascii="Arial" w:eastAsiaTheme="minorEastAsia" w:hAnsi="Arial" w:cs="Arial"/>
              </w:rPr>
              <w:t>12 week booking appointment</w:t>
            </w:r>
            <w:r w:rsidR="002D0989">
              <w:rPr>
                <w:rFonts w:ascii="Arial" w:eastAsiaTheme="minorEastAsia" w:hAnsi="Arial" w:cs="Arial"/>
              </w:rPr>
              <w:t xml:space="preserve"> assessment has </w:t>
            </w:r>
            <w:r w:rsidR="00221F27">
              <w:rPr>
                <w:rFonts w:ascii="Arial" w:eastAsiaTheme="minorEastAsia" w:hAnsi="Arial" w:cs="Arial"/>
              </w:rPr>
              <w:t xml:space="preserve">identified </w:t>
            </w:r>
            <w:r w:rsidR="00A35953">
              <w:rPr>
                <w:rFonts w:ascii="Arial" w:eastAsiaTheme="minorEastAsia" w:hAnsi="Arial" w:cs="Arial"/>
              </w:rPr>
              <w:t>the need for earl</w:t>
            </w:r>
            <w:r w:rsidR="00EA22CC">
              <w:rPr>
                <w:rFonts w:ascii="Arial" w:eastAsiaTheme="minorEastAsia" w:hAnsi="Arial" w:cs="Arial"/>
              </w:rPr>
              <w:t>ier</w:t>
            </w:r>
            <w:r w:rsidR="00A35953">
              <w:rPr>
                <w:rFonts w:ascii="Arial" w:eastAsiaTheme="minorEastAsia" w:hAnsi="Arial" w:cs="Arial"/>
              </w:rPr>
              <w:t xml:space="preserve"> identification and </w:t>
            </w:r>
            <w:r w:rsidR="00771A95">
              <w:rPr>
                <w:rFonts w:ascii="Arial" w:eastAsiaTheme="minorEastAsia" w:hAnsi="Arial" w:cs="Arial"/>
              </w:rPr>
              <w:t xml:space="preserve">default </w:t>
            </w:r>
            <w:r w:rsidR="00A35953">
              <w:rPr>
                <w:rFonts w:ascii="Arial" w:eastAsiaTheme="minorEastAsia" w:hAnsi="Arial" w:cs="Arial"/>
              </w:rPr>
              <w:t xml:space="preserve">referral to the </w:t>
            </w:r>
            <w:r w:rsidR="00154900">
              <w:rPr>
                <w:rFonts w:ascii="Arial" w:eastAsiaTheme="minorEastAsia" w:hAnsi="Arial" w:cs="Arial"/>
              </w:rPr>
              <w:t xml:space="preserve">community </w:t>
            </w:r>
            <w:r w:rsidR="00A35953">
              <w:rPr>
                <w:rFonts w:ascii="Arial" w:eastAsiaTheme="minorEastAsia" w:hAnsi="Arial" w:cs="Arial"/>
              </w:rPr>
              <w:t>smoking cessation</w:t>
            </w:r>
            <w:r w:rsidR="00CE3498">
              <w:rPr>
                <w:rFonts w:ascii="Arial" w:eastAsiaTheme="minorEastAsia" w:hAnsi="Arial" w:cs="Arial"/>
              </w:rPr>
              <w:t xml:space="preserve"> service</w:t>
            </w:r>
            <w:r w:rsidR="00AE2CA2">
              <w:rPr>
                <w:rFonts w:ascii="Arial" w:eastAsiaTheme="minorEastAsia" w:hAnsi="Arial" w:cs="Arial"/>
              </w:rPr>
              <w:t xml:space="preserve">, and </w:t>
            </w:r>
            <w:r w:rsidR="00DF59A3">
              <w:rPr>
                <w:rFonts w:ascii="Arial" w:eastAsiaTheme="minorEastAsia" w:hAnsi="Arial" w:cs="Arial"/>
              </w:rPr>
              <w:t xml:space="preserve">the importance of </w:t>
            </w:r>
            <w:r w:rsidR="008167F4">
              <w:rPr>
                <w:rFonts w:ascii="Arial" w:eastAsiaTheme="minorEastAsia" w:hAnsi="Arial" w:cs="Arial"/>
              </w:rPr>
              <w:t xml:space="preserve">maternity </w:t>
            </w:r>
            <w:r w:rsidR="00830308">
              <w:rPr>
                <w:rFonts w:ascii="Arial" w:eastAsiaTheme="minorEastAsia" w:hAnsi="Arial" w:cs="Arial"/>
              </w:rPr>
              <w:t xml:space="preserve">services </w:t>
            </w:r>
            <w:r w:rsidR="00CA0BE6">
              <w:rPr>
                <w:rFonts w:ascii="Arial" w:eastAsiaTheme="minorEastAsia" w:hAnsi="Arial" w:cs="Arial"/>
              </w:rPr>
              <w:t>to</w:t>
            </w:r>
            <w:r w:rsidR="00DF59A3">
              <w:rPr>
                <w:rFonts w:ascii="Arial" w:eastAsiaTheme="minorEastAsia" w:hAnsi="Arial" w:cs="Arial"/>
              </w:rPr>
              <w:t xml:space="preserve"> </w:t>
            </w:r>
            <w:r w:rsidR="00206BF9">
              <w:rPr>
                <w:rFonts w:ascii="Arial" w:eastAsiaTheme="minorEastAsia" w:hAnsi="Arial" w:cs="Arial"/>
              </w:rPr>
              <w:t xml:space="preserve">work </w:t>
            </w:r>
            <w:r w:rsidR="00C80FC4">
              <w:rPr>
                <w:rFonts w:ascii="Arial" w:eastAsiaTheme="minorEastAsia" w:hAnsi="Arial" w:cs="Arial"/>
              </w:rPr>
              <w:t xml:space="preserve">more closely and </w:t>
            </w:r>
            <w:r w:rsidR="00206BF9">
              <w:rPr>
                <w:rFonts w:ascii="Arial" w:eastAsiaTheme="minorEastAsia" w:hAnsi="Arial" w:cs="Arial"/>
              </w:rPr>
              <w:t xml:space="preserve">in </w:t>
            </w:r>
            <w:r w:rsidR="00AE2CA2">
              <w:rPr>
                <w:rFonts w:ascii="Arial" w:eastAsiaTheme="minorEastAsia" w:hAnsi="Arial" w:cs="Arial"/>
              </w:rPr>
              <w:t xml:space="preserve">partnership </w:t>
            </w:r>
            <w:r w:rsidR="00206BF9">
              <w:rPr>
                <w:rFonts w:ascii="Arial" w:eastAsiaTheme="minorEastAsia" w:hAnsi="Arial" w:cs="Arial"/>
              </w:rPr>
              <w:t xml:space="preserve">with </w:t>
            </w:r>
            <w:r w:rsidR="00C271E3">
              <w:rPr>
                <w:rFonts w:ascii="Arial" w:eastAsiaTheme="minorEastAsia" w:hAnsi="Arial" w:cs="Arial"/>
              </w:rPr>
              <w:t xml:space="preserve">the </w:t>
            </w:r>
            <w:r w:rsidR="00206BF9">
              <w:rPr>
                <w:rFonts w:ascii="Arial" w:eastAsiaTheme="minorEastAsia" w:hAnsi="Arial" w:cs="Arial"/>
              </w:rPr>
              <w:t>Family Hubs</w:t>
            </w:r>
            <w:r w:rsidR="00CE3498">
              <w:rPr>
                <w:rFonts w:ascii="Arial" w:eastAsiaTheme="minorEastAsia" w:hAnsi="Arial" w:cs="Arial"/>
              </w:rPr>
              <w:t>.</w:t>
            </w:r>
            <w:r w:rsidR="00771A95">
              <w:rPr>
                <w:rFonts w:ascii="Arial" w:eastAsiaTheme="minorEastAsia" w:hAnsi="Arial" w:cs="Arial"/>
              </w:rPr>
              <w:t xml:space="preserve"> </w:t>
            </w:r>
            <w:r w:rsidR="00F3207D">
              <w:rPr>
                <w:rFonts w:ascii="Arial" w:eastAsiaTheme="minorEastAsia" w:hAnsi="Arial" w:cs="Arial"/>
              </w:rPr>
              <w:t xml:space="preserve">The </w:t>
            </w:r>
            <w:r w:rsidR="00786948">
              <w:rPr>
                <w:rFonts w:ascii="Arial" w:eastAsiaTheme="minorEastAsia" w:hAnsi="Arial" w:cs="Arial"/>
              </w:rPr>
              <w:t xml:space="preserve">Wellbeing Service have </w:t>
            </w:r>
            <w:r w:rsidR="00336630">
              <w:rPr>
                <w:rFonts w:ascii="Arial" w:eastAsiaTheme="minorEastAsia" w:hAnsi="Arial" w:cs="Arial"/>
              </w:rPr>
              <w:t xml:space="preserve">received the </w:t>
            </w:r>
            <w:r w:rsidR="00222977">
              <w:rPr>
                <w:rFonts w:ascii="Arial" w:eastAsiaTheme="minorEastAsia" w:hAnsi="Arial" w:cs="Arial"/>
              </w:rPr>
              <w:t>national ‘St</w:t>
            </w:r>
            <w:r w:rsidR="00903CBC">
              <w:rPr>
                <w:rFonts w:ascii="Arial" w:eastAsiaTheme="minorEastAsia" w:hAnsi="Arial" w:cs="Arial"/>
              </w:rPr>
              <w:t xml:space="preserve">op the Start’ funding </w:t>
            </w:r>
            <w:r w:rsidR="00D27A61">
              <w:rPr>
                <w:rFonts w:ascii="Arial" w:eastAsiaTheme="minorEastAsia" w:hAnsi="Arial" w:cs="Arial"/>
              </w:rPr>
              <w:t>this quarter</w:t>
            </w:r>
            <w:r w:rsidR="000074E0">
              <w:rPr>
                <w:rFonts w:ascii="Arial" w:eastAsiaTheme="minorEastAsia" w:hAnsi="Arial" w:cs="Arial"/>
              </w:rPr>
              <w:t xml:space="preserve">, which will be used to increase </w:t>
            </w:r>
            <w:r w:rsidR="00F15F6D">
              <w:rPr>
                <w:rFonts w:ascii="Arial" w:eastAsiaTheme="minorEastAsia" w:hAnsi="Arial" w:cs="Arial"/>
              </w:rPr>
              <w:t>capacity</w:t>
            </w:r>
            <w:r w:rsidR="002F3CAF">
              <w:rPr>
                <w:rFonts w:ascii="Arial" w:eastAsiaTheme="minorEastAsia" w:hAnsi="Arial" w:cs="Arial"/>
              </w:rPr>
              <w:t xml:space="preserve">, </w:t>
            </w:r>
            <w:r w:rsidR="0021597B">
              <w:rPr>
                <w:rFonts w:ascii="Arial" w:eastAsiaTheme="minorEastAsia" w:hAnsi="Arial" w:cs="Arial"/>
              </w:rPr>
              <w:t>enabling more targeted community outreach work for ‘at risk’ groups,</w:t>
            </w:r>
            <w:r w:rsidR="00F15F6D">
              <w:rPr>
                <w:rFonts w:ascii="Arial" w:eastAsiaTheme="minorEastAsia" w:hAnsi="Arial" w:cs="Arial"/>
              </w:rPr>
              <w:t xml:space="preserve"> </w:t>
            </w:r>
            <w:r w:rsidR="003F3C03">
              <w:rPr>
                <w:rFonts w:ascii="Arial" w:eastAsiaTheme="minorEastAsia" w:hAnsi="Arial" w:cs="Arial"/>
              </w:rPr>
              <w:t xml:space="preserve">and </w:t>
            </w:r>
            <w:r w:rsidR="0021597B">
              <w:rPr>
                <w:rFonts w:ascii="Arial" w:eastAsiaTheme="minorEastAsia" w:hAnsi="Arial" w:cs="Arial"/>
              </w:rPr>
              <w:t>to train</w:t>
            </w:r>
            <w:r w:rsidR="00F15F6D">
              <w:rPr>
                <w:rFonts w:ascii="Arial" w:eastAsiaTheme="minorEastAsia" w:hAnsi="Arial" w:cs="Arial"/>
              </w:rPr>
              <w:t xml:space="preserve"> </w:t>
            </w:r>
            <w:r w:rsidR="003F3C03">
              <w:rPr>
                <w:rFonts w:ascii="Arial" w:eastAsiaTheme="minorEastAsia" w:hAnsi="Arial" w:cs="Arial"/>
              </w:rPr>
              <w:t xml:space="preserve">and build capacity </w:t>
            </w:r>
            <w:r w:rsidR="0021597B">
              <w:rPr>
                <w:rFonts w:ascii="Arial" w:eastAsiaTheme="minorEastAsia" w:hAnsi="Arial" w:cs="Arial"/>
              </w:rPr>
              <w:t xml:space="preserve">of others as smokefree champions to </w:t>
            </w:r>
            <w:r w:rsidR="00511CEB">
              <w:rPr>
                <w:rFonts w:ascii="Arial" w:eastAsiaTheme="minorEastAsia" w:hAnsi="Arial" w:cs="Arial"/>
              </w:rPr>
              <w:t xml:space="preserve">increase </w:t>
            </w:r>
            <w:r w:rsidR="00001BCE">
              <w:rPr>
                <w:rFonts w:ascii="Arial" w:eastAsiaTheme="minorEastAsia" w:hAnsi="Arial" w:cs="Arial"/>
              </w:rPr>
              <w:t>uptake of the stop smoking service</w:t>
            </w:r>
            <w:r w:rsidR="67B3B286" w:rsidRPr="6077E449">
              <w:rPr>
                <w:rFonts w:ascii="Arial" w:eastAsiaTheme="minorEastAsia" w:hAnsi="Arial" w:cs="Arial"/>
              </w:rPr>
              <w:t>.</w:t>
            </w:r>
          </w:p>
          <w:p w14:paraId="56604716" w14:textId="1E1F07DF" w:rsidR="6077E449" w:rsidRDefault="6077E449" w:rsidP="6077E449">
            <w:pPr>
              <w:pStyle w:val="ListParagraph"/>
              <w:shd w:val="clear" w:color="auto" w:fill="FFFFFF" w:themeFill="background1"/>
              <w:spacing w:before="80" w:after="120"/>
              <w:rPr>
                <w:rFonts w:ascii="Arial" w:eastAsiaTheme="minorEastAsia" w:hAnsi="Arial" w:cs="Arial"/>
              </w:rPr>
            </w:pPr>
          </w:p>
          <w:p w14:paraId="71AFC6AA" w14:textId="76020EB7" w:rsidR="0090129E" w:rsidRPr="002E0E02" w:rsidRDefault="23243E00" w:rsidP="5AE774D3">
            <w:pPr>
              <w:pStyle w:val="ListParagraph"/>
              <w:numPr>
                <w:ilvl w:val="0"/>
                <w:numId w:val="53"/>
              </w:numPr>
              <w:shd w:val="clear" w:color="auto" w:fill="FFFFFF" w:themeFill="background1"/>
              <w:spacing w:before="80" w:after="120"/>
              <w:rPr>
                <w:rFonts w:ascii="Arial" w:eastAsiaTheme="minorEastAsia" w:hAnsi="Arial" w:cs="Arial"/>
                <w:b/>
                <w:bCs/>
              </w:rPr>
            </w:pPr>
            <w:r w:rsidRPr="33F9B9D5">
              <w:rPr>
                <w:rFonts w:ascii="Arial" w:eastAsiaTheme="minorEastAsia" w:hAnsi="Arial" w:cs="Arial"/>
                <w:b/>
                <w:bCs/>
              </w:rPr>
              <w:t xml:space="preserve">PH-007 </w:t>
            </w:r>
            <w:r w:rsidR="001708A2">
              <w:rPr>
                <w:rFonts w:ascii="Arial" w:eastAsiaTheme="minorEastAsia" w:hAnsi="Arial" w:cs="Arial"/>
              </w:rPr>
              <w:t>–</w:t>
            </w:r>
            <w:r w:rsidRPr="33F9B9D5">
              <w:rPr>
                <w:rFonts w:ascii="Arial" w:eastAsiaTheme="minorEastAsia" w:hAnsi="Arial" w:cs="Arial"/>
              </w:rPr>
              <w:t xml:space="preserve"> </w:t>
            </w:r>
            <w:r w:rsidR="001708A2">
              <w:rPr>
                <w:rFonts w:ascii="Arial" w:eastAsiaTheme="minorEastAsia" w:hAnsi="Arial" w:cs="Arial"/>
              </w:rPr>
              <w:t xml:space="preserve">Although data has been delayed </w:t>
            </w:r>
            <w:r w:rsidR="00BB5D58">
              <w:rPr>
                <w:rFonts w:ascii="Arial" w:eastAsiaTheme="minorEastAsia" w:hAnsi="Arial" w:cs="Arial"/>
              </w:rPr>
              <w:t>previously reported quarterly data over the course of 2023-24 for y</w:t>
            </w:r>
            <w:r w:rsidRPr="33F9B9D5">
              <w:rPr>
                <w:rFonts w:ascii="Arial" w:eastAsiaTheme="minorEastAsia" w:hAnsi="Arial" w:cs="Arial"/>
              </w:rPr>
              <w:t xml:space="preserve">oung </w:t>
            </w:r>
            <w:r w:rsidR="00BB5D58">
              <w:rPr>
                <w:rFonts w:ascii="Arial" w:eastAsiaTheme="minorEastAsia" w:hAnsi="Arial" w:cs="Arial"/>
              </w:rPr>
              <w:t>p</w:t>
            </w:r>
            <w:r w:rsidRPr="33F9B9D5">
              <w:rPr>
                <w:rFonts w:ascii="Arial" w:eastAsiaTheme="minorEastAsia" w:hAnsi="Arial" w:cs="Arial"/>
              </w:rPr>
              <w:t>eople</w:t>
            </w:r>
            <w:r w:rsidR="00BB5D58">
              <w:rPr>
                <w:rFonts w:ascii="Arial" w:eastAsiaTheme="minorEastAsia" w:hAnsi="Arial" w:cs="Arial"/>
              </w:rPr>
              <w:t>’</w:t>
            </w:r>
            <w:r w:rsidRPr="33F9B9D5">
              <w:rPr>
                <w:rFonts w:ascii="Arial" w:eastAsiaTheme="minorEastAsia" w:hAnsi="Arial" w:cs="Arial"/>
              </w:rPr>
              <w:t xml:space="preserve">s alcohol </w:t>
            </w:r>
            <w:r w:rsidRPr="2EC2C473">
              <w:rPr>
                <w:rFonts w:ascii="Arial" w:eastAsiaTheme="minorEastAsia" w:hAnsi="Arial" w:cs="Arial"/>
              </w:rPr>
              <w:t>admissions</w:t>
            </w:r>
            <w:r w:rsidRPr="33F9B9D5">
              <w:rPr>
                <w:rFonts w:ascii="Arial" w:eastAsiaTheme="minorEastAsia" w:hAnsi="Arial" w:cs="Arial"/>
              </w:rPr>
              <w:t xml:space="preserve"> continue</w:t>
            </w:r>
            <w:r w:rsidR="00BB5D58">
              <w:rPr>
                <w:rFonts w:ascii="Arial" w:eastAsiaTheme="minorEastAsia" w:hAnsi="Arial" w:cs="Arial"/>
              </w:rPr>
              <w:t>d</w:t>
            </w:r>
            <w:r w:rsidRPr="33F9B9D5">
              <w:rPr>
                <w:rFonts w:ascii="Arial" w:eastAsiaTheme="minorEastAsia" w:hAnsi="Arial" w:cs="Arial"/>
              </w:rPr>
              <w:t xml:space="preserve"> </w:t>
            </w:r>
            <w:r w:rsidR="0117DC53" w:rsidRPr="7F9D70C3">
              <w:rPr>
                <w:rFonts w:ascii="Arial" w:eastAsiaTheme="minorEastAsia" w:hAnsi="Arial" w:cs="Arial"/>
              </w:rPr>
              <w:t xml:space="preserve">on </w:t>
            </w:r>
            <w:r w:rsidRPr="7F9D70C3">
              <w:rPr>
                <w:rFonts w:ascii="Arial" w:eastAsiaTheme="minorEastAsia" w:hAnsi="Arial" w:cs="Arial"/>
              </w:rPr>
              <w:t xml:space="preserve">a </w:t>
            </w:r>
            <w:r w:rsidRPr="33F9B9D5">
              <w:rPr>
                <w:rFonts w:ascii="Arial" w:eastAsiaTheme="minorEastAsia" w:hAnsi="Arial" w:cs="Arial"/>
              </w:rPr>
              <w:t>general downward trend</w:t>
            </w:r>
            <w:r w:rsidR="5D54A8F9" w:rsidRPr="7F9D70C3">
              <w:rPr>
                <w:rFonts w:ascii="Arial" w:eastAsiaTheme="minorEastAsia" w:hAnsi="Arial" w:cs="Arial"/>
              </w:rPr>
              <w:t>,</w:t>
            </w:r>
            <w:r w:rsidRPr="33F9B9D5">
              <w:rPr>
                <w:rFonts w:ascii="Arial" w:eastAsiaTheme="minorEastAsia" w:hAnsi="Arial" w:cs="Arial"/>
              </w:rPr>
              <w:t xml:space="preserve"> and we are close to target. The </w:t>
            </w:r>
            <w:r w:rsidR="00BB5D58">
              <w:rPr>
                <w:rFonts w:ascii="Arial" w:eastAsiaTheme="minorEastAsia" w:hAnsi="Arial" w:cs="Arial"/>
              </w:rPr>
              <w:t>c</w:t>
            </w:r>
            <w:r w:rsidRPr="7F9D70C3">
              <w:rPr>
                <w:rFonts w:ascii="Arial" w:eastAsiaTheme="minorEastAsia" w:hAnsi="Arial" w:cs="Arial"/>
              </w:rPr>
              <w:t>ouncil</w:t>
            </w:r>
            <w:r w:rsidR="00BB5D58">
              <w:rPr>
                <w:rFonts w:ascii="Arial" w:eastAsiaTheme="minorEastAsia" w:hAnsi="Arial" w:cs="Arial"/>
              </w:rPr>
              <w:t>’</w:t>
            </w:r>
            <w:r w:rsidRPr="7F9D70C3">
              <w:rPr>
                <w:rFonts w:ascii="Arial" w:eastAsiaTheme="minorEastAsia" w:hAnsi="Arial" w:cs="Arial"/>
              </w:rPr>
              <w:t>s</w:t>
            </w:r>
            <w:r w:rsidRPr="33F9B9D5">
              <w:rPr>
                <w:rFonts w:ascii="Arial" w:eastAsiaTheme="minorEastAsia" w:hAnsi="Arial" w:cs="Arial"/>
              </w:rPr>
              <w:t xml:space="preserve"> Young Peoples Drug and Alcohol team (YPDAAT) have reviewed the data in detail with Public Health and NHS partners to understand which young people are at risk so that they can better provide support. At risk groups generally include those who have already attended hospital, Looked After</w:t>
            </w:r>
            <w:r w:rsidR="4E560C41" w:rsidRPr="64D97772">
              <w:rPr>
                <w:rFonts w:ascii="Arial" w:eastAsiaTheme="minorEastAsia" w:hAnsi="Arial" w:cs="Arial"/>
              </w:rPr>
              <w:t xml:space="preserve"> Children</w:t>
            </w:r>
            <w:r w:rsidRPr="33F9B9D5">
              <w:rPr>
                <w:rFonts w:ascii="Arial" w:eastAsiaTheme="minorEastAsia" w:hAnsi="Arial" w:cs="Arial"/>
              </w:rPr>
              <w:t xml:space="preserve"> or a child in need, those in contact with the criminal justice system, those suspended or excluded from school, and young people affected by domestic abuse, mental ill health or the use of alcohol/drugs by a close family member. There are </w:t>
            </w:r>
            <w:bookmarkStart w:id="14" w:name="_Int_R5qO337k"/>
            <w:r w:rsidRPr="33F9B9D5">
              <w:rPr>
                <w:rFonts w:ascii="Arial" w:eastAsiaTheme="minorEastAsia" w:hAnsi="Arial" w:cs="Arial"/>
              </w:rPr>
              <w:t>a number of</w:t>
            </w:r>
            <w:bookmarkEnd w:id="14"/>
            <w:r w:rsidRPr="33F9B9D5">
              <w:rPr>
                <w:rFonts w:ascii="Arial" w:eastAsiaTheme="minorEastAsia" w:hAnsi="Arial" w:cs="Arial"/>
              </w:rPr>
              <w:t xml:space="preserve"> repeat attenders. Pathways from hospital are being reviewed in partnership with 0-19 and health colleagues and more young people are </w:t>
            </w:r>
            <w:r w:rsidR="56EAEAEF" w:rsidRPr="10DA5675">
              <w:rPr>
                <w:rFonts w:ascii="Arial" w:eastAsiaTheme="minorEastAsia" w:hAnsi="Arial" w:cs="Arial"/>
              </w:rPr>
              <w:t>getting</w:t>
            </w:r>
            <w:r w:rsidRPr="33F9B9D5">
              <w:rPr>
                <w:rFonts w:ascii="Arial" w:eastAsiaTheme="minorEastAsia" w:hAnsi="Arial" w:cs="Arial"/>
              </w:rPr>
              <w:t xml:space="preserve"> the support they need in the community.</w:t>
            </w:r>
          </w:p>
          <w:p w14:paraId="5F90372D" w14:textId="268B8FA3" w:rsidR="0090129E" w:rsidRPr="002E0E02" w:rsidRDefault="0090129E" w:rsidP="269ECCA5">
            <w:pPr>
              <w:pStyle w:val="ListParagraph"/>
              <w:shd w:val="clear" w:color="auto" w:fill="FFFFFF" w:themeFill="background1"/>
              <w:spacing w:before="80" w:after="120"/>
              <w:rPr>
                <w:rFonts w:ascii="Arial" w:eastAsiaTheme="minorEastAsia" w:hAnsi="Arial" w:cs="Arial"/>
                <w:b/>
                <w:bCs/>
              </w:rPr>
            </w:pPr>
          </w:p>
          <w:p w14:paraId="61657515" w14:textId="2533A3E2" w:rsidR="0090129E" w:rsidRPr="002E0E02" w:rsidRDefault="6D330636" w:rsidP="287EDAD1">
            <w:pPr>
              <w:pStyle w:val="ListParagraph"/>
              <w:numPr>
                <w:ilvl w:val="0"/>
                <w:numId w:val="53"/>
              </w:numPr>
              <w:shd w:val="clear" w:color="auto" w:fill="FFFFFF" w:themeFill="background1"/>
              <w:spacing w:before="80" w:after="120"/>
              <w:rPr>
                <w:rFonts w:ascii="Arial" w:hAnsi="Arial" w:cs="Arial"/>
              </w:rPr>
            </w:pPr>
            <w:r w:rsidRPr="5B896840">
              <w:rPr>
                <w:rFonts w:ascii="Arial" w:eastAsiaTheme="minorEastAsia" w:hAnsi="Arial" w:cs="Arial"/>
                <w:b/>
                <w:bCs/>
              </w:rPr>
              <w:t>PH-</w:t>
            </w:r>
            <w:r w:rsidR="00B36BBA" w:rsidRPr="5B896840">
              <w:rPr>
                <w:rFonts w:ascii="Arial" w:eastAsiaTheme="minorEastAsia" w:hAnsi="Arial" w:cs="Arial"/>
                <w:b/>
                <w:bCs/>
              </w:rPr>
              <w:t xml:space="preserve"> 00</w:t>
            </w:r>
            <w:r w:rsidR="00290BCD" w:rsidRPr="5B896840">
              <w:rPr>
                <w:rFonts w:ascii="Arial" w:eastAsiaTheme="minorEastAsia" w:hAnsi="Arial" w:cs="Arial"/>
                <w:b/>
                <w:bCs/>
              </w:rPr>
              <w:t>8</w:t>
            </w:r>
            <w:r w:rsidR="00290BCD" w:rsidRPr="1F289573">
              <w:rPr>
                <w:rFonts w:ascii="Arial" w:eastAsiaTheme="minorEastAsia" w:hAnsi="Arial" w:cs="Arial"/>
              </w:rPr>
              <w:t xml:space="preserve"> – </w:t>
            </w:r>
            <w:r w:rsidR="04DDC50B" w:rsidRPr="1F289573">
              <w:rPr>
                <w:rFonts w:ascii="Arial" w:eastAsiaTheme="minorEastAsia" w:hAnsi="Arial" w:cs="Arial"/>
              </w:rPr>
              <w:t>As part of the UK routine schedule children should have received 2 doses of MMR vaccine by the age of 5 years. Although St Helens continues to have a better uptake of MMR2 than regionally and nationally, uptake decreased in Q</w:t>
            </w:r>
            <w:r w:rsidR="006C5EC7">
              <w:rPr>
                <w:rFonts w:ascii="Arial" w:eastAsiaTheme="minorEastAsia" w:hAnsi="Arial" w:cs="Arial"/>
              </w:rPr>
              <w:t xml:space="preserve">uarter </w:t>
            </w:r>
            <w:r w:rsidR="04DDC50B" w:rsidRPr="1F289573">
              <w:rPr>
                <w:rFonts w:ascii="Arial" w:eastAsiaTheme="minorEastAsia" w:hAnsi="Arial" w:cs="Arial"/>
              </w:rPr>
              <w:t>4 (it had increased in Q</w:t>
            </w:r>
            <w:r w:rsidR="006C5EC7">
              <w:rPr>
                <w:rFonts w:ascii="Arial" w:eastAsiaTheme="minorEastAsia" w:hAnsi="Arial" w:cs="Arial"/>
              </w:rPr>
              <w:t xml:space="preserve">uarter </w:t>
            </w:r>
            <w:r w:rsidR="04DDC50B" w:rsidRPr="1F289573">
              <w:rPr>
                <w:rFonts w:ascii="Arial" w:eastAsiaTheme="minorEastAsia" w:hAnsi="Arial" w:cs="Arial"/>
              </w:rPr>
              <w:t>2 and Q</w:t>
            </w:r>
            <w:r w:rsidR="006C5EC7">
              <w:rPr>
                <w:rFonts w:ascii="Arial" w:eastAsiaTheme="minorEastAsia" w:hAnsi="Arial" w:cs="Arial"/>
              </w:rPr>
              <w:t xml:space="preserve">uarter </w:t>
            </w:r>
            <w:r w:rsidR="04DDC50B" w:rsidRPr="1F289573">
              <w:rPr>
                <w:rFonts w:ascii="Arial" w:eastAsiaTheme="minorEastAsia" w:hAnsi="Arial" w:cs="Arial"/>
              </w:rPr>
              <w:t>3).  This may indicate that local action such as locally designed posters</w:t>
            </w:r>
            <w:r w:rsidR="21C4074C" w:rsidRPr="3E6520D1">
              <w:rPr>
                <w:rFonts w:ascii="Arial" w:eastAsiaTheme="minorEastAsia" w:hAnsi="Arial" w:cs="Arial"/>
              </w:rPr>
              <w:t>,</w:t>
            </w:r>
            <w:r w:rsidR="04DDC50B" w:rsidRPr="1F289573">
              <w:rPr>
                <w:rFonts w:ascii="Arial" w:eastAsiaTheme="minorEastAsia" w:hAnsi="Arial" w:cs="Arial"/>
              </w:rPr>
              <w:t xml:space="preserve"> leaflets</w:t>
            </w:r>
            <w:r w:rsidR="0ADC0C15" w:rsidRPr="3E6520D1">
              <w:rPr>
                <w:rFonts w:ascii="Arial" w:eastAsiaTheme="minorEastAsia" w:hAnsi="Arial" w:cs="Arial"/>
              </w:rPr>
              <w:t>,</w:t>
            </w:r>
            <w:r w:rsidR="04DDC50B" w:rsidRPr="1F289573">
              <w:rPr>
                <w:rFonts w:ascii="Arial" w:eastAsiaTheme="minorEastAsia" w:hAnsi="Arial" w:cs="Arial"/>
              </w:rPr>
              <w:t xml:space="preserve"> and pop-up stands </w:t>
            </w:r>
            <w:r w:rsidR="74CC46DA" w:rsidRPr="3E6520D1">
              <w:rPr>
                <w:rFonts w:ascii="Arial" w:eastAsiaTheme="minorEastAsia" w:hAnsi="Arial" w:cs="Arial"/>
              </w:rPr>
              <w:t>disseminated</w:t>
            </w:r>
            <w:r w:rsidR="04DDC50B" w:rsidRPr="1F289573">
              <w:rPr>
                <w:rFonts w:ascii="Arial" w:eastAsiaTheme="minorEastAsia" w:hAnsi="Arial" w:cs="Arial"/>
              </w:rPr>
              <w:t xml:space="preserve"> via nurseries and </w:t>
            </w:r>
            <w:r w:rsidR="22091984" w:rsidRPr="3E6520D1">
              <w:rPr>
                <w:rFonts w:ascii="Arial" w:eastAsiaTheme="minorEastAsia" w:hAnsi="Arial" w:cs="Arial"/>
              </w:rPr>
              <w:t>children's</w:t>
            </w:r>
            <w:r w:rsidR="04DDC50B" w:rsidRPr="1F289573">
              <w:rPr>
                <w:rFonts w:ascii="Arial" w:eastAsiaTheme="minorEastAsia" w:hAnsi="Arial" w:cs="Arial"/>
              </w:rPr>
              <w:t xml:space="preserve"> centres had more impact in increasing vaccine uptake than some of the national communications in Q</w:t>
            </w:r>
            <w:r w:rsidR="006C5EC7">
              <w:rPr>
                <w:rFonts w:ascii="Arial" w:eastAsiaTheme="minorEastAsia" w:hAnsi="Arial" w:cs="Arial"/>
              </w:rPr>
              <w:t xml:space="preserve">uarter </w:t>
            </w:r>
            <w:r w:rsidR="04DDC50B" w:rsidRPr="1F289573">
              <w:rPr>
                <w:rFonts w:ascii="Arial" w:eastAsiaTheme="minorEastAsia" w:hAnsi="Arial" w:cs="Arial"/>
              </w:rPr>
              <w:t>4.  The drop in uptake in Q</w:t>
            </w:r>
            <w:r w:rsidR="0088232B">
              <w:rPr>
                <w:rFonts w:ascii="Arial" w:eastAsiaTheme="minorEastAsia" w:hAnsi="Arial" w:cs="Arial"/>
              </w:rPr>
              <w:t xml:space="preserve">uarter </w:t>
            </w:r>
            <w:r w:rsidR="04DDC50B" w:rsidRPr="1F289573">
              <w:rPr>
                <w:rFonts w:ascii="Arial" w:eastAsiaTheme="minorEastAsia" w:hAnsi="Arial" w:cs="Arial"/>
              </w:rPr>
              <w:t xml:space="preserve">4 and that we have still not reached the level recommended by the World Health </w:t>
            </w:r>
            <w:r w:rsidR="04DDC50B" w:rsidRPr="6CCF2269">
              <w:rPr>
                <w:rFonts w:ascii="Arial" w:eastAsiaTheme="minorEastAsia" w:hAnsi="Arial" w:cs="Arial"/>
              </w:rPr>
              <w:t>Organisation</w:t>
            </w:r>
            <w:r w:rsidR="04DDC50B" w:rsidRPr="1F289573">
              <w:rPr>
                <w:rFonts w:ascii="Arial" w:eastAsiaTheme="minorEastAsia" w:hAnsi="Arial" w:cs="Arial"/>
              </w:rPr>
              <w:t xml:space="preserve"> for herd immunity (95%) - and measles is still </w:t>
            </w:r>
            <w:r w:rsidR="63E21593" w:rsidRPr="6CCF2269">
              <w:rPr>
                <w:rFonts w:ascii="Arial" w:eastAsiaTheme="minorEastAsia" w:hAnsi="Arial" w:cs="Arial"/>
              </w:rPr>
              <w:t>circulating</w:t>
            </w:r>
            <w:r w:rsidR="04DDC50B" w:rsidRPr="1F289573">
              <w:rPr>
                <w:rFonts w:ascii="Arial" w:eastAsiaTheme="minorEastAsia" w:hAnsi="Arial" w:cs="Arial"/>
              </w:rPr>
              <w:t>; means efforts to improve MMR uptake remain a priority.</w:t>
            </w:r>
          </w:p>
          <w:p w14:paraId="5F965F38" w14:textId="15DA8EDB" w:rsidR="0090129E" w:rsidRPr="002E0E02" w:rsidRDefault="0090129E" w:rsidP="00A66FC9">
            <w:pPr>
              <w:pStyle w:val="ListParagraph"/>
              <w:shd w:val="clear" w:color="auto" w:fill="FFFFFF" w:themeFill="background1"/>
              <w:spacing w:before="80" w:after="120"/>
              <w:rPr>
                <w:rFonts w:ascii="Arial" w:hAnsi="Arial" w:cs="Arial"/>
                <w:color w:val="FF0000"/>
                <w:lang w:eastAsia="en-GB"/>
              </w:rPr>
            </w:pPr>
          </w:p>
        </w:tc>
      </w:tr>
    </w:tbl>
    <w:p w14:paraId="0B6C772A" w14:textId="77777777" w:rsidR="00B0379D" w:rsidRDefault="00B0379D" w:rsidP="00B0379D">
      <w:pPr>
        <w:spacing w:after="120" w:line="240" w:lineRule="auto"/>
        <w:jc w:val="both"/>
        <w:rPr>
          <w:rFonts w:ascii="Arial" w:hAnsi="Arial" w:cs="Arial"/>
        </w:rPr>
      </w:pPr>
    </w:p>
    <w:p w14:paraId="5B243397" w14:textId="77777777" w:rsidR="00B0379D" w:rsidRPr="0087655D" w:rsidRDefault="00E75E6D" w:rsidP="00B0379D">
      <w:pPr>
        <w:spacing w:after="120" w:line="240" w:lineRule="auto"/>
        <w:jc w:val="both"/>
        <w:rPr>
          <w:rFonts w:ascii="Arial" w:hAnsi="Arial" w:cs="Arial"/>
        </w:rPr>
        <w:sectPr w:rsidR="00B0379D" w:rsidRPr="0087655D" w:rsidSect="00EC2ED3">
          <w:pgSz w:w="16838" w:h="11906" w:orient="landscape" w:code="9"/>
          <w:pgMar w:top="720" w:right="720" w:bottom="720" w:left="720" w:header="709" w:footer="709" w:gutter="0"/>
          <w:cols w:space="708"/>
          <w:docGrid w:linePitch="360"/>
        </w:sectPr>
      </w:pPr>
      <w:r>
        <w:rPr>
          <w:rFonts w:ascii="Arial" w:hAnsi="Arial" w:cs="Arial"/>
        </w:rPr>
        <w:t>For more information about individual performance indicators that support the achievement of these outcomes please see the scorecard.</w:t>
      </w:r>
    </w:p>
    <w:p w14:paraId="16DBFD94" w14:textId="77777777" w:rsidR="00B0379D" w:rsidRPr="00625FE8" w:rsidRDefault="00E75E6D" w:rsidP="00B0379D">
      <w:pPr>
        <w:pStyle w:val="Heading2"/>
        <w:rPr>
          <w:b/>
        </w:rPr>
      </w:pPr>
      <w:bookmarkStart w:id="15" w:name="_Toc174698099"/>
      <w:r w:rsidRPr="00CA58E1">
        <w:rPr>
          <w:b/>
          <w:noProof/>
          <w:color w:val="17B0DE"/>
          <w:sz w:val="32"/>
          <w:szCs w:val="32"/>
        </w:rPr>
        <w:drawing>
          <wp:anchor distT="0" distB="0" distL="114300" distR="114300" simplePos="0" relativeHeight="251658245" behindDoc="1" locked="0" layoutInCell="1" allowOverlap="1" wp14:anchorId="34FE1384" wp14:editId="123F7F21">
            <wp:simplePos x="0" y="0"/>
            <wp:positionH relativeFrom="column">
              <wp:posOffset>5271770</wp:posOffset>
            </wp:positionH>
            <wp:positionV relativeFrom="paragraph">
              <wp:posOffset>3810</wp:posOffset>
            </wp:positionV>
            <wp:extent cx="1358265" cy="1358265"/>
            <wp:effectExtent l="0" t="0" r="0" b="0"/>
            <wp:wrapTight wrapText="bothSides">
              <wp:wrapPolygon edited="0">
                <wp:start x="6362" y="909"/>
                <wp:lineTo x="4847" y="2727"/>
                <wp:lineTo x="3938" y="4544"/>
                <wp:lineTo x="3332" y="11209"/>
                <wp:lineTo x="3938" y="16056"/>
                <wp:lineTo x="6362" y="20600"/>
                <wp:lineTo x="14844" y="20600"/>
                <wp:lineTo x="17268" y="16056"/>
                <wp:lineTo x="17571" y="11209"/>
                <wp:lineTo x="17268" y="5150"/>
                <wp:lineTo x="16359" y="3029"/>
                <wp:lineTo x="14844" y="909"/>
                <wp:lineTo x="6362" y="909"/>
              </wp:wrapPolygon>
            </wp:wrapTight>
            <wp:docPr id="1790589693" name="Picture 32" descr="P7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89693" name="Picture 1790589693" descr="P762#y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5826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8E1">
        <w:rPr>
          <w:rStyle w:val="normaltextrun"/>
          <w:b/>
          <w:color w:val="17B0DE"/>
          <w:sz w:val="32"/>
          <w:szCs w:val="32"/>
        </w:rPr>
        <w:t>Priority 2 – Promote good health, independence, and care across our communities</w:t>
      </w:r>
      <w:r>
        <w:rPr>
          <w:rStyle w:val="normaltextrun"/>
          <w:b/>
          <w:bCs/>
          <w:color w:val="17B0DE"/>
          <w:sz w:val="24"/>
          <w:szCs w:val="24"/>
        </w:rPr>
        <w:t>.</w:t>
      </w:r>
      <w:bookmarkEnd w:id="15"/>
      <w:r w:rsidRPr="00625FE8">
        <w:rPr>
          <w:rStyle w:val="normaltextrun"/>
          <w:b/>
        </w:rPr>
        <w:t> </w:t>
      </w:r>
      <w:r w:rsidRPr="00625FE8">
        <w:rPr>
          <w:rStyle w:val="eop"/>
          <w:b/>
        </w:rPr>
        <w:t> </w:t>
      </w:r>
    </w:p>
    <w:p w14:paraId="109BC274" w14:textId="77777777" w:rsidR="00B0379D" w:rsidRDefault="00E75E6D" w:rsidP="00B0379D">
      <w:pPr>
        <w:pStyle w:val="paragraph"/>
        <w:spacing w:before="0" w:beforeAutospacing="0" w:after="0" w:afterAutospacing="0"/>
        <w:textAlignment w:val="baseline"/>
        <w:rPr>
          <w:rFonts w:ascii="Arial" w:hAnsi="Arial" w:cs="Arial"/>
          <w:sz w:val="22"/>
          <w:szCs w:val="22"/>
        </w:rPr>
      </w:pPr>
      <w:r>
        <w:rPr>
          <w:rStyle w:val="eop"/>
          <w:rFonts w:ascii="Calibri" w:hAnsi="Calibri" w:cs="Calibri"/>
          <w:color w:val="D91DCC"/>
          <w:sz w:val="22"/>
          <w:szCs w:val="22"/>
        </w:rPr>
        <w:t> </w:t>
      </w:r>
    </w:p>
    <w:p w14:paraId="427F8BA5" w14:textId="77777777" w:rsidR="00B0379D" w:rsidRPr="00E7284A" w:rsidRDefault="00E75E6D" w:rsidP="00B0379D">
      <w:pPr>
        <w:pStyle w:val="paragraph"/>
        <w:spacing w:before="0" w:beforeAutospacing="0" w:after="0" w:afterAutospacing="0"/>
        <w:textAlignment w:val="baseline"/>
        <w:rPr>
          <w:rStyle w:val="eop"/>
          <w:rFonts w:ascii="Arial" w:hAnsi="Arial" w:cs="Arial"/>
          <w:color w:val="17B0DE"/>
          <w:sz w:val="22"/>
          <w:szCs w:val="22"/>
        </w:rPr>
      </w:pPr>
      <w:r>
        <w:rPr>
          <w:rStyle w:val="normaltextrun"/>
          <w:rFonts w:ascii="Arial" w:hAnsi="Arial" w:cs="Arial"/>
          <w:b/>
          <w:bCs/>
          <w:color w:val="17B0DE"/>
          <w:sz w:val="22"/>
          <w:szCs w:val="22"/>
        </w:rPr>
        <w:t>Outcomes</w:t>
      </w:r>
    </w:p>
    <w:p w14:paraId="321D18ED" w14:textId="77777777" w:rsidR="00B0379D" w:rsidRDefault="00B0379D" w:rsidP="00B0379D">
      <w:pPr>
        <w:pStyle w:val="paragraph"/>
        <w:spacing w:before="0" w:beforeAutospacing="0" w:after="0" w:afterAutospacing="0"/>
        <w:textAlignment w:val="baseline"/>
        <w:rPr>
          <w:rFonts w:ascii="Arial" w:hAnsi="Arial" w:cs="Arial"/>
          <w:color w:val="2F5496"/>
          <w:sz w:val="22"/>
          <w:szCs w:val="22"/>
        </w:rPr>
      </w:pPr>
    </w:p>
    <w:p w14:paraId="215209BA" w14:textId="77777777" w:rsidR="00B0379D" w:rsidRDefault="00E75E6D" w:rsidP="00726825">
      <w:pPr>
        <w:pStyle w:val="paragraph"/>
        <w:numPr>
          <w:ilvl w:val="0"/>
          <w:numId w:val="17"/>
        </w:numPr>
        <w:spacing w:before="0" w:beforeAutospacing="0" w:after="120" w:afterAutospacing="0"/>
        <w:ind w:left="1078" w:hanging="794"/>
        <w:rPr>
          <w:rFonts w:ascii="Arial" w:eastAsia="Arial" w:hAnsi="Arial" w:cs="Arial"/>
          <w:color w:val="000000" w:themeColor="text1"/>
          <w:sz w:val="22"/>
          <w:szCs w:val="22"/>
        </w:rPr>
      </w:pPr>
      <w:r w:rsidRPr="4276CE28">
        <w:rPr>
          <w:rStyle w:val="eop"/>
          <w:rFonts w:ascii="Arial" w:eastAsia="Arial" w:hAnsi="Arial" w:cs="Arial"/>
          <w:color w:val="000000" w:themeColor="text1"/>
          <w:sz w:val="22"/>
          <w:szCs w:val="22"/>
        </w:rPr>
        <w:t>People live well independently</w:t>
      </w:r>
    </w:p>
    <w:p w14:paraId="634BDEF0" w14:textId="77777777" w:rsidR="00B0379D" w:rsidRDefault="00E75E6D" w:rsidP="00726825">
      <w:pPr>
        <w:pStyle w:val="paragraph"/>
        <w:numPr>
          <w:ilvl w:val="0"/>
          <w:numId w:val="17"/>
        </w:numPr>
        <w:spacing w:before="0" w:beforeAutospacing="0" w:after="120" w:afterAutospacing="0"/>
        <w:ind w:left="1078" w:hanging="794"/>
        <w:rPr>
          <w:rFonts w:ascii="Arial" w:eastAsia="Arial" w:hAnsi="Arial" w:cs="Arial"/>
          <w:color w:val="000000" w:themeColor="text1"/>
          <w:sz w:val="22"/>
          <w:szCs w:val="22"/>
        </w:rPr>
      </w:pPr>
      <w:r w:rsidRPr="4276CE28">
        <w:rPr>
          <w:rStyle w:val="eop"/>
          <w:rFonts w:ascii="Arial" w:eastAsia="Arial" w:hAnsi="Arial" w:cs="Arial"/>
          <w:color w:val="000000" w:themeColor="text1"/>
          <w:sz w:val="22"/>
          <w:szCs w:val="22"/>
        </w:rPr>
        <w:t>People have a positive experience of health and social care services</w:t>
      </w:r>
    </w:p>
    <w:p w14:paraId="70B48A21" w14:textId="77777777" w:rsidR="00B0379D" w:rsidRDefault="00E75E6D" w:rsidP="00726825">
      <w:pPr>
        <w:pStyle w:val="paragraph"/>
        <w:numPr>
          <w:ilvl w:val="0"/>
          <w:numId w:val="18"/>
        </w:numPr>
        <w:spacing w:before="0" w:beforeAutospacing="0" w:after="120" w:afterAutospacing="0"/>
        <w:ind w:left="1078" w:hanging="794"/>
        <w:rPr>
          <w:rFonts w:ascii="Arial" w:eastAsia="Arial" w:hAnsi="Arial" w:cs="Arial"/>
          <w:color w:val="000000" w:themeColor="text1"/>
          <w:sz w:val="22"/>
          <w:szCs w:val="22"/>
        </w:rPr>
      </w:pPr>
      <w:r w:rsidRPr="4276CE28">
        <w:rPr>
          <w:rStyle w:val="eop"/>
          <w:rFonts w:ascii="Arial" w:eastAsia="Arial" w:hAnsi="Arial" w:cs="Arial"/>
          <w:color w:val="000000" w:themeColor="text1"/>
          <w:sz w:val="22"/>
          <w:szCs w:val="22"/>
        </w:rPr>
        <w:t>People’s physical and mental wellbeing improves</w:t>
      </w:r>
    </w:p>
    <w:p w14:paraId="5924183C" w14:textId="77777777" w:rsidR="00B0379D" w:rsidRDefault="00B0379D" w:rsidP="00B0379D">
      <w:pPr>
        <w:pStyle w:val="paragraph"/>
        <w:spacing w:before="0" w:beforeAutospacing="0" w:after="0" w:afterAutospacing="0"/>
        <w:textAlignment w:val="baseline"/>
        <w:rPr>
          <w:rStyle w:val="normaltextrun"/>
          <w:rFonts w:ascii="Arial" w:hAnsi="Arial" w:cs="Arial"/>
          <w:sz w:val="22"/>
          <w:szCs w:val="22"/>
        </w:rPr>
      </w:pPr>
    </w:p>
    <w:p w14:paraId="58C2A690" w14:textId="77777777" w:rsidR="00B0379D" w:rsidRPr="00D84108" w:rsidRDefault="00E75E6D" w:rsidP="00B0379D">
      <w:pPr>
        <w:pStyle w:val="ListBullet"/>
        <w:spacing w:after="120" w:line="240" w:lineRule="auto"/>
        <w:contextualSpacing w:val="0"/>
        <w:rPr>
          <w:rStyle w:val="normaltextrun"/>
          <w:rFonts w:ascii="Arial" w:hAnsi="Arial" w:cs="Arial"/>
          <w:b/>
          <w:bCs/>
          <w:color w:val="17B0DE"/>
          <w:sz w:val="24"/>
          <w:szCs w:val="24"/>
        </w:rPr>
      </w:pPr>
      <w:r w:rsidRPr="00D84108">
        <w:rPr>
          <w:rStyle w:val="normaltextrun"/>
          <w:rFonts w:ascii="Arial" w:hAnsi="Arial" w:cs="Arial"/>
          <w:b/>
          <w:bCs/>
          <w:color w:val="17B0DE"/>
          <w:sz w:val="24"/>
          <w:szCs w:val="24"/>
        </w:rPr>
        <w:t>Overview of priority performance</w:t>
      </w:r>
    </w:p>
    <w:p w14:paraId="3E7CCA50" w14:textId="07054A8F" w:rsidR="00B0379D" w:rsidRPr="00451AB5" w:rsidRDefault="00E75E6D" w:rsidP="00B0379D">
      <w:pPr>
        <w:spacing w:after="240" w:line="240" w:lineRule="auto"/>
        <w:jc w:val="both"/>
        <w:rPr>
          <w:rFonts w:ascii="Arial" w:hAnsi="Arial" w:cs="Arial"/>
        </w:rPr>
      </w:pPr>
      <w:r w:rsidRPr="00B8AFBC">
        <w:rPr>
          <w:rFonts w:ascii="Arial" w:hAnsi="Arial" w:cs="Arial"/>
        </w:rPr>
        <w:t xml:space="preserve">The tables below show provide an overview of performance at </w:t>
      </w:r>
      <w:r w:rsidR="00D230E5" w:rsidRPr="00B8AFBC">
        <w:rPr>
          <w:rFonts w:ascii="Arial" w:hAnsi="Arial" w:cs="Arial"/>
        </w:rPr>
        <w:t>Q</w:t>
      </w:r>
      <w:r w:rsidR="00A363F7">
        <w:rPr>
          <w:rFonts w:ascii="Arial" w:hAnsi="Arial" w:cs="Arial"/>
        </w:rPr>
        <w:t>ua</w:t>
      </w:r>
      <w:r w:rsidR="00607158">
        <w:rPr>
          <w:rFonts w:ascii="Arial" w:hAnsi="Arial" w:cs="Arial"/>
        </w:rPr>
        <w:t xml:space="preserve">rter </w:t>
      </w:r>
      <w:r w:rsidR="00D230E5" w:rsidRPr="00B8AFBC">
        <w:rPr>
          <w:rFonts w:ascii="Arial" w:hAnsi="Arial" w:cs="Arial"/>
        </w:rPr>
        <w:t>1 202</w:t>
      </w:r>
      <w:r w:rsidR="00BE7ECD">
        <w:rPr>
          <w:rFonts w:ascii="Arial" w:hAnsi="Arial" w:cs="Arial"/>
        </w:rPr>
        <w:t>4</w:t>
      </w:r>
      <w:r w:rsidR="006F6B04">
        <w:rPr>
          <w:rFonts w:ascii="Arial" w:hAnsi="Arial" w:cs="Arial"/>
        </w:rPr>
        <w:t>-</w:t>
      </w:r>
      <w:r w:rsidR="003826DE">
        <w:rPr>
          <w:rFonts w:ascii="Arial" w:hAnsi="Arial" w:cs="Arial"/>
        </w:rPr>
        <w:t>2</w:t>
      </w:r>
      <w:r w:rsidR="00BE7ECD">
        <w:rPr>
          <w:rFonts w:ascii="Arial" w:hAnsi="Arial" w:cs="Arial"/>
        </w:rPr>
        <w:t>5</w:t>
      </w:r>
      <w:r w:rsidRPr="00B8AFBC">
        <w:rPr>
          <w:rFonts w:ascii="Arial" w:hAnsi="Arial" w:cs="Arial"/>
        </w:rPr>
        <w:t xml:space="preserve"> for the indicators reported.</w:t>
      </w:r>
    </w:p>
    <w:p w14:paraId="546A3D65" w14:textId="77777777" w:rsidR="00B0379D" w:rsidRPr="00A86ECC" w:rsidRDefault="00E75E6D" w:rsidP="00B0379D">
      <w:pPr>
        <w:spacing w:after="120" w:line="240" w:lineRule="auto"/>
        <w:jc w:val="both"/>
        <w:rPr>
          <w:rFonts w:ascii="Arial" w:hAnsi="Arial" w:cs="Arial"/>
          <w:b/>
          <w:bCs/>
          <w:color w:val="17B0DE"/>
        </w:rPr>
      </w:pPr>
      <w:r w:rsidRPr="00A86ECC">
        <w:rPr>
          <w:rFonts w:ascii="Arial" w:hAnsi="Arial" w:cs="Arial"/>
          <w:b/>
          <w:bCs/>
          <w:color w:val="17B0DE"/>
        </w:rPr>
        <w:t>Performance Against Target</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ayout w:type="fixed"/>
        <w:tblLook w:val="04A0" w:firstRow="1" w:lastRow="0" w:firstColumn="1" w:lastColumn="0" w:noHBand="0" w:noVBand="1"/>
      </w:tblPr>
      <w:tblGrid>
        <w:gridCol w:w="2122"/>
        <w:gridCol w:w="2551"/>
        <w:gridCol w:w="2552"/>
        <w:gridCol w:w="2551"/>
      </w:tblGrid>
      <w:tr w:rsidR="00970157" w14:paraId="5175F552" w14:textId="77777777" w:rsidTr="00B8AFBC">
        <w:tc>
          <w:tcPr>
            <w:tcW w:w="2122" w:type="dxa"/>
            <w:shd w:val="clear" w:color="auto" w:fill="17B0DE"/>
          </w:tcPr>
          <w:p w14:paraId="0AC23FD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17B0DE"/>
          </w:tcPr>
          <w:p w14:paraId="591796A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17B0DE"/>
          </w:tcPr>
          <w:p w14:paraId="78FC9C4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17B0DE"/>
          </w:tcPr>
          <w:p w14:paraId="0E042E6E"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32CF05DC" w14:textId="77777777" w:rsidTr="00B8AFBC">
        <w:tc>
          <w:tcPr>
            <w:tcW w:w="2122" w:type="dxa"/>
            <w:shd w:val="clear" w:color="auto" w:fill="FFFFFF" w:themeFill="background1"/>
            <w:vAlign w:val="center"/>
          </w:tcPr>
          <w:p w14:paraId="35512FF1" w14:textId="43E2F4EE" w:rsidR="00B0379D" w:rsidRPr="008061B2" w:rsidRDefault="00AA4C40" w:rsidP="00B8AFBC">
            <w:pPr>
              <w:spacing w:after="120"/>
              <w:jc w:val="center"/>
              <w:rPr>
                <w:rFonts w:ascii="Arial" w:eastAsia="Arial" w:hAnsi="Arial" w:cs="Arial"/>
              </w:rPr>
            </w:pPr>
            <w:r w:rsidRPr="008061B2">
              <w:rPr>
                <w:rFonts w:ascii="Arial" w:eastAsia="Arial" w:hAnsi="Arial" w:cs="Arial"/>
              </w:rPr>
              <w:t>19</w:t>
            </w:r>
          </w:p>
        </w:tc>
        <w:tc>
          <w:tcPr>
            <w:tcW w:w="2551" w:type="dxa"/>
            <w:shd w:val="clear" w:color="auto" w:fill="FFFFFF" w:themeFill="background1"/>
            <w:vAlign w:val="center"/>
          </w:tcPr>
          <w:p w14:paraId="06A912A3" w14:textId="50334C65" w:rsidR="00B0379D" w:rsidRPr="008061B2" w:rsidRDefault="000552D7" w:rsidP="00B8AFBC">
            <w:pPr>
              <w:spacing w:after="120"/>
              <w:jc w:val="center"/>
              <w:rPr>
                <w:rFonts w:ascii="Arial" w:eastAsia="Arial" w:hAnsi="Arial" w:cs="Arial"/>
              </w:rPr>
            </w:pPr>
            <w:r>
              <w:rPr>
                <w:rFonts w:ascii="Arial" w:eastAsia="Arial" w:hAnsi="Arial" w:cs="Arial"/>
              </w:rPr>
              <w:t>4</w:t>
            </w:r>
            <w:r w:rsidR="007110E8" w:rsidRPr="008061B2">
              <w:rPr>
                <w:rFonts w:ascii="Arial" w:eastAsia="Arial" w:hAnsi="Arial" w:cs="Arial"/>
              </w:rPr>
              <w:t>7</w:t>
            </w:r>
            <w:r w:rsidR="00E75E6D" w:rsidRPr="008061B2">
              <w:rPr>
                <w:rFonts w:ascii="Arial" w:eastAsia="Arial" w:hAnsi="Arial" w:cs="Arial"/>
              </w:rPr>
              <w:t>% (</w:t>
            </w:r>
            <w:r w:rsidR="00A315E7">
              <w:rPr>
                <w:rFonts w:ascii="Arial" w:eastAsia="Arial" w:hAnsi="Arial" w:cs="Arial"/>
              </w:rPr>
              <w:t>9</w:t>
            </w:r>
            <w:r w:rsidR="00E75E6D" w:rsidRPr="008061B2">
              <w:rPr>
                <w:rFonts w:ascii="Arial" w:eastAsia="Arial" w:hAnsi="Arial" w:cs="Arial"/>
              </w:rPr>
              <w:t>)</w:t>
            </w:r>
          </w:p>
        </w:tc>
        <w:tc>
          <w:tcPr>
            <w:tcW w:w="2552" w:type="dxa"/>
            <w:shd w:val="clear" w:color="auto" w:fill="FFFFFF" w:themeFill="background1"/>
            <w:vAlign w:val="center"/>
          </w:tcPr>
          <w:p w14:paraId="1F3CA1C7" w14:textId="2A66D690" w:rsidR="00B0379D" w:rsidRPr="008061B2" w:rsidRDefault="00423F51" w:rsidP="00B8AFBC">
            <w:pPr>
              <w:spacing w:after="120"/>
              <w:jc w:val="center"/>
              <w:rPr>
                <w:rFonts w:ascii="Arial" w:eastAsia="Arial" w:hAnsi="Arial" w:cs="Arial"/>
              </w:rPr>
            </w:pPr>
            <w:r>
              <w:rPr>
                <w:rFonts w:ascii="Arial" w:eastAsia="Arial" w:hAnsi="Arial" w:cs="Arial"/>
              </w:rPr>
              <w:t>21</w:t>
            </w:r>
            <w:r w:rsidR="00E75E6D" w:rsidRPr="008061B2">
              <w:rPr>
                <w:rFonts w:ascii="Arial" w:eastAsia="Arial" w:hAnsi="Arial" w:cs="Arial"/>
              </w:rPr>
              <w:t>% (</w:t>
            </w:r>
            <w:r w:rsidR="00A315E7">
              <w:rPr>
                <w:rFonts w:ascii="Arial" w:eastAsia="Arial" w:hAnsi="Arial" w:cs="Arial"/>
              </w:rPr>
              <w:t>4</w:t>
            </w:r>
            <w:r w:rsidR="00E75E6D" w:rsidRPr="008061B2">
              <w:rPr>
                <w:rFonts w:ascii="Arial" w:eastAsia="Arial" w:hAnsi="Arial" w:cs="Arial"/>
              </w:rPr>
              <w:t>)</w:t>
            </w:r>
          </w:p>
        </w:tc>
        <w:tc>
          <w:tcPr>
            <w:tcW w:w="2551" w:type="dxa"/>
            <w:shd w:val="clear" w:color="auto" w:fill="FFFFFF" w:themeFill="background1"/>
            <w:vAlign w:val="center"/>
          </w:tcPr>
          <w:p w14:paraId="7417095C" w14:textId="46421E4A" w:rsidR="00B0379D" w:rsidRPr="008061B2" w:rsidRDefault="008061B2" w:rsidP="00B8AFBC">
            <w:pPr>
              <w:spacing w:after="120"/>
              <w:jc w:val="center"/>
              <w:rPr>
                <w:rFonts w:ascii="Arial" w:eastAsia="Arial" w:hAnsi="Arial" w:cs="Arial"/>
              </w:rPr>
            </w:pPr>
            <w:r w:rsidRPr="008061B2">
              <w:rPr>
                <w:rFonts w:ascii="Arial" w:eastAsia="Arial" w:hAnsi="Arial" w:cs="Arial"/>
              </w:rPr>
              <w:t>32</w:t>
            </w:r>
            <w:r w:rsidR="00E75E6D" w:rsidRPr="008061B2">
              <w:rPr>
                <w:rFonts w:ascii="Arial" w:eastAsia="Arial" w:hAnsi="Arial" w:cs="Arial"/>
              </w:rPr>
              <w:t>% (</w:t>
            </w:r>
            <w:r w:rsidR="00AA4C40" w:rsidRPr="008061B2">
              <w:rPr>
                <w:rFonts w:ascii="Arial" w:eastAsia="Arial" w:hAnsi="Arial" w:cs="Arial"/>
              </w:rPr>
              <w:t>6</w:t>
            </w:r>
            <w:r w:rsidR="00E75E6D" w:rsidRPr="008061B2">
              <w:rPr>
                <w:rFonts w:ascii="Arial" w:eastAsia="Arial" w:hAnsi="Arial" w:cs="Arial"/>
              </w:rPr>
              <w:t>)</w:t>
            </w:r>
          </w:p>
        </w:tc>
      </w:tr>
    </w:tbl>
    <w:p w14:paraId="4B209114" w14:textId="5D987CB9" w:rsidR="00B0379D" w:rsidRPr="004422CE" w:rsidRDefault="00B0379D" w:rsidP="00B0379D">
      <w:pPr>
        <w:spacing w:after="120" w:line="240" w:lineRule="auto"/>
        <w:jc w:val="both"/>
        <w:rPr>
          <w:rFonts w:ascii="Arial" w:hAnsi="Arial" w:cs="Arial"/>
          <w:sz w:val="18"/>
          <w:szCs w:val="18"/>
        </w:rPr>
      </w:pPr>
    </w:p>
    <w:p w14:paraId="3B6A8308" w14:textId="77777777" w:rsidR="00B0379D" w:rsidRPr="00A86ECC" w:rsidRDefault="00E75E6D" w:rsidP="00B0379D">
      <w:pPr>
        <w:spacing w:after="120" w:line="240" w:lineRule="auto"/>
        <w:rPr>
          <w:b/>
          <w:bCs/>
          <w:color w:val="17B0DE"/>
        </w:rPr>
      </w:pPr>
      <w:r w:rsidRPr="00814AE0">
        <w:rPr>
          <w:rFonts w:ascii="Arial" w:hAnsi="Arial" w:cs="Arial"/>
          <w:b/>
          <w:color w:val="17B0DE"/>
        </w:rPr>
        <w:t>The Performance Trend</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ayout w:type="fixed"/>
        <w:tblLook w:val="04A0" w:firstRow="1" w:lastRow="0" w:firstColumn="1" w:lastColumn="0" w:noHBand="0" w:noVBand="1"/>
      </w:tblPr>
      <w:tblGrid>
        <w:gridCol w:w="2122"/>
        <w:gridCol w:w="2551"/>
        <w:gridCol w:w="2552"/>
        <w:gridCol w:w="2551"/>
      </w:tblGrid>
      <w:tr w:rsidR="00970157" w14:paraId="0496C426" w14:textId="77777777" w:rsidTr="00B8AFBC">
        <w:tc>
          <w:tcPr>
            <w:tcW w:w="2122" w:type="dxa"/>
            <w:shd w:val="clear" w:color="auto" w:fill="17B0DE"/>
          </w:tcPr>
          <w:p w14:paraId="0031B0C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2551" w:type="dxa"/>
            <w:shd w:val="clear" w:color="auto" w:fill="17B0DE"/>
          </w:tcPr>
          <w:p w14:paraId="0D57D18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improved on last year</w:t>
            </w:r>
          </w:p>
        </w:tc>
        <w:tc>
          <w:tcPr>
            <w:tcW w:w="2552" w:type="dxa"/>
            <w:shd w:val="clear" w:color="auto" w:fill="17B0DE"/>
          </w:tcPr>
          <w:p w14:paraId="7D0F19D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worse than last year</w:t>
            </w:r>
          </w:p>
        </w:tc>
        <w:tc>
          <w:tcPr>
            <w:tcW w:w="2551" w:type="dxa"/>
            <w:shd w:val="clear" w:color="auto" w:fill="17B0DE"/>
          </w:tcPr>
          <w:p w14:paraId="475E37FD"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the same as last year</w:t>
            </w:r>
          </w:p>
        </w:tc>
      </w:tr>
      <w:tr w:rsidR="00970157" w14:paraId="14425E05" w14:textId="77777777" w:rsidTr="00B8AFBC">
        <w:tc>
          <w:tcPr>
            <w:tcW w:w="2122" w:type="dxa"/>
            <w:shd w:val="clear" w:color="auto" w:fill="FFFFFF" w:themeFill="background1"/>
            <w:vAlign w:val="center"/>
          </w:tcPr>
          <w:p w14:paraId="26EF941D" w14:textId="704FB07F" w:rsidR="00B0379D" w:rsidRPr="005635F3" w:rsidRDefault="00AC3AB0" w:rsidP="00B8AFBC">
            <w:pPr>
              <w:spacing w:after="120"/>
              <w:jc w:val="center"/>
              <w:rPr>
                <w:rFonts w:ascii="Arial" w:eastAsia="Arial" w:hAnsi="Arial" w:cs="Arial"/>
              </w:rPr>
            </w:pPr>
            <w:r w:rsidRPr="005635F3">
              <w:rPr>
                <w:rFonts w:ascii="Arial" w:eastAsia="Arial" w:hAnsi="Arial" w:cs="Arial"/>
              </w:rPr>
              <w:t>19</w:t>
            </w:r>
          </w:p>
        </w:tc>
        <w:tc>
          <w:tcPr>
            <w:tcW w:w="2551" w:type="dxa"/>
            <w:shd w:val="clear" w:color="auto" w:fill="FFFFFF" w:themeFill="background1"/>
            <w:vAlign w:val="center"/>
          </w:tcPr>
          <w:p w14:paraId="5011D9C0" w14:textId="4E4E1DBD" w:rsidR="00B0379D" w:rsidRPr="005635F3" w:rsidRDefault="00FC5349" w:rsidP="00B8AFBC">
            <w:pPr>
              <w:spacing w:after="120"/>
              <w:jc w:val="center"/>
              <w:rPr>
                <w:rFonts w:ascii="Arial" w:eastAsia="Arial" w:hAnsi="Arial" w:cs="Arial"/>
              </w:rPr>
            </w:pPr>
            <w:r w:rsidRPr="005635F3">
              <w:rPr>
                <w:rFonts w:ascii="Arial" w:eastAsia="Arial" w:hAnsi="Arial" w:cs="Arial"/>
              </w:rPr>
              <w:t>32</w:t>
            </w:r>
            <w:r w:rsidR="00E75E6D" w:rsidRPr="005635F3">
              <w:rPr>
                <w:rFonts w:ascii="Arial" w:eastAsia="Arial" w:hAnsi="Arial" w:cs="Arial"/>
              </w:rPr>
              <w:t>% (</w:t>
            </w:r>
            <w:r w:rsidR="00AC3AB0" w:rsidRPr="005635F3">
              <w:rPr>
                <w:rFonts w:ascii="Arial" w:eastAsia="Arial" w:hAnsi="Arial" w:cs="Arial"/>
              </w:rPr>
              <w:t>6</w:t>
            </w:r>
            <w:r w:rsidR="00E75E6D" w:rsidRPr="005635F3">
              <w:rPr>
                <w:rFonts w:ascii="Arial" w:eastAsia="Arial" w:hAnsi="Arial" w:cs="Arial"/>
              </w:rPr>
              <w:t>)</w:t>
            </w:r>
          </w:p>
        </w:tc>
        <w:tc>
          <w:tcPr>
            <w:tcW w:w="2552" w:type="dxa"/>
            <w:shd w:val="clear" w:color="auto" w:fill="FFFFFF" w:themeFill="background1"/>
            <w:vAlign w:val="center"/>
          </w:tcPr>
          <w:p w14:paraId="57DB83F3" w14:textId="389C68C9" w:rsidR="00B0379D" w:rsidRPr="005635F3" w:rsidRDefault="00C00A30" w:rsidP="00B8AFBC">
            <w:pPr>
              <w:spacing w:after="120"/>
              <w:jc w:val="center"/>
              <w:rPr>
                <w:rFonts w:ascii="Arial" w:eastAsia="Arial" w:hAnsi="Arial" w:cs="Arial"/>
              </w:rPr>
            </w:pPr>
            <w:r w:rsidRPr="005635F3">
              <w:rPr>
                <w:rFonts w:ascii="Arial" w:eastAsia="Arial" w:hAnsi="Arial" w:cs="Arial"/>
              </w:rPr>
              <w:t>47</w:t>
            </w:r>
            <w:r w:rsidR="00E75E6D" w:rsidRPr="005635F3">
              <w:rPr>
                <w:rFonts w:ascii="Arial" w:eastAsia="Arial" w:hAnsi="Arial" w:cs="Arial"/>
              </w:rPr>
              <w:t>% (</w:t>
            </w:r>
            <w:r w:rsidR="00AC3AB0" w:rsidRPr="005635F3">
              <w:rPr>
                <w:rFonts w:ascii="Arial" w:eastAsia="Arial" w:hAnsi="Arial" w:cs="Arial"/>
              </w:rPr>
              <w:t>9</w:t>
            </w:r>
            <w:r w:rsidR="00E75E6D" w:rsidRPr="005635F3">
              <w:rPr>
                <w:rFonts w:ascii="Arial" w:eastAsia="Arial" w:hAnsi="Arial" w:cs="Arial"/>
              </w:rPr>
              <w:t>)</w:t>
            </w:r>
          </w:p>
        </w:tc>
        <w:tc>
          <w:tcPr>
            <w:tcW w:w="2551" w:type="dxa"/>
            <w:shd w:val="clear" w:color="auto" w:fill="FFFFFF" w:themeFill="background1"/>
            <w:vAlign w:val="center"/>
          </w:tcPr>
          <w:p w14:paraId="1B61DC05" w14:textId="75B44481" w:rsidR="00B0379D" w:rsidRPr="005635F3" w:rsidRDefault="005635F3" w:rsidP="00B8AFBC">
            <w:pPr>
              <w:spacing w:after="120"/>
              <w:jc w:val="center"/>
              <w:rPr>
                <w:rFonts w:ascii="Arial" w:eastAsia="Arial" w:hAnsi="Arial" w:cs="Arial"/>
              </w:rPr>
            </w:pPr>
            <w:r w:rsidRPr="005635F3">
              <w:rPr>
                <w:rFonts w:ascii="Arial" w:eastAsia="Arial" w:hAnsi="Arial" w:cs="Arial"/>
              </w:rPr>
              <w:t>21</w:t>
            </w:r>
            <w:r w:rsidR="00E75E6D" w:rsidRPr="005635F3">
              <w:rPr>
                <w:rFonts w:ascii="Arial" w:eastAsia="Arial" w:hAnsi="Arial" w:cs="Arial"/>
              </w:rPr>
              <w:t>% (</w:t>
            </w:r>
            <w:r w:rsidR="00AC3AB0" w:rsidRPr="005635F3">
              <w:rPr>
                <w:rFonts w:ascii="Arial" w:eastAsia="Arial" w:hAnsi="Arial" w:cs="Arial"/>
              </w:rPr>
              <w:t>4</w:t>
            </w:r>
            <w:r w:rsidR="00E75E6D" w:rsidRPr="005635F3">
              <w:rPr>
                <w:rFonts w:ascii="Arial" w:eastAsia="Arial" w:hAnsi="Arial" w:cs="Arial"/>
              </w:rPr>
              <w:t>)</w:t>
            </w:r>
          </w:p>
        </w:tc>
      </w:tr>
    </w:tbl>
    <w:p w14:paraId="511DB41E" w14:textId="77777777" w:rsidR="00B0379D" w:rsidRDefault="00B0379D" w:rsidP="00B0379D">
      <w:pPr>
        <w:spacing w:after="120" w:line="240" w:lineRule="auto"/>
        <w:jc w:val="both"/>
        <w:rPr>
          <w:rFonts w:ascii="Arial" w:hAnsi="Arial" w:cs="Arial"/>
          <w:b/>
          <w:bCs/>
          <w:color w:val="ED712C"/>
          <w:sz w:val="24"/>
          <w:szCs w:val="24"/>
        </w:rPr>
      </w:pPr>
    </w:p>
    <w:p w14:paraId="7B93B59E" w14:textId="77777777" w:rsidR="00B0379D" w:rsidRPr="00A86ECC" w:rsidRDefault="00E75E6D" w:rsidP="00B0379D">
      <w:pPr>
        <w:spacing w:after="120" w:line="240" w:lineRule="auto"/>
        <w:jc w:val="both"/>
        <w:rPr>
          <w:rFonts w:ascii="Arial" w:hAnsi="Arial" w:cs="Arial"/>
          <w:b/>
          <w:bCs/>
          <w:color w:val="17B0DE"/>
        </w:rPr>
      </w:pPr>
      <w:r w:rsidRPr="00A86ECC">
        <w:rPr>
          <w:rFonts w:ascii="Arial" w:hAnsi="Arial" w:cs="Arial"/>
          <w:b/>
          <w:bCs/>
          <w:color w:val="17B0DE"/>
        </w:rPr>
        <w:t>Inter Authority Comparison</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ayout w:type="fixed"/>
        <w:tblLook w:val="04A0" w:firstRow="1" w:lastRow="0" w:firstColumn="1" w:lastColumn="0" w:noHBand="0" w:noVBand="1"/>
      </w:tblPr>
      <w:tblGrid>
        <w:gridCol w:w="1838"/>
        <w:gridCol w:w="1985"/>
        <w:gridCol w:w="1984"/>
        <w:gridCol w:w="1985"/>
        <w:gridCol w:w="1984"/>
      </w:tblGrid>
      <w:tr w:rsidR="00970157" w14:paraId="4E04DF9A" w14:textId="77777777" w:rsidTr="00B8AFBC">
        <w:trPr>
          <w:tblHeader/>
        </w:trPr>
        <w:tc>
          <w:tcPr>
            <w:tcW w:w="1838" w:type="dxa"/>
            <w:shd w:val="clear" w:color="auto" w:fill="17B0DE"/>
          </w:tcPr>
          <w:p w14:paraId="6CAB5C9E"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17B0DE"/>
          </w:tcPr>
          <w:p w14:paraId="050CFABC"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17B0DE"/>
          </w:tcPr>
          <w:p w14:paraId="5DFBAFF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17B0DE"/>
          </w:tcPr>
          <w:p w14:paraId="1B9ACDB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17B0DE"/>
          </w:tcPr>
          <w:p w14:paraId="1CD261F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34F886F2" w14:textId="77777777" w:rsidTr="00B8AFBC">
        <w:tc>
          <w:tcPr>
            <w:tcW w:w="1838" w:type="dxa"/>
            <w:shd w:val="clear" w:color="auto" w:fill="FFFFFF" w:themeFill="background1"/>
            <w:vAlign w:val="center"/>
          </w:tcPr>
          <w:p w14:paraId="2C02EA7E" w14:textId="7F5EB17E" w:rsidR="00B0379D" w:rsidRPr="00DF4970" w:rsidRDefault="36E3C0F6" w:rsidP="00B8AFBC">
            <w:pPr>
              <w:spacing w:before="40" w:after="40" w:line="259" w:lineRule="auto"/>
              <w:jc w:val="center"/>
              <w:rPr>
                <w:rFonts w:ascii="Arial" w:eastAsia="Arial" w:hAnsi="Arial" w:cs="Arial"/>
              </w:rPr>
            </w:pPr>
            <w:r w:rsidRPr="00DF4970">
              <w:rPr>
                <w:rFonts w:ascii="Arial" w:eastAsia="Arial" w:hAnsi="Arial" w:cs="Arial"/>
              </w:rPr>
              <w:t>1</w:t>
            </w:r>
            <w:r w:rsidR="005635F3" w:rsidRPr="00DF4970">
              <w:rPr>
                <w:rFonts w:ascii="Arial" w:eastAsia="Arial" w:hAnsi="Arial" w:cs="Arial"/>
              </w:rPr>
              <w:t>1</w:t>
            </w:r>
          </w:p>
        </w:tc>
        <w:tc>
          <w:tcPr>
            <w:tcW w:w="1985" w:type="dxa"/>
            <w:shd w:val="clear" w:color="auto" w:fill="FFFFFF" w:themeFill="background1"/>
            <w:vAlign w:val="center"/>
          </w:tcPr>
          <w:p w14:paraId="06EAAB8F" w14:textId="0AE73AD3" w:rsidR="00B0379D" w:rsidRPr="00DF4970" w:rsidRDefault="005F291F" w:rsidP="00B8AFBC">
            <w:pPr>
              <w:spacing w:before="40" w:after="40" w:line="259" w:lineRule="auto"/>
              <w:jc w:val="center"/>
              <w:rPr>
                <w:rFonts w:ascii="Arial" w:eastAsia="Arial" w:hAnsi="Arial" w:cs="Arial"/>
              </w:rPr>
            </w:pPr>
            <w:r w:rsidRPr="00DF4970">
              <w:rPr>
                <w:rFonts w:ascii="Arial" w:eastAsia="Arial" w:hAnsi="Arial" w:cs="Arial"/>
              </w:rPr>
              <w:t>18</w:t>
            </w:r>
            <w:r w:rsidR="00E75E6D" w:rsidRPr="00DF4970">
              <w:rPr>
                <w:rFonts w:ascii="Arial" w:eastAsia="Arial" w:hAnsi="Arial" w:cs="Arial"/>
              </w:rPr>
              <w:t>%</w:t>
            </w:r>
            <w:r w:rsidR="00DF4970">
              <w:rPr>
                <w:rFonts w:ascii="Arial" w:eastAsia="Arial" w:hAnsi="Arial" w:cs="Arial"/>
              </w:rPr>
              <w:t>*</w:t>
            </w:r>
            <w:r w:rsidR="00E75E6D" w:rsidRPr="00DF4970">
              <w:rPr>
                <w:rFonts w:ascii="Arial" w:eastAsia="Arial" w:hAnsi="Arial" w:cs="Arial"/>
              </w:rPr>
              <w:t xml:space="preserve"> (</w:t>
            </w:r>
            <w:r w:rsidR="00563162" w:rsidRPr="00DF4970">
              <w:rPr>
                <w:rFonts w:ascii="Arial" w:eastAsia="Arial" w:hAnsi="Arial" w:cs="Arial"/>
              </w:rPr>
              <w:t>2</w:t>
            </w:r>
            <w:r w:rsidR="00E75E6D" w:rsidRPr="00DF4970">
              <w:rPr>
                <w:rFonts w:ascii="Arial" w:eastAsia="Arial" w:hAnsi="Arial" w:cs="Arial"/>
              </w:rPr>
              <w:t>)</w:t>
            </w:r>
          </w:p>
        </w:tc>
        <w:tc>
          <w:tcPr>
            <w:tcW w:w="1984" w:type="dxa"/>
            <w:shd w:val="clear" w:color="auto" w:fill="FFFFFF" w:themeFill="background1"/>
            <w:vAlign w:val="center"/>
          </w:tcPr>
          <w:p w14:paraId="73C440DF" w14:textId="1F743428" w:rsidR="00B0379D" w:rsidRPr="00DF4970" w:rsidRDefault="00117F22" w:rsidP="00B8AFBC">
            <w:pPr>
              <w:spacing w:before="40" w:after="40" w:line="259" w:lineRule="auto"/>
              <w:jc w:val="center"/>
              <w:rPr>
                <w:rFonts w:ascii="Arial" w:eastAsia="Arial" w:hAnsi="Arial" w:cs="Arial"/>
              </w:rPr>
            </w:pPr>
            <w:r w:rsidRPr="00DF4970">
              <w:rPr>
                <w:rFonts w:ascii="Arial" w:eastAsia="Arial" w:hAnsi="Arial" w:cs="Arial"/>
              </w:rPr>
              <w:t>9</w:t>
            </w:r>
            <w:r w:rsidR="00E75E6D" w:rsidRPr="00DF4970">
              <w:rPr>
                <w:rFonts w:ascii="Arial" w:eastAsia="Arial" w:hAnsi="Arial" w:cs="Arial"/>
              </w:rPr>
              <w:t>%</w:t>
            </w:r>
            <w:r w:rsidR="00DF4970">
              <w:rPr>
                <w:rFonts w:ascii="Arial" w:eastAsia="Arial" w:hAnsi="Arial" w:cs="Arial"/>
              </w:rPr>
              <w:t>*</w:t>
            </w:r>
            <w:r w:rsidR="00E75E6D" w:rsidRPr="00DF4970">
              <w:rPr>
                <w:rFonts w:ascii="Arial" w:eastAsia="Arial" w:hAnsi="Arial" w:cs="Arial"/>
              </w:rPr>
              <w:t>(</w:t>
            </w:r>
            <w:r w:rsidR="005635F3" w:rsidRPr="00DF4970">
              <w:rPr>
                <w:rFonts w:ascii="Arial" w:eastAsia="Arial" w:hAnsi="Arial" w:cs="Arial"/>
              </w:rPr>
              <w:t>1</w:t>
            </w:r>
            <w:r w:rsidR="00E75E6D" w:rsidRPr="00DF4970">
              <w:rPr>
                <w:rFonts w:ascii="Arial" w:eastAsia="Arial" w:hAnsi="Arial" w:cs="Arial"/>
              </w:rPr>
              <w:t>)</w:t>
            </w:r>
          </w:p>
        </w:tc>
        <w:tc>
          <w:tcPr>
            <w:tcW w:w="1985" w:type="dxa"/>
            <w:shd w:val="clear" w:color="auto" w:fill="FFFFFF" w:themeFill="background1"/>
            <w:vAlign w:val="center"/>
          </w:tcPr>
          <w:p w14:paraId="4AF9A67E" w14:textId="17B66EAF" w:rsidR="00B0379D" w:rsidRPr="00DF4970" w:rsidRDefault="00B9594F" w:rsidP="00B8AFBC">
            <w:pPr>
              <w:spacing w:before="40" w:after="40" w:line="259" w:lineRule="auto"/>
              <w:jc w:val="center"/>
              <w:rPr>
                <w:rFonts w:ascii="Arial" w:eastAsia="Arial" w:hAnsi="Arial" w:cs="Arial"/>
              </w:rPr>
            </w:pPr>
            <w:r w:rsidRPr="00DF4970">
              <w:rPr>
                <w:rFonts w:ascii="Arial" w:eastAsia="Arial" w:hAnsi="Arial" w:cs="Arial"/>
              </w:rPr>
              <w:t>27</w:t>
            </w:r>
            <w:r w:rsidR="00E75E6D" w:rsidRPr="00DF4970">
              <w:rPr>
                <w:rFonts w:ascii="Arial" w:eastAsia="Arial" w:hAnsi="Arial" w:cs="Arial"/>
              </w:rPr>
              <w:t>%</w:t>
            </w:r>
            <w:r w:rsidR="00DF4970">
              <w:rPr>
                <w:rFonts w:ascii="Arial" w:eastAsia="Arial" w:hAnsi="Arial" w:cs="Arial"/>
              </w:rPr>
              <w:t>*</w:t>
            </w:r>
            <w:r w:rsidR="00E75E6D" w:rsidRPr="00DF4970">
              <w:rPr>
                <w:rFonts w:ascii="Arial" w:eastAsia="Arial" w:hAnsi="Arial" w:cs="Arial"/>
              </w:rPr>
              <w:t xml:space="preserve"> (</w:t>
            </w:r>
            <w:r w:rsidR="005635F3" w:rsidRPr="00DF4970">
              <w:rPr>
                <w:rFonts w:ascii="Arial" w:eastAsia="Arial" w:hAnsi="Arial" w:cs="Arial"/>
              </w:rPr>
              <w:t>3</w:t>
            </w:r>
            <w:r w:rsidR="00E75E6D" w:rsidRPr="00DF4970">
              <w:rPr>
                <w:rFonts w:ascii="Arial" w:eastAsia="Arial" w:hAnsi="Arial" w:cs="Arial"/>
              </w:rPr>
              <w:t>)</w:t>
            </w:r>
          </w:p>
        </w:tc>
        <w:tc>
          <w:tcPr>
            <w:tcW w:w="1984" w:type="dxa"/>
            <w:shd w:val="clear" w:color="auto" w:fill="FFFFFF" w:themeFill="background1"/>
            <w:vAlign w:val="center"/>
          </w:tcPr>
          <w:p w14:paraId="667516CC" w14:textId="4CC0E73F" w:rsidR="00B0379D" w:rsidRPr="00DF4970" w:rsidRDefault="0082183F" w:rsidP="00B8AFBC">
            <w:pPr>
              <w:spacing w:before="40" w:after="40" w:line="259" w:lineRule="auto"/>
              <w:jc w:val="center"/>
              <w:rPr>
                <w:rFonts w:ascii="Arial" w:eastAsia="Arial" w:hAnsi="Arial" w:cs="Arial"/>
              </w:rPr>
            </w:pPr>
            <w:r w:rsidRPr="00DF4970">
              <w:rPr>
                <w:rFonts w:ascii="Arial" w:eastAsia="Arial" w:hAnsi="Arial" w:cs="Arial"/>
              </w:rPr>
              <w:t>45</w:t>
            </w:r>
            <w:r w:rsidR="00FC2A97" w:rsidRPr="00DF4970">
              <w:rPr>
                <w:rFonts w:ascii="Arial" w:eastAsia="Arial" w:hAnsi="Arial" w:cs="Arial"/>
              </w:rPr>
              <w:t>%</w:t>
            </w:r>
            <w:r w:rsidR="00DF4970">
              <w:rPr>
                <w:rFonts w:ascii="Arial" w:eastAsia="Arial" w:hAnsi="Arial" w:cs="Arial"/>
              </w:rPr>
              <w:t>*</w:t>
            </w:r>
            <w:r w:rsidR="00FC2A97" w:rsidRPr="00DF4970">
              <w:rPr>
                <w:rFonts w:ascii="Arial" w:eastAsia="Arial" w:hAnsi="Arial" w:cs="Arial"/>
              </w:rPr>
              <w:t xml:space="preserve"> (</w:t>
            </w:r>
            <w:r w:rsidR="005635F3" w:rsidRPr="00DF4970">
              <w:rPr>
                <w:rFonts w:ascii="Arial" w:eastAsia="Arial" w:hAnsi="Arial" w:cs="Arial"/>
              </w:rPr>
              <w:t>5</w:t>
            </w:r>
            <w:r w:rsidR="00FC2A97" w:rsidRPr="00DF4970">
              <w:rPr>
                <w:rFonts w:ascii="Arial" w:eastAsia="Arial" w:hAnsi="Arial" w:cs="Arial"/>
              </w:rPr>
              <w:t>)</w:t>
            </w:r>
          </w:p>
        </w:tc>
      </w:tr>
    </w:tbl>
    <w:p w14:paraId="5C5CC0D5" w14:textId="77777777" w:rsidR="00DF4970" w:rsidRPr="00DF4970" w:rsidRDefault="00DF4970" w:rsidP="00DF4970">
      <w:pPr>
        <w:pStyle w:val="ListBullet"/>
        <w:numPr>
          <w:ilvl w:val="0"/>
          <w:numId w:val="0"/>
        </w:numPr>
        <w:rPr>
          <w:rFonts w:ascii="Arial" w:hAnsi="Arial" w:cs="Arial"/>
          <w:sz w:val="18"/>
          <w:szCs w:val="18"/>
        </w:rPr>
      </w:pPr>
      <w:r w:rsidRPr="00DF4970">
        <w:rPr>
          <w:rFonts w:ascii="Arial" w:hAnsi="Arial" w:cs="Arial"/>
          <w:sz w:val="18"/>
          <w:szCs w:val="18"/>
        </w:rPr>
        <w:t>*NB – Percentages rounded to nearest whole number</w:t>
      </w:r>
    </w:p>
    <w:p w14:paraId="3D5DCEE7" w14:textId="77777777" w:rsidR="00B0379D" w:rsidRPr="009B4EFE" w:rsidRDefault="00B0379D" w:rsidP="00B0379D">
      <w:pPr>
        <w:pStyle w:val="ListBullet"/>
        <w:ind w:left="0" w:firstLine="0"/>
        <w:jc w:val="both"/>
        <w:rPr>
          <w:rFonts w:ascii="Arial" w:hAnsi="Arial" w:cs="Arial"/>
          <w:color w:val="FF0000"/>
        </w:rPr>
        <w:sectPr w:rsidR="00B0379D" w:rsidRPr="009B4EFE" w:rsidSect="00EC2ED3">
          <w:headerReference w:type="default" r:id="rId28"/>
          <w:footerReference w:type="default" r:id="rId29"/>
          <w:pgSz w:w="11906" w:h="16838" w:code="9"/>
          <w:pgMar w:top="720" w:right="720" w:bottom="720" w:left="720" w:header="709" w:footer="709" w:gutter="0"/>
          <w:cols w:space="708"/>
          <w:docGrid w:linePitch="360"/>
        </w:sectPr>
      </w:pPr>
    </w:p>
    <w:p w14:paraId="52D7375A" w14:textId="77777777" w:rsidR="00B0379D" w:rsidRPr="00D23B44" w:rsidRDefault="00E75E6D" w:rsidP="00B0379D">
      <w:pPr>
        <w:rPr>
          <w:rFonts w:ascii="Arial" w:hAnsi="Arial" w:cs="Arial"/>
          <w:b/>
          <w:color w:val="17B0DE"/>
          <w:sz w:val="32"/>
          <w:szCs w:val="32"/>
        </w:rPr>
      </w:pPr>
      <w:r w:rsidRPr="00D23B44">
        <w:rPr>
          <w:rFonts w:ascii="Arial" w:hAnsi="Arial" w:cs="Arial"/>
          <w:b/>
          <w:color w:val="17B0DE"/>
          <w:sz w:val="32"/>
          <w:szCs w:val="32"/>
        </w:rPr>
        <w:t>Priority 2 - Promote good health, independence, and care across our communities</w:t>
      </w:r>
    </w:p>
    <w:p w14:paraId="257363D2" w14:textId="63E12037" w:rsidR="00B0379D" w:rsidRPr="00D23B44" w:rsidRDefault="00E75E6D" w:rsidP="00B0379D">
      <w:pPr>
        <w:pStyle w:val="paragraph"/>
        <w:spacing w:before="0" w:beforeAutospacing="0" w:after="240" w:afterAutospacing="0"/>
        <w:textAlignment w:val="baseline"/>
        <w:rPr>
          <w:rFonts w:ascii="Arial" w:eastAsiaTheme="minorHAnsi" w:hAnsi="Arial" w:cs="Arial"/>
          <w:b/>
          <w:color w:val="17B0DE"/>
          <w:sz w:val="32"/>
          <w:szCs w:val="32"/>
          <w:lang w:eastAsia="en-US"/>
        </w:rPr>
      </w:pPr>
      <w:r w:rsidRPr="4276CE28">
        <w:rPr>
          <w:rFonts w:ascii="Arial" w:eastAsiaTheme="minorEastAsia" w:hAnsi="Arial" w:cs="Arial"/>
          <w:b/>
          <w:bCs/>
          <w:color w:val="17B0DE"/>
          <w:sz w:val="32"/>
          <w:szCs w:val="32"/>
          <w:lang w:eastAsia="en-US"/>
        </w:rPr>
        <w:t>Tier 1</w:t>
      </w:r>
    </w:p>
    <w:tbl>
      <w:tblPr>
        <w:tblW w:w="0" w:type="auto"/>
        <w:tblLook w:val="04A0" w:firstRow="1" w:lastRow="0" w:firstColumn="1" w:lastColumn="0" w:noHBand="0" w:noVBand="1"/>
      </w:tblPr>
      <w:tblGrid>
        <w:gridCol w:w="2105"/>
        <w:gridCol w:w="749"/>
        <w:gridCol w:w="3465"/>
        <w:gridCol w:w="1346"/>
        <w:gridCol w:w="1091"/>
        <w:gridCol w:w="1016"/>
        <w:gridCol w:w="894"/>
        <w:gridCol w:w="961"/>
        <w:gridCol w:w="1069"/>
        <w:gridCol w:w="772"/>
        <w:gridCol w:w="1920"/>
      </w:tblGrid>
      <w:tr w:rsidR="00EA2826" w:rsidRPr="00EA2826" w14:paraId="4B768615" w14:textId="77777777" w:rsidTr="00111BF8">
        <w:trPr>
          <w:trHeight w:val="450"/>
          <w:tblHeader/>
        </w:trPr>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08B53546"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Outcome</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2AC9665E"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Ref</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0B68F6DF"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Performance Indicator</w:t>
            </w:r>
          </w:p>
        </w:tc>
        <w:tc>
          <w:tcPr>
            <w:tcW w:w="0" w:type="auto"/>
            <w:vMerge w:val="restart"/>
            <w:tcBorders>
              <w:top w:val="single" w:sz="4" w:space="0" w:color="17B0DE"/>
              <w:left w:val="single" w:sz="4" w:space="0" w:color="17B0DE"/>
              <w:bottom w:val="nil"/>
              <w:right w:val="single" w:sz="4" w:space="0" w:color="17B0DE"/>
            </w:tcBorders>
            <w:shd w:val="clear" w:color="000000" w:fill="17B0DE"/>
            <w:vAlign w:val="center"/>
            <w:hideMark/>
          </w:tcPr>
          <w:p w14:paraId="54D390DE"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Reporting Frequency</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536975E8"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0FDD1648"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23/24 Outturn</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2FAC8932"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24/25 Target</w:t>
            </w:r>
          </w:p>
        </w:tc>
        <w:tc>
          <w:tcPr>
            <w:tcW w:w="961" w:type="dxa"/>
            <w:tcBorders>
              <w:top w:val="single" w:sz="4" w:space="0" w:color="17B0DE"/>
              <w:left w:val="nil"/>
              <w:bottom w:val="single" w:sz="4" w:space="0" w:color="17B0DE"/>
              <w:right w:val="single" w:sz="4" w:space="0" w:color="17B0DE"/>
            </w:tcBorders>
            <w:shd w:val="clear" w:color="000000" w:fill="17B0DE"/>
            <w:vAlign w:val="center"/>
            <w:hideMark/>
          </w:tcPr>
          <w:p w14:paraId="7B2F1747"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Q1</w:t>
            </w:r>
          </w:p>
        </w:tc>
        <w:tc>
          <w:tcPr>
            <w:tcW w:w="1069" w:type="dxa"/>
            <w:vMerge w:val="restart"/>
            <w:tcBorders>
              <w:top w:val="single" w:sz="4" w:space="0" w:color="00B0F0"/>
              <w:left w:val="single" w:sz="4" w:space="0" w:color="00B0F0"/>
              <w:bottom w:val="single" w:sz="4" w:space="0" w:color="00B0F0"/>
              <w:right w:val="single" w:sz="4" w:space="0" w:color="00B0F0"/>
            </w:tcBorders>
            <w:shd w:val="clear" w:color="000000" w:fill="17B0DE"/>
            <w:vAlign w:val="center"/>
            <w:hideMark/>
          </w:tcPr>
          <w:p w14:paraId="16DBB1D2"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00B0F0"/>
              <w:left w:val="single" w:sz="4" w:space="0" w:color="00B0F0"/>
              <w:bottom w:val="single" w:sz="4" w:space="0" w:color="00B0F0"/>
              <w:right w:val="single" w:sz="4" w:space="0" w:color="00B0F0"/>
            </w:tcBorders>
            <w:shd w:val="clear" w:color="000000" w:fill="17B0DE"/>
            <w:vAlign w:val="center"/>
            <w:hideMark/>
          </w:tcPr>
          <w:p w14:paraId="05418FEC"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Trend</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559EE2FA"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Comparative Performance</w:t>
            </w:r>
          </w:p>
        </w:tc>
      </w:tr>
      <w:tr w:rsidR="00EA2826" w:rsidRPr="00EA2826" w14:paraId="2810C5F1" w14:textId="77777777" w:rsidTr="00111BF8">
        <w:trPr>
          <w:trHeight w:val="523"/>
        </w:trPr>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1D02B7BC"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0C4F748D"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5F37031D"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nil"/>
              <w:right w:val="single" w:sz="4" w:space="0" w:color="17B0DE"/>
            </w:tcBorders>
            <w:vAlign w:val="center"/>
            <w:hideMark/>
          </w:tcPr>
          <w:p w14:paraId="5C7F4AB9"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1A627739"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4E847B48"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4B7A4E20"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961" w:type="dxa"/>
            <w:tcBorders>
              <w:top w:val="nil"/>
              <w:left w:val="nil"/>
              <w:bottom w:val="nil"/>
              <w:right w:val="single" w:sz="4" w:space="0" w:color="17B0DE"/>
            </w:tcBorders>
            <w:shd w:val="clear" w:color="000000" w:fill="17B0DE"/>
            <w:vAlign w:val="center"/>
            <w:hideMark/>
          </w:tcPr>
          <w:p w14:paraId="4F861732" w14:textId="77777777" w:rsidR="00EA2826" w:rsidRPr="00EA2826" w:rsidRDefault="00EA2826" w:rsidP="00EA2826">
            <w:pPr>
              <w:spacing w:after="0" w:line="240" w:lineRule="auto"/>
              <w:jc w:val="center"/>
              <w:rPr>
                <w:rFonts w:ascii="Arial" w:eastAsia="Times New Roman" w:hAnsi="Arial" w:cs="Arial"/>
                <w:b/>
                <w:bCs/>
                <w:color w:val="FFFFFF"/>
                <w:sz w:val="20"/>
                <w:szCs w:val="20"/>
                <w:lang w:eastAsia="en-GB"/>
              </w:rPr>
            </w:pPr>
            <w:r w:rsidRPr="00EA2826">
              <w:rPr>
                <w:rFonts w:ascii="Arial" w:eastAsia="Times New Roman" w:hAnsi="Arial" w:cs="Arial"/>
                <w:b/>
                <w:bCs/>
                <w:color w:val="FFFFFF"/>
                <w:sz w:val="20"/>
                <w:szCs w:val="20"/>
                <w:lang w:eastAsia="en-GB"/>
              </w:rPr>
              <w:t>June</w:t>
            </w:r>
          </w:p>
        </w:tc>
        <w:tc>
          <w:tcPr>
            <w:tcW w:w="1069" w:type="dxa"/>
            <w:vMerge/>
            <w:tcBorders>
              <w:top w:val="single" w:sz="4" w:space="0" w:color="00B0F0"/>
              <w:left w:val="single" w:sz="4" w:space="0" w:color="00B0F0"/>
              <w:bottom w:val="single" w:sz="4" w:space="0" w:color="00B0F0"/>
              <w:right w:val="single" w:sz="4" w:space="0" w:color="00B0F0"/>
            </w:tcBorders>
            <w:vAlign w:val="center"/>
            <w:hideMark/>
          </w:tcPr>
          <w:p w14:paraId="0F1FFAE6"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58E91229"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121AC553" w14:textId="77777777" w:rsidR="00EA2826" w:rsidRPr="00EA2826" w:rsidRDefault="00EA2826" w:rsidP="00EA2826">
            <w:pPr>
              <w:spacing w:after="0" w:line="240" w:lineRule="auto"/>
              <w:rPr>
                <w:rFonts w:ascii="Arial" w:eastAsia="Times New Roman" w:hAnsi="Arial" w:cs="Arial"/>
                <w:b/>
                <w:bCs/>
                <w:color w:val="FFFFFF"/>
                <w:sz w:val="20"/>
                <w:szCs w:val="20"/>
                <w:lang w:eastAsia="en-GB"/>
              </w:rPr>
            </w:pPr>
          </w:p>
        </w:tc>
      </w:tr>
      <w:tr w:rsidR="00111BF8" w:rsidRPr="00EA2826" w14:paraId="11291757" w14:textId="77777777" w:rsidTr="00111BF8">
        <w:trPr>
          <w:trHeight w:val="1560"/>
        </w:trPr>
        <w:tc>
          <w:tcPr>
            <w:tcW w:w="0" w:type="auto"/>
            <w:vMerge w:val="restart"/>
            <w:tcBorders>
              <w:top w:val="single" w:sz="4" w:space="0" w:color="17B0DE"/>
              <w:left w:val="single" w:sz="4" w:space="0" w:color="17B0DE"/>
              <w:bottom w:val="nil"/>
              <w:right w:val="single" w:sz="4" w:space="0" w:color="17B0DE"/>
            </w:tcBorders>
            <w:shd w:val="clear" w:color="000000" w:fill="B7E8F7"/>
            <w:vAlign w:val="center"/>
            <w:hideMark/>
          </w:tcPr>
          <w:p w14:paraId="268663CA" w14:textId="77777777" w:rsidR="00111BF8" w:rsidRPr="00EA2826" w:rsidRDefault="00111BF8" w:rsidP="00111BF8">
            <w:pPr>
              <w:spacing w:after="0" w:line="240" w:lineRule="auto"/>
              <w:jc w:val="center"/>
              <w:rPr>
                <w:rFonts w:ascii="Arial" w:eastAsia="Times New Roman" w:hAnsi="Arial" w:cs="Arial"/>
                <w:b/>
                <w:bCs/>
                <w:color w:val="000000"/>
                <w:sz w:val="20"/>
                <w:szCs w:val="20"/>
                <w:lang w:eastAsia="en-GB"/>
              </w:rPr>
            </w:pPr>
            <w:r w:rsidRPr="00EA2826">
              <w:rPr>
                <w:rFonts w:ascii="Arial" w:eastAsia="Times New Roman" w:hAnsi="Arial" w:cs="Arial"/>
                <w:b/>
                <w:bCs/>
                <w:color w:val="000000"/>
                <w:sz w:val="20"/>
                <w:szCs w:val="20"/>
                <w:lang w:eastAsia="en-GB"/>
              </w:rPr>
              <w:t>People's physical and mental wellbeing improves</w:t>
            </w:r>
          </w:p>
        </w:tc>
        <w:tc>
          <w:tcPr>
            <w:tcW w:w="0" w:type="auto"/>
            <w:tcBorders>
              <w:top w:val="nil"/>
              <w:left w:val="nil"/>
              <w:bottom w:val="single" w:sz="4" w:space="0" w:color="17B0DE"/>
              <w:right w:val="single" w:sz="4" w:space="0" w:color="17B0DE"/>
            </w:tcBorders>
            <w:shd w:val="clear" w:color="auto" w:fill="auto"/>
            <w:vAlign w:val="center"/>
            <w:hideMark/>
          </w:tcPr>
          <w:p w14:paraId="0CAF052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PH-016</w:t>
            </w:r>
          </w:p>
        </w:tc>
        <w:tc>
          <w:tcPr>
            <w:tcW w:w="0" w:type="auto"/>
            <w:tcBorders>
              <w:top w:val="nil"/>
              <w:left w:val="nil"/>
              <w:bottom w:val="single" w:sz="4" w:space="0" w:color="17B0DE"/>
              <w:right w:val="nil"/>
            </w:tcBorders>
            <w:shd w:val="clear" w:color="auto" w:fill="auto"/>
            <w:vAlign w:val="center"/>
            <w:hideMark/>
          </w:tcPr>
          <w:p w14:paraId="316667CD"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Admission episodes for alcohol specific conditions, all ages, per 100,000 population</w:t>
            </w:r>
          </w:p>
        </w:tc>
        <w:tc>
          <w:tcPr>
            <w:tcW w:w="0" w:type="auto"/>
            <w:tcBorders>
              <w:top w:val="nil"/>
              <w:left w:val="single" w:sz="4" w:space="0" w:color="17B0DE"/>
              <w:bottom w:val="single" w:sz="4" w:space="0" w:color="17B0DE"/>
              <w:right w:val="nil"/>
            </w:tcBorders>
            <w:shd w:val="clear" w:color="auto" w:fill="auto"/>
            <w:vAlign w:val="center"/>
            <w:hideMark/>
          </w:tcPr>
          <w:p w14:paraId="40A8FA81"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nil"/>
              <w:left w:val="nil"/>
              <w:bottom w:val="single" w:sz="4" w:space="0" w:color="17B0DE"/>
              <w:right w:val="single" w:sz="4" w:space="0" w:color="17B0DE"/>
            </w:tcBorders>
            <w:shd w:val="clear" w:color="000000" w:fill="FFFFFF"/>
            <w:noWrap/>
            <w:vAlign w:val="center"/>
            <w:hideMark/>
          </w:tcPr>
          <w:p w14:paraId="2D9EEC96"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nil"/>
              <w:bottom w:val="single" w:sz="4" w:space="0" w:color="17B0DE"/>
              <w:right w:val="single" w:sz="4" w:space="0" w:color="17B0DE"/>
            </w:tcBorders>
            <w:shd w:val="clear" w:color="000000" w:fill="FF0000"/>
            <w:vAlign w:val="center"/>
            <w:hideMark/>
          </w:tcPr>
          <w:p w14:paraId="44E6FDD3"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1062</w:t>
            </w:r>
          </w:p>
        </w:tc>
        <w:tc>
          <w:tcPr>
            <w:tcW w:w="0" w:type="auto"/>
            <w:tcBorders>
              <w:top w:val="nil"/>
              <w:left w:val="nil"/>
              <w:bottom w:val="single" w:sz="4" w:space="0" w:color="17B0DE"/>
              <w:right w:val="single" w:sz="4" w:space="0" w:color="17B0DE"/>
            </w:tcBorders>
            <w:shd w:val="clear" w:color="auto" w:fill="auto"/>
            <w:vAlign w:val="center"/>
            <w:hideMark/>
          </w:tcPr>
          <w:p w14:paraId="6CA45E7E"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1000</w:t>
            </w:r>
          </w:p>
        </w:tc>
        <w:tc>
          <w:tcPr>
            <w:tcW w:w="961" w:type="dxa"/>
            <w:tcBorders>
              <w:top w:val="single" w:sz="4" w:space="0" w:color="17B0DE"/>
              <w:left w:val="single" w:sz="4" w:space="0" w:color="17B0DE"/>
              <w:bottom w:val="single" w:sz="4" w:space="0" w:color="17B0DE"/>
              <w:right w:val="single" w:sz="4" w:space="0" w:color="17B0DE"/>
            </w:tcBorders>
            <w:shd w:val="clear" w:color="000000" w:fill="FFFFFF"/>
            <w:vAlign w:val="center"/>
            <w:hideMark/>
          </w:tcPr>
          <w:p w14:paraId="76E09353" w14:textId="261F988D" w:rsidR="00111BF8" w:rsidRPr="00EA2826" w:rsidRDefault="00111BF8" w:rsidP="00111BF8">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Q1 Data to be reported in Q2</w:t>
            </w:r>
          </w:p>
        </w:tc>
        <w:tc>
          <w:tcPr>
            <w:tcW w:w="1069" w:type="dxa"/>
            <w:tcBorders>
              <w:top w:val="single" w:sz="4" w:space="0" w:color="00B0F0"/>
              <w:left w:val="single" w:sz="4" w:space="0" w:color="00B0F0"/>
              <w:bottom w:val="single" w:sz="4" w:space="0" w:color="00B0F0"/>
              <w:right w:val="single" w:sz="4" w:space="0" w:color="00B0F0"/>
            </w:tcBorders>
            <w:shd w:val="clear" w:color="FFFFFF" w:fill="FFFFFF"/>
            <w:vAlign w:val="center"/>
            <w:hideMark/>
          </w:tcPr>
          <w:p w14:paraId="07EFA589" w14:textId="2A932B4A" w:rsidR="00111BF8" w:rsidRPr="00EA2826" w:rsidRDefault="00111BF8" w:rsidP="00111BF8">
            <w:pPr>
              <w:spacing w:after="0" w:line="240" w:lineRule="auto"/>
              <w:jc w:val="center"/>
              <w:rPr>
                <w:rFonts w:ascii="Arial" w:eastAsia="Times New Roman" w:hAnsi="Arial" w:cs="Arial"/>
                <w:color w:val="D9D9D9"/>
                <w:sz w:val="20"/>
                <w:szCs w:val="20"/>
                <w:lang w:eastAsia="en-GB"/>
              </w:rPr>
            </w:pPr>
            <w:r w:rsidRPr="00340BE7">
              <w:rPr>
                <w:rFonts w:ascii="Arial" w:eastAsia="Times New Roman" w:hAnsi="Arial" w:cs="Arial"/>
                <w:sz w:val="20"/>
                <w:szCs w:val="20"/>
                <w:lang w:eastAsia="en-GB"/>
              </w:rPr>
              <w:t>N/A</w:t>
            </w:r>
          </w:p>
        </w:tc>
        <w:tc>
          <w:tcPr>
            <w:tcW w:w="0" w:type="auto"/>
            <w:tcBorders>
              <w:top w:val="nil"/>
              <w:left w:val="nil"/>
              <w:bottom w:val="single" w:sz="4" w:space="0" w:color="00B0F0"/>
              <w:right w:val="single" w:sz="4" w:space="0" w:color="00B0F0"/>
            </w:tcBorders>
            <w:shd w:val="clear" w:color="000000" w:fill="FFFFFF"/>
            <w:vAlign w:val="center"/>
            <w:hideMark/>
          </w:tcPr>
          <w:p w14:paraId="0FAE3491" w14:textId="279BB6D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7C1C9E">
              <w:rPr>
                <w:rFonts w:ascii="Arial" w:eastAsia="Times New Roman" w:hAnsi="Arial" w:cs="Arial"/>
                <w:sz w:val="20"/>
                <w:szCs w:val="20"/>
                <w:lang w:eastAsia="en-GB"/>
              </w:rPr>
              <w:t> </w:t>
            </w:r>
            <w:r w:rsidRPr="00340BE7">
              <w:rPr>
                <w:rFonts w:ascii="Arial" w:eastAsia="Times New Roman" w:hAnsi="Arial" w:cs="Arial"/>
                <w:sz w:val="20"/>
                <w:szCs w:val="20"/>
                <w:lang w:eastAsia="en-GB"/>
              </w:rPr>
              <w:t>N/A</w:t>
            </w:r>
          </w:p>
        </w:tc>
        <w:tc>
          <w:tcPr>
            <w:tcW w:w="0" w:type="auto"/>
            <w:tcBorders>
              <w:top w:val="single" w:sz="4" w:space="0" w:color="00B0F0"/>
              <w:left w:val="single" w:sz="4" w:space="0" w:color="00B0F0"/>
              <w:bottom w:val="single" w:sz="4" w:space="0" w:color="00B0F0"/>
              <w:right w:val="single" w:sz="4" w:space="0" w:color="00B0F0"/>
            </w:tcBorders>
            <w:shd w:val="clear" w:color="000000" w:fill="FF0000"/>
            <w:vAlign w:val="center"/>
            <w:hideMark/>
          </w:tcPr>
          <w:p w14:paraId="4AC8B734"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4th Quartile   Eng Av. 581.0 LA Av. 762 (2022/23)</w:t>
            </w:r>
          </w:p>
        </w:tc>
      </w:tr>
      <w:tr w:rsidR="00111BF8" w:rsidRPr="00EA2826" w14:paraId="1D34D293" w14:textId="77777777" w:rsidTr="00111BF8">
        <w:trPr>
          <w:trHeight w:val="1560"/>
        </w:trPr>
        <w:tc>
          <w:tcPr>
            <w:tcW w:w="0" w:type="auto"/>
            <w:vMerge/>
            <w:tcBorders>
              <w:top w:val="single" w:sz="4" w:space="0" w:color="17B0DE"/>
              <w:left w:val="single" w:sz="4" w:space="0" w:color="17B0DE"/>
              <w:bottom w:val="nil"/>
              <w:right w:val="single" w:sz="4" w:space="0" w:color="17B0DE"/>
            </w:tcBorders>
            <w:vAlign w:val="center"/>
            <w:hideMark/>
          </w:tcPr>
          <w:p w14:paraId="70712916"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404231F2"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PH-017</w:t>
            </w:r>
          </w:p>
        </w:tc>
        <w:tc>
          <w:tcPr>
            <w:tcW w:w="0" w:type="auto"/>
            <w:tcBorders>
              <w:top w:val="nil"/>
              <w:left w:val="nil"/>
              <w:bottom w:val="single" w:sz="4" w:space="0" w:color="17B0DE"/>
              <w:right w:val="nil"/>
            </w:tcBorders>
            <w:shd w:val="clear" w:color="auto" w:fill="auto"/>
            <w:vAlign w:val="center"/>
            <w:hideMark/>
          </w:tcPr>
          <w:p w14:paraId="4682DB9E"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Emergency hospital admissions for falls for people aged 65+ per 100,000 population</w:t>
            </w:r>
          </w:p>
        </w:tc>
        <w:tc>
          <w:tcPr>
            <w:tcW w:w="0" w:type="auto"/>
            <w:tcBorders>
              <w:top w:val="nil"/>
              <w:left w:val="single" w:sz="4" w:space="0" w:color="17B0DE"/>
              <w:bottom w:val="single" w:sz="4" w:space="0" w:color="17B0DE"/>
              <w:right w:val="nil"/>
            </w:tcBorders>
            <w:shd w:val="clear" w:color="auto" w:fill="auto"/>
            <w:vAlign w:val="center"/>
            <w:hideMark/>
          </w:tcPr>
          <w:p w14:paraId="253019E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nil"/>
              <w:left w:val="nil"/>
              <w:bottom w:val="single" w:sz="4" w:space="0" w:color="17B0DE"/>
              <w:right w:val="single" w:sz="4" w:space="0" w:color="17B0DE"/>
            </w:tcBorders>
            <w:shd w:val="clear" w:color="000000" w:fill="FFFFFF"/>
            <w:noWrap/>
            <w:vAlign w:val="center"/>
            <w:hideMark/>
          </w:tcPr>
          <w:p w14:paraId="415ECD7F"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nil"/>
              <w:bottom w:val="single" w:sz="4" w:space="0" w:color="17B0DE"/>
              <w:right w:val="single" w:sz="4" w:space="0" w:color="17B0DE"/>
            </w:tcBorders>
            <w:shd w:val="clear" w:color="000000" w:fill="FF0000"/>
            <w:vAlign w:val="center"/>
            <w:hideMark/>
          </w:tcPr>
          <w:p w14:paraId="6CFE506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2464</w:t>
            </w:r>
          </w:p>
        </w:tc>
        <w:tc>
          <w:tcPr>
            <w:tcW w:w="0" w:type="auto"/>
            <w:tcBorders>
              <w:top w:val="nil"/>
              <w:left w:val="nil"/>
              <w:bottom w:val="single" w:sz="4" w:space="0" w:color="17B0DE"/>
              <w:right w:val="single" w:sz="4" w:space="0" w:color="17B0DE"/>
            </w:tcBorders>
            <w:shd w:val="clear" w:color="auto" w:fill="auto"/>
            <w:vAlign w:val="center"/>
            <w:hideMark/>
          </w:tcPr>
          <w:p w14:paraId="735FACB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2722</w:t>
            </w:r>
          </w:p>
        </w:tc>
        <w:tc>
          <w:tcPr>
            <w:tcW w:w="961" w:type="dxa"/>
            <w:tcBorders>
              <w:top w:val="single" w:sz="4" w:space="0" w:color="17B0DE"/>
              <w:left w:val="single" w:sz="4" w:space="0" w:color="17B0DE"/>
              <w:bottom w:val="single" w:sz="4" w:space="0" w:color="17B0DE"/>
              <w:right w:val="single" w:sz="4" w:space="0" w:color="17B0DE"/>
            </w:tcBorders>
            <w:shd w:val="clear" w:color="000000" w:fill="FFFFFF"/>
            <w:vAlign w:val="center"/>
          </w:tcPr>
          <w:p w14:paraId="114105D7" w14:textId="3D4F2AFF" w:rsidR="00111BF8" w:rsidRPr="00EA2826" w:rsidRDefault="00111BF8" w:rsidP="00111BF8">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Q1 Data to be reported in Q2</w:t>
            </w:r>
          </w:p>
        </w:tc>
        <w:tc>
          <w:tcPr>
            <w:tcW w:w="1069" w:type="dxa"/>
            <w:tcBorders>
              <w:top w:val="single" w:sz="4" w:space="0" w:color="00B0F0"/>
              <w:left w:val="single" w:sz="4" w:space="0" w:color="00B0F0"/>
              <w:bottom w:val="single" w:sz="4" w:space="0" w:color="00B0F0"/>
              <w:right w:val="single" w:sz="4" w:space="0" w:color="00B0F0"/>
            </w:tcBorders>
            <w:shd w:val="clear" w:color="FFFFFF" w:fill="FFFFFF"/>
            <w:vAlign w:val="center"/>
          </w:tcPr>
          <w:p w14:paraId="70D1A6BC" w14:textId="21313DF3" w:rsidR="00111BF8" w:rsidRPr="00EA2826" w:rsidRDefault="00111BF8" w:rsidP="00111BF8">
            <w:pPr>
              <w:spacing w:after="0" w:line="240" w:lineRule="auto"/>
              <w:jc w:val="center"/>
              <w:rPr>
                <w:rFonts w:ascii="Arial" w:eastAsia="Times New Roman" w:hAnsi="Arial" w:cs="Arial"/>
                <w:color w:val="D9D9D9"/>
                <w:sz w:val="20"/>
                <w:szCs w:val="20"/>
                <w:lang w:eastAsia="en-GB"/>
              </w:rPr>
            </w:pPr>
            <w:r w:rsidRPr="00340BE7">
              <w:rPr>
                <w:rFonts w:ascii="Arial" w:eastAsia="Times New Roman" w:hAnsi="Arial" w:cs="Arial"/>
                <w:sz w:val="20"/>
                <w:szCs w:val="20"/>
                <w:lang w:eastAsia="en-GB"/>
              </w:rPr>
              <w:t>N/A</w:t>
            </w:r>
          </w:p>
        </w:tc>
        <w:tc>
          <w:tcPr>
            <w:tcW w:w="0" w:type="auto"/>
            <w:tcBorders>
              <w:top w:val="nil"/>
              <w:left w:val="nil"/>
              <w:bottom w:val="single" w:sz="4" w:space="0" w:color="00B0F0"/>
              <w:right w:val="single" w:sz="4" w:space="0" w:color="00B0F0"/>
            </w:tcBorders>
            <w:shd w:val="clear" w:color="000000" w:fill="FFFFFF"/>
            <w:vAlign w:val="center"/>
          </w:tcPr>
          <w:p w14:paraId="35F65C74" w14:textId="7922476D" w:rsidR="00111BF8" w:rsidRPr="00EA2826" w:rsidRDefault="00111BF8" w:rsidP="00111BF8">
            <w:pPr>
              <w:spacing w:after="0" w:line="240" w:lineRule="auto"/>
              <w:rPr>
                <w:rFonts w:ascii="Arial" w:eastAsia="Times New Roman" w:hAnsi="Arial" w:cs="Arial"/>
                <w:color w:val="000000"/>
                <w:sz w:val="20"/>
                <w:szCs w:val="20"/>
                <w:lang w:eastAsia="en-GB"/>
              </w:rPr>
            </w:pPr>
            <w:r w:rsidRPr="007C1C9E">
              <w:rPr>
                <w:rFonts w:ascii="Arial" w:eastAsia="Times New Roman" w:hAnsi="Arial" w:cs="Arial"/>
                <w:sz w:val="20"/>
                <w:szCs w:val="20"/>
                <w:lang w:eastAsia="en-GB"/>
              </w:rPr>
              <w:t> </w:t>
            </w:r>
            <w:r w:rsidRPr="00340BE7">
              <w:rPr>
                <w:rFonts w:ascii="Arial" w:eastAsia="Times New Roman" w:hAnsi="Arial" w:cs="Arial"/>
                <w:sz w:val="20"/>
                <w:szCs w:val="20"/>
                <w:lang w:eastAsia="en-GB"/>
              </w:rPr>
              <w:t>N/A</w:t>
            </w:r>
          </w:p>
        </w:tc>
        <w:tc>
          <w:tcPr>
            <w:tcW w:w="0" w:type="auto"/>
            <w:tcBorders>
              <w:top w:val="nil"/>
              <w:left w:val="single" w:sz="4" w:space="0" w:color="00B0F0"/>
              <w:bottom w:val="single" w:sz="4" w:space="0" w:color="00B0F0"/>
              <w:right w:val="single" w:sz="4" w:space="0" w:color="00B0F0"/>
            </w:tcBorders>
            <w:shd w:val="clear" w:color="000000" w:fill="FF0000"/>
            <w:vAlign w:val="center"/>
            <w:hideMark/>
          </w:tcPr>
          <w:p w14:paraId="56051CF5"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4th Quartile   Eng Av.   1,933           LA Av. 2,039  (2022/23)</w:t>
            </w:r>
          </w:p>
        </w:tc>
      </w:tr>
      <w:tr w:rsidR="00111BF8" w:rsidRPr="00EA2826" w14:paraId="7FD54682" w14:textId="77777777" w:rsidTr="00111BF8">
        <w:trPr>
          <w:trHeight w:val="1560"/>
        </w:trPr>
        <w:tc>
          <w:tcPr>
            <w:tcW w:w="0" w:type="auto"/>
            <w:vMerge/>
            <w:tcBorders>
              <w:top w:val="single" w:sz="4" w:space="0" w:color="17B0DE"/>
              <w:left w:val="single" w:sz="4" w:space="0" w:color="17B0DE"/>
              <w:bottom w:val="nil"/>
              <w:right w:val="single" w:sz="4" w:space="0" w:color="17B0DE"/>
            </w:tcBorders>
            <w:vAlign w:val="center"/>
            <w:hideMark/>
          </w:tcPr>
          <w:p w14:paraId="0E7F16A4"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3C943EC3"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PH-018</w:t>
            </w:r>
          </w:p>
        </w:tc>
        <w:tc>
          <w:tcPr>
            <w:tcW w:w="0" w:type="auto"/>
            <w:tcBorders>
              <w:top w:val="nil"/>
              <w:left w:val="nil"/>
              <w:bottom w:val="single" w:sz="4" w:space="0" w:color="17B0DE"/>
              <w:right w:val="nil"/>
            </w:tcBorders>
            <w:shd w:val="clear" w:color="auto" w:fill="auto"/>
            <w:vAlign w:val="center"/>
            <w:hideMark/>
          </w:tcPr>
          <w:p w14:paraId="1E3886A0"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Mortality rate due to suicide and injury of undetermined intent per 100,000 population</w:t>
            </w:r>
          </w:p>
        </w:tc>
        <w:tc>
          <w:tcPr>
            <w:tcW w:w="0" w:type="auto"/>
            <w:tcBorders>
              <w:top w:val="nil"/>
              <w:left w:val="single" w:sz="4" w:space="0" w:color="17B0DE"/>
              <w:bottom w:val="single" w:sz="4" w:space="0" w:color="17B0DE"/>
              <w:right w:val="nil"/>
            </w:tcBorders>
            <w:shd w:val="clear" w:color="auto" w:fill="auto"/>
            <w:vAlign w:val="center"/>
            <w:hideMark/>
          </w:tcPr>
          <w:p w14:paraId="79915C0C"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nil"/>
              <w:left w:val="nil"/>
              <w:bottom w:val="single" w:sz="4" w:space="0" w:color="17B0DE"/>
              <w:right w:val="single" w:sz="4" w:space="0" w:color="17B0DE"/>
            </w:tcBorders>
            <w:shd w:val="clear" w:color="000000" w:fill="FFFFFF"/>
            <w:noWrap/>
            <w:vAlign w:val="center"/>
            <w:hideMark/>
          </w:tcPr>
          <w:p w14:paraId="588533D7"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nil"/>
              <w:bottom w:val="single" w:sz="4" w:space="0" w:color="17B0DE"/>
              <w:right w:val="single" w:sz="4" w:space="0" w:color="17B0DE"/>
            </w:tcBorders>
            <w:shd w:val="clear" w:color="000000" w:fill="FF0000"/>
            <w:vAlign w:val="center"/>
            <w:hideMark/>
          </w:tcPr>
          <w:p w14:paraId="0922A623"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15.2</w:t>
            </w:r>
          </w:p>
        </w:tc>
        <w:tc>
          <w:tcPr>
            <w:tcW w:w="0" w:type="auto"/>
            <w:tcBorders>
              <w:top w:val="nil"/>
              <w:left w:val="nil"/>
              <w:bottom w:val="single" w:sz="4" w:space="0" w:color="17B0DE"/>
              <w:right w:val="single" w:sz="4" w:space="0" w:color="17B0DE"/>
            </w:tcBorders>
            <w:shd w:val="clear" w:color="auto" w:fill="auto"/>
            <w:vAlign w:val="center"/>
            <w:hideMark/>
          </w:tcPr>
          <w:p w14:paraId="114C36D4"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13.6</w:t>
            </w:r>
          </w:p>
        </w:tc>
        <w:tc>
          <w:tcPr>
            <w:tcW w:w="961"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37446C04"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18.1</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677F4493"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EA2826">
              <w:rPr>
                <w:rFonts w:ascii="Arial" w:eastAsia="Times New Roman" w:hAnsi="Arial" w:cs="Arial"/>
                <w:color w:val="FF0000"/>
                <w:sz w:val="20"/>
                <w:szCs w:val="20"/>
                <w:lang w:eastAsia="en-GB"/>
              </w:rPr>
              <w:t>-33.09%</w:t>
            </w:r>
          </w:p>
        </w:tc>
        <w:tc>
          <w:tcPr>
            <w:tcW w:w="0" w:type="auto"/>
            <w:tcBorders>
              <w:top w:val="nil"/>
              <w:left w:val="nil"/>
              <w:bottom w:val="single" w:sz="4" w:space="0" w:color="00B0F0"/>
              <w:right w:val="single" w:sz="4" w:space="0" w:color="00B0F0"/>
            </w:tcBorders>
            <w:shd w:val="clear" w:color="000000" w:fill="FFFFFF"/>
            <w:vAlign w:val="bottom"/>
            <w:hideMark/>
          </w:tcPr>
          <w:p w14:paraId="1876B311" w14:textId="3023A13B"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27" behindDoc="0" locked="0" layoutInCell="1" allowOverlap="1" wp14:anchorId="7A5E42E0" wp14:editId="5B4478AD">
                  <wp:simplePos x="0" y="0"/>
                  <wp:positionH relativeFrom="column">
                    <wp:posOffset>67310</wp:posOffset>
                  </wp:positionH>
                  <wp:positionV relativeFrom="paragraph">
                    <wp:posOffset>-600710</wp:posOffset>
                  </wp:positionV>
                  <wp:extent cx="279400" cy="247650"/>
                  <wp:effectExtent l="0" t="0" r="0" b="0"/>
                  <wp:wrapNone/>
                  <wp:docPr id="7" name="Picture 33" descr="P870C42T16#y1">
                    <a:extLst xmlns:a="http://schemas.openxmlformats.org/drawingml/2006/main">
                      <a:ext uri="{FF2B5EF4-FFF2-40B4-BE49-F238E27FC236}">
                        <a16:creationId xmlns:a16="http://schemas.microsoft.com/office/drawing/2014/main" id="{421AE01F-69EC-43A1-9AB7-199B1FD2823C}"/>
                      </a:ext>
                      <a:ext uri="{147F2762-F138-4A5C-976F-8EAC2B608ADB}">
                        <a16:predDERef xmlns:a16="http://schemas.microsoft.com/office/drawing/2014/main" pred="{038830AA-B619-4B04-8E10-31CFACCFA824}"/>
                      </a:ext>
                    </a:extLst>
                  </wp:docPr>
                  <wp:cNvGraphicFramePr/>
                  <a:graphic xmlns:a="http://schemas.openxmlformats.org/drawingml/2006/main">
                    <a:graphicData uri="http://schemas.openxmlformats.org/drawingml/2006/picture">
                      <pic:pic xmlns:pic="http://schemas.openxmlformats.org/drawingml/2006/picture">
                        <pic:nvPicPr>
                          <pic:cNvPr id="7" name="Picture 34" descr="P870C42T16#y1">
                            <a:extLst>
                              <a:ext uri="{FF2B5EF4-FFF2-40B4-BE49-F238E27FC236}">
                                <a16:creationId xmlns:a16="http://schemas.microsoft.com/office/drawing/2014/main" id="{421AE01F-69EC-43A1-9AB7-199B1FD2823C}"/>
                              </a:ext>
                              <a:ext uri="{147F2762-F138-4A5C-976F-8EAC2B608ADB}">
                                <a16:predDERef xmlns:a16="http://schemas.microsoft.com/office/drawing/2014/main" pred="{038830AA-B619-4B04-8E10-31CFACCFA824}"/>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0000"/>
            <w:vAlign w:val="center"/>
            <w:hideMark/>
          </w:tcPr>
          <w:p w14:paraId="17D9210A" w14:textId="393E8FE9"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4th Quartile Eng Av. 10.3 LA Av. 12.9 (2020/22)</w:t>
            </w:r>
          </w:p>
        </w:tc>
      </w:tr>
      <w:tr w:rsidR="00111BF8" w:rsidRPr="00EA2826" w14:paraId="4F2113B0" w14:textId="77777777" w:rsidTr="00111BF8">
        <w:trPr>
          <w:trHeight w:val="1560"/>
        </w:trPr>
        <w:tc>
          <w:tcPr>
            <w:tcW w:w="0" w:type="auto"/>
            <w:vMerge/>
            <w:tcBorders>
              <w:top w:val="single" w:sz="4" w:space="0" w:color="17B0DE"/>
              <w:left w:val="single" w:sz="4" w:space="0" w:color="17B0DE"/>
              <w:bottom w:val="nil"/>
              <w:right w:val="single" w:sz="4" w:space="0" w:color="17B0DE"/>
            </w:tcBorders>
            <w:vAlign w:val="center"/>
            <w:hideMark/>
          </w:tcPr>
          <w:p w14:paraId="33FEED2D"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55DDAC3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PH-021</w:t>
            </w:r>
          </w:p>
        </w:tc>
        <w:tc>
          <w:tcPr>
            <w:tcW w:w="0" w:type="auto"/>
            <w:tcBorders>
              <w:top w:val="nil"/>
              <w:left w:val="nil"/>
              <w:bottom w:val="single" w:sz="4" w:space="0" w:color="17B0DE"/>
              <w:right w:val="nil"/>
            </w:tcBorders>
            <w:shd w:val="clear" w:color="auto" w:fill="auto"/>
            <w:vAlign w:val="center"/>
            <w:hideMark/>
          </w:tcPr>
          <w:p w14:paraId="342598A5"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Successful percentage completion of drug treatment - opiate users</w:t>
            </w:r>
          </w:p>
        </w:tc>
        <w:tc>
          <w:tcPr>
            <w:tcW w:w="0" w:type="auto"/>
            <w:tcBorders>
              <w:top w:val="nil"/>
              <w:left w:val="single" w:sz="4" w:space="0" w:color="17B0DE"/>
              <w:bottom w:val="single" w:sz="4" w:space="0" w:color="auto"/>
              <w:right w:val="nil"/>
            </w:tcBorders>
            <w:shd w:val="clear" w:color="auto" w:fill="auto"/>
            <w:vAlign w:val="center"/>
            <w:hideMark/>
          </w:tcPr>
          <w:p w14:paraId="215DCEC8"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nil"/>
              <w:left w:val="nil"/>
              <w:bottom w:val="single" w:sz="4" w:space="0" w:color="auto"/>
              <w:right w:val="single" w:sz="4" w:space="0" w:color="17B0DE"/>
            </w:tcBorders>
            <w:shd w:val="clear" w:color="000000" w:fill="FFFFFF"/>
            <w:noWrap/>
            <w:vAlign w:val="center"/>
            <w:hideMark/>
          </w:tcPr>
          <w:p w14:paraId="26D28428"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nil"/>
              <w:bottom w:val="single" w:sz="4" w:space="0" w:color="17B0DE"/>
              <w:right w:val="single" w:sz="4" w:space="0" w:color="17B0DE"/>
            </w:tcBorders>
            <w:shd w:val="clear" w:color="000000" w:fill="FF0000"/>
            <w:vAlign w:val="center"/>
            <w:hideMark/>
          </w:tcPr>
          <w:p w14:paraId="7524C087"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5.3</w:t>
            </w:r>
          </w:p>
        </w:tc>
        <w:tc>
          <w:tcPr>
            <w:tcW w:w="0" w:type="auto"/>
            <w:tcBorders>
              <w:top w:val="nil"/>
              <w:left w:val="nil"/>
              <w:bottom w:val="single" w:sz="4" w:space="0" w:color="17B0DE"/>
              <w:right w:val="single" w:sz="4" w:space="0" w:color="17B0DE"/>
            </w:tcBorders>
            <w:shd w:val="clear" w:color="auto" w:fill="auto"/>
            <w:vAlign w:val="center"/>
            <w:hideMark/>
          </w:tcPr>
          <w:p w14:paraId="1DFAFE9F"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6.1</w:t>
            </w:r>
          </w:p>
        </w:tc>
        <w:tc>
          <w:tcPr>
            <w:tcW w:w="961"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3CC2F16B"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5.6</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2EF7A1BD"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EA2826">
              <w:rPr>
                <w:rFonts w:ascii="Arial" w:eastAsia="Times New Roman" w:hAnsi="Arial" w:cs="Arial"/>
                <w:color w:val="FF0000"/>
                <w:sz w:val="20"/>
                <w:szCs w:val="20"/>
                <w:lang w:eastAsia="en-GB"/>
              </w:rPr>
              <w:t>-8.2%</w:t>
            </w:r>
          </w:p>
        </w:tc>
        <w:tc>
          <w:tcPr>
            <w:tcW w:w="0" w:type="auto"/>
            <w:tcBorders>
              <w:top w:val="nil"/>
              <w:left w:val="nil"/>
              <w:bottom w:val="single" w:sz="4" w:space="0" w:color="00B0F0"/>
              <w:right w:val="single" w:sz="4" w:space="0" w:color="00B0F0"/>
            </w:tcBorders>
            <w:shd w:val="clear" w:color="000000" w:fill="FFFFFF"/>
            <w:vAlign w:val="bottom"/>
            <w:hideMark/>
          </w:tcPr>
          <w:p w14:paraId="6D04951E" w14:textId="762FD8CA"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35" behindDoc="0" locked="0" layoutInCell="1" allowOverlap="1" wp14:anchorId="0D388DD4" wp14:editId="37D89751">
                  <wp:simplePos x="0" y="0"/>
                  <wp:positionH relativeFrom="column">
                    <wp:posOffset>64770</wp:posOffset>
                  </wp:positionH>
                  <wp:positionV relativeFrom="paragraph">
                    <wp:posOffset>-560070</wp:posOffset>
                  </wp:positionV>
                  <wp:extent cx="279400" cy="247650"/>
                  <wp:effectExtent l="0" t="0" r="0" b="0"/>
                  <wp:wrapNone/>
                  <wp:docPr id="34" name="Picture 34" descr="P882C52T16#y1">
                    <a:extLst xmlns:a="http://schemas.openxmlformats.org/drawingml/2006/main">
                      <a:ext uri="{FF2B5EF4-FFF2-40B4-BE49-F238E27FC236}">
                        <a16:creationId xmlns:a16="http://schemas.microsoft.com/office/drawing/2014/main" id="{95F2CA5E-B4A0-4378-8176-A176B12FF21D}"/>
                      </a:ext>
                      <a:ext uri="{147F2762-F138-4A5C-976F-8EAC2B608ADB}">
                        <a16:predDERef xmlns:a16="http://schemas.microsoft.com/office/drawing/2014/main" pred="{038830AA-B619-4B04-8E10-31CFACCFA824}"/>
                      </a:ext>
                    </a:extLst>
                  </wp:docPr>
                  <wp:cNvGraphicFramePr/>
                  <a:graphic xmlns:a="http://schemas.openxmlformats.org/drawingml/2006/main">
                    <a:graphicData uri="http://schemas.openxmlformats.org/drawingml/2006/picture">
                      <pic:pic xmlns:pic="http://schemas.openxmlformats.org/drawingml/2006/picture">
                        <pic:nvPicPr>
                          <pic:cNvPr id="34" name="Picture 33" descr="P882C52T16#y1">
                            <a:extLst>
                              <a:ext uri="{FF2B5EF4-FFF2-40B4-BE49-F238E27FC236}">
                                <a16:creationId xmlns:a16="http://schemas.microsoft.com/office/drawing/2014/main" id="{95F2CA5E-B4A0-4378-8176-A176B12FF21D}"/>
                              </a:ext>
                              <a:ext uri="{147F2762-F138-4A5C-976F-8EAC2B608ADB}">
                                <a16:predDERef xmlns:a16="http://schemas.microsoft.com/office/drawing/2014/main" pred="{038830AA-B619-4B04-8E10-31CFACCFA824}"/>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FF00"/>
            <w:vAlign w:val="center"/>
            <w:hideMark/>
          </w:tcPr>
          <w:p w14:paraId="2B50A044" w14:textId="503757CB"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2nd Quartile Eng Av. 5.0    LA Av. 4.5 (2022)</w:t>
            </w:r>
          </w:p>
        </w:tc>
      </w:tr>
      <w:tr w:rsidR="00111BF8" w:rsidRPr="00EA2826" w14:paraId="52B14A7A" w14:textId="77777777" w:rsidTr="00111BF8">
        <w:trPr>
          <w:trHeight w:val="1560"/>
        </w:trPr>
        <w:tc>
          <w:tcPr>
            <w:tcW w:w="0" w:type="auto"/>
            <w:vMerge/>
            <w:tcBorders>
              <w:top w:val="single" w:sz="4" w:space="0" w:color="17B0DE"/>
              <w:left w:val="single" w:sz="4" w:space="0" w:color="17B0DE"/>
              <w:bottom w:val="nil"/>
              <w:right w:val="single" w:sz="4" w:space="0" w:color="17B0DE"/>
            </w:tcBorders>
            <w:vAlign w:val="center"/>
            <w:hideMark/>
          </w:tcPr>
          <w:p w14:paraId="42FD2F9D"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06186A5D"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PH-022</w:t>
            </w:r>
          </w:p>
        </w:tc>
        <w:tc>
          <w:tcPr>
            <w:tcW w:w="0" w:type="auto"/>
            <w:tcBorders>
              <w:top w:val="nil"/>
              <w:left w:val="nil"/>
              <w:bottom w:val="single" w:sz="4" w:space="0" w:color="17B0DE"/>
              <w:right w:val="single" w:sz="4" w:space="0" w:color="auto"/>
            </w:tcBorders>
            <w:shd w:val="clear" w:color="auto" w:fill="auto"/>
            <w:vAlign w:val="center"/>
            <w:hideMark/>
          </w:tcPr>
          <w:p w14:paraId="71B51A78"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Successful percentage completion of drug treatment – non-opiate users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C55FA2"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2B55F"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FFC000"/>
            <w:vAlign w:val="center"/>
            <w:hideMark/>
          </w:tcPr>
          <w:p w14:paraId="1324F074"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32.7</w:t>
            </w:r>
          </w:p>
        </w:tc>
        <w:tc>
          <w:tcPr>
            <w:tcW w:w="0" w:type="auto"/>
            <w:tcBorders>
              <w:top w:val="nil"/>
              <w:left w:val="nil"/>
              <w:bottom w:val="single" w:sz="4" w:space="0" w:color="17B0DE"/>
              <w:right w:val="single" w:sz="4" w:space="0" w:color="17B0DE"/>
            </w:tcBorders>
            <w:shd w:val="clear" w:color="auto" w:fill="auto"/>
            <w:vAlign w:val="center"/>
            <w:hideMark/>
          </w:tcPr>
          <w:p w14:paraId="0B295E32"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33</w:t>
            </w:r>
          </w:p>
        </w:tc>
        <w:tc>
          <w:tcPr>
            <w:tcW w:w="961" w:type="dxa"/>
            <w:tcBorders>
              <w:top w:val="single" w:sz="4" w:space="0" w:color="17B0DE"/>
              <w:left w:val="single" w:sz="4" w:space="0" w:color="17B0DE"/>
              <w:bottom w:val="single" w:sz="4" w:space="0" w:color="17B0DE"/>
              <w:right w:val="single" w:sz="4" w:space="0" w:color="17B0DE"/>
            </w:tcBorders>
            <w:shd w:val="clear" w:color="000000" w:fill="FFC000"/>
            <w:vAlign w:val="center"/>
            <w:hideMark/>
          </w:tcPr>
          <w:p w14:paraId="62BB8810"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32.4</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28DCA7B9"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5B6467">
              <w:rPr>
                <w:rFonts w:ascii="Arial" w:eastAsia="Times New Roman" w:hAnsi="Arial" w:cs="Arial"/>
                <w:sz w:val="20"/>
                <w:szCs w:val="20"/>
                <w:lang w:eastAsia="en-GB"/>
              </w:rPr>
              <w:t>-1.82%</w:t>
            </w:r>
          </w:p>
        </w:tc>
        <w:tc>
          <w:tcPr>
            <w:tcW w:w="0" w:type="auto"/>
            <w:tcBorders>
              <w:top w:val="nil"/>
              <w:left w:val="nil"/>
              <w:bottom w:val="single" w:sz="4" w:space="0" w:color="00B0F0"/>
              <w:right w:val="single" w:sz="4" w:space="0" w:color="00B0F0"/>
            </w:tcBorders>
            <w:shd w:val="clear" w:color="000000" w:fill="FFFFFF"/>
            <w:vAlign w:val="bottom"/>
            <w:hideMark/>
          </w:tcPr>
          <w:p w14:paraId="341B2997" w14:textId="689A5309"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36" behindDoc="0" locked="0" layoutInCell="1" allowOverlap="1" wp14:anchorId="4DA5BAA2" wp14:editId="3AD317AA">
                  <wp:simplePos x="0" y="0"/>
                  <wp:positionH relativeFrom="column">
                    <wp:posOffset>57785</wp:posOffset>
                  </wp:positionH>
                  <wp:positionV relativeFrom="paragraph">
                    <wp:posOffset>-588645</wp:posOffset>
                  </wp:positionV>
                  <wp:extent cx="285750" cy="254000"/>
                  <wp:effectExtent l="0" t="0" r="0" b="0"/>
                  <wp:wrapNone/>
                  <wp:docPr id="35" name="Picture 35" descr="P894C62T16#y1">
                    <a:extLst xmlns:a="http://schemas.openxmlformats.org/drawingml/2006/main">
                      <a:ext uri="{FF2B5EF4-FFF2-40B4-BE49-F238E27FC236}">
                        <a16:creationId xmlns:a16="http://schemas.microsoft.com/office/drawing/2014/main" id="{EA6B2407-B8EF-4E9F-B4F3-F3E8C5596974}"/>
                      </a:ext>
                      <a:ext uri="{147F2762-F138-4A5C-976F-8EAC2B608ADB}">
                        <a16:predDERef xmlns:a16="http://schemas.microsoft.com/office/drawing/2014/main" pred="{E1B3E451-F8BC-47D2-999E-6F32223FBDC7}"/>
                      </a:ext>
                    </a:extLst>
                  </wp:docPr>
                  <wp:cNvGraphicFramePr/>
                  <a:graphic xmlns:a="http://schemas.openxmlformats.org/drawingml/2006/main">
                    <a:graphicData uri="http://schemas.openxmlformats.org/drawingml/2006/picture">
                      <pic:pic xmlns:pic="http://schemas.openxmlformats.org/drawingml/2006/picture">
                        <pic:nvPicPr>
                          <pic:cNvPr id="35" name="Picture 32" descr="P894C62T16#y1">
                            <a:extLst>
                              <a:ext uri="{FF2B5EF4-FFF2-40B4-BE49-F238E27FC236}">
                                <a16:creationId xmlns:a16="http://schemas.microsoft.com/office/drawing/2014/main" id="{EA6B2407-B8EF-4E9F-B4F3-F3E8C5596974}"/>
                              </a:ext>
                              <a:ext uri="{147F2762-F138-4A5C-976F-8EAC2B608ADB}">
                                <a16:predDERef xmlns:a16="http://schemas.microsoft.com/office/drawing/2014/main" pred="{E1B3E451-F8BC-47D2-999E-6F32223FBDC7}"/>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C000"/>
            <w:vAlign w:val="center"/>
            <w:hideMark/>
          </w:tcPr>
          <w:p w14:paraId="49E43425" w14:textId="75DE34BE"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3rd Quartile Eng Av. 31.4     LA Av. 30.3 (2022)</w:t>
            </w:r>
          </w:p>
        </w:tc>
      </w:tr>
      <w:tr w:rsidR="00111BF8" w:rsidRPr="00EA2826" w14:paraId="5CF8415A" w14:textId="77777777" w:rsidTr="00111BF8">
        <w:trPr>
          <w:trHeight w:val="1560"/>
        </w:trPr>
        <w:tc>
          <w:tcPr>
            <w:tcW w:w="0" w:type="auto"/>
            <w:vMerge/>
            <w:tcBorders>
              <w:top w:val="single" w:sz="4" w:space="0" w:color="17B0DE"/>
              <w:left w:val="single" w:sz="4" w:space="0" w:color="17B0DE"/>
              <w:bottom w:val="nil"/>
              <w:right w:val="single" w:sz="4" w:space="0" w:color="17B0DE"/>
            </w:tcBorders>
            <w:vAlign w:val="center"/>
            <w:hideMark/>
          </w:tcPr>
          <w:p w14:paraId="76831EC2"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1F3FDCA8"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PH-023</w:t>
            </w:r>
          </w:p>
        </w:tc>
        <w:tc>
          <w:tcPr>
            <w:tcW w:w="0" w:type="auto"/>
            <w:tcBorders>
              <w:top w:val="nil"/>
              <w:left w:val="nil"/>
              <w:bottom w:val="single" w:sz="4" w:space="0" w:color="17B0DE"/>
              <w:right w:val="single" w:sz="4" w:space="0" w:color="auto"/>
            </w:tcBorders>
            <w:shd w:val="clear" w:color="auto" w:fill="auto"/>
            <w:vAlign w:val="center"/>
            <w:hideMark/>
          </w:tcPr>
          <w:p w14:paraId="7000ED53"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Under 75 mortality rate from CVD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9D7040"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8450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71AE0306"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104</w:t>
            </w:r>
          </w:p>
        </w:tc>
        <w:tc>
          <w:tcPr>
            <w:tcW w:w="0" w:type="auto"/>
            <w:tcBorders>
              <w:top w:val="nil"/>
              <w:left w:val="nil"/>
              <w:bottom w:val="single" w:sz="4" w:space="0" w:color="17B0DE"/>
              <w:right w:val="single" w:sz="4" w:space="0" w:color="17B0DE"/>
            </w:tcBorders>
            <w:shd w:val="clear" w:color="auto" w:fill="auto"/>
            <w:vAlign w:val="center"/>
            <w:hideMark/>
          </w:tcPr>
          <w:p w14:paraId="3BB6EE52"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100</w:t>
            </w:r>
          </w:p>
        </w:tc>
        <w:tc>
          <w:tcPr>
            <w:tcW w:w="961"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326D748A"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114</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6040E0AF"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EA2826">
              <w:rPr>
                <w:rFonts w:ascii="Arial" w:eastAsia="Times New Roman" w:hAnsi="Arial" w:cs="Arial"/>
                <w:color w:val="FF0000"/>
                <w:sz w:val="20"/>
                <w:szCs w:val="20"/>
                <w:lang w:eastAsia="en-GB"/>
              </w:rPr>
              <w:t>-14%</w:t>
            </w:r>
          </w:p>
        </w:tc>
        <w:tc>
          <w:tcPr>
            <w:tcW w:w="0" w:type="auto"/>
            <w:tcBorders>
              <w:top w:val="nil"/>
              <w:left w:val="nil"/>
              <w:bottom w:val="single" w:sz="4" w:space="0" w:color="00B0F0"/>
              <w:right w:val="single" w:sz="4" w:space="0" w:color="00B0F0"/>
            </w:tcBorders>
            <w:shd w:val="clear" w:color="000000" w:fill="FFFFFF"/>
            <w:vAlign w:val="center"/>
            <w:hideMark/>
          </w:tcPr>
          <w:p w14:paraId="33F87B0F" w14:textId="2EEF871C"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28" behindDoc="0" locked="0" layoutInCell="1" allowOverlap="1" wp14:anchorId="69F5B0AA" wp14:editId="1BEA63F8">
                  <wp:simplePos x="0" y="0"/>
                  <wp:positionH relativeFrom="column">
                    <wp:posOffset>46990</wp:posOffset>
                  </wp:positionH>
                  <wp:positionV relativeFrom="paragraph">
                    <wp:posOffset>153670</wp:posOffset>
                  </wp:positionV>
                  <wp:extent cx="285750" cy="241300"/>
                  <wp:effectExtent l="0" t="0" r="0" b="6350"/>
                  <wp:wrapNone/>
                  <wp:docPr id="6" name="Picture 36" descr="P906C72T16#y1">
                    <a:extLst xmlns:a="http://schemas.openxmlformats.org/drawingml/2006/main">
                      <a:ext uri="{FF2B5EF4-FFF2-40B4-BE49-F238E27FC236}">
                        <a16:creationId xmlns:a16="http://schemas.microsoft.com/office/drawing/2014/main" id="{30CACECD-513F-46DD-B94C-04D7F1FC88A9}"/>
                      </a:ext>
                      <a:ext uri="{147F2762-F138-4A5C-976F-8EAC2B608ADB}">
                        <a16:predDERef xmlns:a16="http://schemas.microsoft.com/office/drawing/2014/main" pred="{72C94D7E-7701-46C6-9D0E-B0F34AFB100C}"/>
                      </a:ext>
                    </a:extLst>
                  </wp:docPr>
                  <wp:cNvGraphicFramePr/>
                  <a:graphic xmlns:a="http://schemas.openxmlformats.org/drawingml/2006/main">
                    <a:graphicData uri="http://schemas.openxmlformats.org/drawingml/2006/picture">
                      <pic:pic xmlns:pic="http://schemas.openxmlformats.org/drawingml/2006/picture">
                        <pic:nvPicPr>
                          <pic:cNvPr id="6" name="Picture 31" descr="P906C72T16#y1">
                            <a:extLst>
                              <a:ext uri="{FF2B5EF4-FFF2-40B4-BE49-F238E27FC236}">
                                <a16:creationId xmlns:a16="http://schemas.microsoft.com/office/drawing/2014/main" id="{30CACECD-513F-46DD-B94C-04D7F1FC88A9}"/>
                              </a:ext>
                              <a:ext uri="{147F2762-F138-4A5C-976F-8EAC2B608ADB}">
                                <a16:predDERef xmlns:a16="http://schemas.microsoft.com/office/drawing/2014/main" pred="{72C94D7E-7701-46C6-9D0E-B0F34AFB100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0000"/>
            <w:vAlign w:val="center"/>
            <w:hideMark/>
          </w:tcPr>
          <w:p w14:paraId="2F409DF3" w14:textId="498FDBC9"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4th Quartile Eng Av. 76     LA Av. 94.7 (2021)</w:t>
            </w:r>
          </w:p>
        </w:tc>
      </w:tr>
      <w:tr w:rsidR="00111BF8" w:rsidRPr="00EA2826" w14:paraId="52371887" w14:textId="77777777" w:rsidTr="00111BF8">
        <w:trPr>
          <w:trHeight w:val="1560"/>
        </w:trPr>
        <w:tc>
          <w:tcPr>
            <w:tcW w:w="0" w:type="auto"/>
            <w:vMerge w:val="restart"/>
            <w:tcBorders>
              <w:top w:val="single" w:sz="4" w:space="0" w:color="00B0F0"/>
              <w:left w:val="single" w:sz="4" w:space="0" w:color="00B0F0"/>
              <w:bottom w:val="single" w:sz="4" w:space="0" w:color="00B0F0"/>
              <w:right w:val="single" w:sz="4" w:space="0" w:color="00B0F0"/>
            </w:tcBorders>
            <w:shd w:val="clear" w:color="000000" w:fill="B7E8F7"/>
            <w:vAlign w:val="center"/>
            <w:hideMark/>
          </w:tcPr>
          <w:p w14:paraId="3AEFFDE0" w14:textId="77777777" w:rsidR="00111BF8" w:rsidRPr="00EA2826" w:rsidRDefault="00111BF8" w:rsidP="00111BF8">
            <w:pPr>
              <w:spacing w:after="0" w:line="240" w:lineRule="auto"/>
              <w:jc w:val="center"/>
              <w:rPr>
                <w:rFonts w:ascii="Arial" w:eastAsia="Times New Roman" w:hAnsi="Arial" w:cs="Arial"/>
                <w:b/>
                <w:bCs/>
                <w:color w:val="000000"/>
                <w:sz w:val="20"/>
                <w:szCs w:val="20"/>
                <w:lang w:eastAsia="en-GB"/>
              </w:rPr>
            </w:pPr>
            <w:r w:rsidRPr="00EA2826">
              <w:rPr>
                <w:rFonts w:ascii="Arial" w:eastAsia="Times New Roman" w:hAnsi="Arial" w:cs="Arial"/>
                <w:b/>
                <w:bCs/>
                <w:color w:val="000000"/>
                <w:sz w:val="20"/>
                <w:szCs w:val="20"/>
                <w:lang w:eastAsia="en-GB"/>
              </w:rPr>
              <w:t>People live well independently</w:t>
            </w:r>
          </w:p>
        </w:tc>
        <w:tc>
          <w:tcPr>
            <w:tcW w:w="0" w:type="auto"/>
            <w:tcBorders>
              <w:top w:val="nil"/>
              <w:left w:val="nil"/>
              <w:bottom w:val="single" w:sz="4" w:space="0" w:color="17B0DE"/>
              <w:right w:val="single" w:sz="4" w:space="0" w:color="17B0DE"/>
            </w:tcBorders>
            <w:shd w:val="clear" w:color="000000" w:fill="FFFFFF"/>
            <w:vAlign w:val="center"/>
            <w:hideMark/>
          </w:tcPr>
          <w:p w14:paraId="23EB4E99"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ASC-001</w:t>
            </w:r>
          </w:p>
        </w:tc>
        <w:tc>
          <w:tcPr>
            <w:tcW w:w="0" w:type="auto"/>
            <w:tcBorders>
              <w:top w:val="nil"/>
              <w:left w:val="nil"/>
              <w:bottom w:val="single" w:sz="4" w:space="0" w:color="17B0DE"/>
              <w:right w:val="single" w:sz="4" w:space="0" w:color="auto"/>
            </w:tcBorders>
            <w:shd w:val="clear" w:color="auto" w:fill="auto"/>
            <w:vAlign w:val="center"/>
            <w:hideMark/>
          </w:tcPr>
          <w:p w14:paraId="1532FD5B"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Percentage of adults aged 18-69 with learning disabilities known to ASCH, in settled accommodation at the time of their most recent assessment, formal review or other MDT planning meeting.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E4142"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A5977"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7B9717EC"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95.8%</w:t>
            </w:r>
          </w:p>
        </w:tc>
        <w:tc>
          <w:tcPr>
            <w:tcW w:w="0" w:type="auto"/>
            <w:tcBorders>
              <w:top w:val="nil"/>
              <w:left w:val="nil"/>
              <w:bottom w:val="single" w:sz="4" w:space="0" w:color="17B0DE"/>
              <w:right w:val="single" w:sz="4" w:space="0" w:color="17B0DE"/>
            </w:tcBorders>
            <w:shd w:val="clear" w:color="auto" w:fill="auto"/>
            <w:vAlign w:val="center"/>
            <w:hideMark/>
          </w:tcPr>
          <w:p w14:paraId="6E7DB5F0" w14:textId="6F90624A" w:rsidR="00111BF8" w:rsidRPr="00EA2826" w:rsidRDefault="004C7AAB" w:rsidP="00111BF8">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95</w:t>
            </w:r>
            <w:r w:rsidR="00002F51">
              <w:rPr>
                <w:rFonts w:ascii="Arial" w:eastAsia="Times New Roman" w:hAnsi="Arial" w:cs="Arial"/>
                <w:color w:val="000000"/>
                <w:sz w:val="20"/>
                <w:szCs w:val="20"/>
                <w:lang w:eastAsia="en-GB"/>
              </w:rPr>
              <w:t>%</w:t>
            </w:r>
          </w:p>
        </w:tc>
        <w:tc>
          <w:tcPr>
            <w:tcW w:w="961" w:type="dxa"/>
            <w:tcBorders>
              <w:top w:val="single" w:sz="4" w:space="0" w:color="17B0DE"/>
              <w:left w:val="single" w:sz="4" w:space="0" w:color="17B0DE"/>
              <w:bottom w:val="single" w:sz="4" w:space="0" w:color="17B0DE"/>
              <w:right w:val="single" w:sz="4" w:space="0" w:color="17B0DE"/>
            </w:tcBorders>
            <w:shd w:val="clear" w:color="000000" w:fill="FFC000"/>
            <w:vAlign w:val="center"/>
            <w:hideMark/>
          </w:tcPr>
          <w:p w14:paraId="582645A1"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94.3</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68D1EDF7"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5B6467">
              <w:rPr>
                <w:rFonts w:ascii="Arial" w:eastAsia="Times New Roman" w:hAnsi="Arial" w:cs="Arial"/>
                <w:sz w:val="20"/>
                <w:szCs w:val="20"/>
                <w:lang w:eastAsia="en-GB"/>
              </w:rPr>
              <w:t>-0.74%</w:t>
            </w:r>
          </w:p>
        </w:tc>
        <w:tc>
          <w:tcPr>
            <w:tcW w:w="0" w:type="auto"/>
            <w:tcBorders>
              <w:top w:val="nil"/>
              <w:left w:val="nil"/>
              <w:bottom w:val="single" w:sz="4" w:space="0" w:color="00B0F0"/>
              <w:right w:val="single" w:sz="4" w:space="0" w:color="00B0F0"/>
            </w:tcBorders>
            <w:shd w:val="clear" w:color="000000" w:fill="FFFFFF"/>
            <w:noWrap/>
            <w:vAlign w:val="center"/>
            <w:hideMark/>
          </w:tcPr>
          <w:p w14:paraId="58A31E81" w14:textId="793B6309"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mc:AlternateContent>
                <mc:Choice Requires="wps">
                  <w:drawing>
                    <wp:anchor distT="0" distB="0" distL="114300" distR="114300" simplePos="0" relativeHeight="251658337" behindDoc="0" locked="0" layoutInCell="1" allowOverlap="1" wp14:anchorId="11876578" wp14:editId="63F7276D">
                      <wp:simplePos x="0" y="0"/>
                      <wp:positionH relativeFrom="column">
                        <wp:posOffset>6985</wp:posOffset>
                      </wp:positionH>
                      <wp:positionV relativeFrom="paragraph">
                        <wp:posOffset>71755</wp:posOffset>
                      </wp:positionV>
                      <wp:extent cx="336550" cy="260350"/>
                      <wp:effectExtent l="0" t="0" r="25400" b="25400"/>
                      <wp:wrapNone/>
                      <wp:docPr id="1573746121" name="Arrow: Left-Right 37" descr="P918C83T16#y1">
                        <a:extLst xmlns:a="http://schemas.openxmlformats.org/drawingml/2006/main">
                          <a:ext uri="{FF2B5EF4-FFF2-40B4-BE49-F238E27FC236}">
                            <a16:creationId xmlns:a16="http://schemas.microsoft.com/office/drawing/2014/main" id="{CBD15B8C-916A-4AEF-B053-B9FA3FF705C1}"/>
                          </a:ext>
                          <a:ext uri="{147F2762-F138-4A5C-976F-8EAC2B608ADB}">
                            <a16:predDERef xmlns:a16="http://schemas.microsoft.com/office/drawing/2014/main" pred="{D6653300-556E-499D-9393-67B1916867BF}"/>
                          </a:ext>
                        </a:extLst>
                      </wp:docPr>
                      <wp:cNvGraphicFramePr/>
                      <a:graphic xmlns:a="http://schemas.openxmlformats.org/drawingml/2006/main">
                        <a:graphicData uri="http://schemas.microsoft.com/office/word/2010/wordprocessingShape">
                          <wps:wsp>
                            <wps:cNvSpPr/>
                            <wps:spPr>
                              <a:xfrm>
                                <a:off x="0" y="0"/>
                                <a:ext cx="336550" cy="260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10D2546" id="Arrow: Left-Right 37" o:spid="_x0000_s1026" type="#_x0000_t69" alt="P918C83T16#y1" style="position:absolute;margin-left:.55pt;margin-top:5.65pt;width:26.5pt;height:20.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" adj="8355" fillcolor="black [3200]" strokecolor="black [1600]" strokeweight="2pt"/>
                  </w:pict>
                </mc:Fallback>
              </mc:AlternateContent>
            </w:r>
          </w:p>
        </w:tc>
        <w:tc>
          <w:tcPr>
            <w:tcW w:w="0" w:type="auto"/>
            <w:tcBorders>
              <w:top w:val="nil"/>
              <w:left w:val="single" w:sz="4" w:space="0" w:color="00B0F0"/>
              <w:bottom w:val="single" w:sz="4" w:space="0" w:color="00B0F0"/>
              <w:right w:val="single" w:sz="4" w:space="0" w:color="00B0F0"/>
            </w:tcBorders>
            <w:shd w:val="clear" w:color="000000" w:fill="92D050"/>
            <w:vAlign w:val="center"/>
            <w:hideMark/>
          </w:tcPr>
          <w:p w14:paraId="275A673B" w14:textId="2E6F271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1st Quartile Eng Av. 80.5 LA Av. 88.4 (2022/23)</w:t>
            </w:r>
          </w:p>
        </w:tc>
      </w:tr>
      <w:tr w:rsidR="00111BF8" w:rsidRPr="00EA2826" w14:paraId="25AF05C5" w14:textId="77777777" w:rsidTr="00111BF8">
        <w:trPr>
          <w:trHeight w:val="1560"/>
        </w:trPr>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26B4C192"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000000" w:fill="FFFFFF"/>
            <w:vAlign w:val="center"/>
            <w:hideMark/>
          </w:tcPr>
          <w:p w14:paraId="7F72BF4C"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ASC-004</w:t>
            </w:r>
          </w:p>
        </w:tc>
        <w:tc>
          <w:tcPr>
            <w:tcW w:w="0" w:type="auto"/>
            <w:tcBorders>
              <w:top w:val="nil"/>
              <w:left w:val="nil"/>
              <w:bottom w:val="single" w:sz="4" w:space="0" w:color="17B0DE"/>
              <w:right w:val="single" w:sz="4" w:space="0" w:color="auto"/>
            </w:tcBorders>
            <w:shd w:val="clear" w:color="auto" w:fill="auto"/>
            <w:vAlign w:val="center"/>
            <w:hideMark/>
          </w:tcPr>
          <w:p w14:paraId="7021CED4"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The outcome of Short-Term Services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087D8C"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5384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450DD703"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92.7</w:t>
            </w:r>
          </w:p>
        </w:tc>
        <w:tc>
          <w:tcPr>
            <w:tcW w:w="0" w:type="auto"/>
            <w:tcBorders>
              <w:top w:val="nil"/>
              <w:left w:val="nil"/>
              <w:bottom w:val="single" w:sz="4" w:space="0" w:color="17B0DE"/>
              <w:right w:val="single" w:sz="4" w:space="0" w:color="17B0DE"/>
            </w:tcBorders>
            <w:shd w:val="clear" w:color="auto" w:fill="auto"/>
            <w:vAlign w:val="center"/>
            <w:hideMark/>
          </w:tcPr>
          <w:p w14:paraId="3EFE5D4A"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87%</w:t>
            </w:r>
          </w:p>
        </w:tc>
        <w:tc>
          <w:tcPr>
            <w:tcW w:w="961"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23D2204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81.7</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0160739C"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EA2826">
              <w:rPr>
                <w:rFonts w:ascii="Arial" w:eastAsia="Times New Roman" w:hAnsi="Arial" w:cs="Arial"/>
                <w:color w:val="FF0000"/>
                <w:sz w:val="20"/>
                <w:szCs w:val="20"/>
                <w:lang w:eastAsia="en-GB"/>
              </w:rPr>
              <w:t>-6.09%</w:t>
            </w:r>
          </w:p>
        </w:tc>
        <w:tc>
          <w:tcPr>
            <w:tcW w:w="0" w:type="auto"/>
            <w:tcBorders>
              <w:top w:val="nil"/>
              <w:left w:val="nil"/>
              <w:bottom w:val="single" w:sz="4" w:space="0" w:color="00B0F0"/>
              <w:right w:val="single" w:sz="4" w:space="0" w:color="00B0F0"/>
            </w:tcBorders>
            <w:shd w:val="clear" w:color="000000" w:fill="FFFFFF"/>
            <w:noWrap/>
            <w:vAlign w:val="center"/>
            <w:hideMark/>
          </w:tcPr>
          <w:p w14:paraId="6C3FD7A0" w14:textId="276E058D"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26" behindDoc="0" locked="0" layoutInCell="1" allowOverlap="1" wp14:anchorId="124C5BCD" wp14:editId="7314D5C4">
                  <wp:simplePos x="0" y="0"/>
                  <wp:positionH relativeFrom="column">
                    <wp:posOffset>33020</wp:posOffset>
                  </wp:positionH>
                  <wp:positionV relativeFrom="paragraph">
                    <wp:posOffset>63500</wp:posOffset>
                  </wp:positionV>
                  <wp:extent cx="298450" cy="254000"/>
                  <wp:effectExtent l="0" t="0" r="6350" b="0"/>
                  <wp:wrapNone/>
                  <wp:docPr id="10" name="Picture 38" descr="P930C93T16#y1">
                    <a:extLst xmlns:a="http://schemas.openxmlformats.org/drawingml/2006/main">
                      <a:ext uri="{FF2B5EF4-FFF2-40B4-BE49-F238E27FC236}">
                        <a16:creationId xmlns:a16="http://schemas.microsoft.com/office/drawing/2014/main" id="{E1FF6A41-62D9-4CFC-92B5-E60CCF0B4A62}"/>
                      </a:ext>
                      <a:ext uri="{147F2762-F138-4A5C-976F-8EAC2B608ADB}">
                        <a16:predDERef xmlns:a16="http://schemas.microsoft.com/office/drawing/2014/main" pred="{5FC9BDFC-C7ED-462B-A539-68B4A9BCCAA8}"/>
                      </a:ext>
                    </a:extLst>
                  </wp:docPr>
                  <wp:cNvGraphicFramePr/>
                  <a:graphic xmlns:a="http://schemas.openxmlformats.org/drawingml/2006/main">
                    <a:graphicData uri="http://schemas.openxmlformats.org/drawingml/2006/picture">
                      <pic:pic xmlns:pic="http://schemas.openxmlformats.org/drawingml/2006/picture">
                        <pic:nvPicPr>
                          <pic:cNvPr id="10" name="Picture 29" descr="P930C93T16#y1">
                            <a:extLst>
                              <a:ext uri="{FF2B5EF4-FFF2-40B4-BE49-F238E27FC236}">
                                <a16:creationId xmlns:a16="http://schemas.microsoft.com/office/drawing/2014/main" id="{E1FF6A41-62D9-4CFC-92B5-E60CCF0B4A62}"/>
                              </a:ext>
                              <a:ext uri="{147F2762-F138-4A5C-976F-8EAC2B608ADB}">
                                <a16:predDERef xmlns:a16="http://schemas.microsoft.com/office/drawing/2014/main" pred="{5FC9BDFC-C7ED-462B-A539-68B4A9BCCAA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984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0000"/>
            <w:vAlign w:val="center"/>
            <w:hideMark/>
          </w:tcPr>
          <w:p w14:paraId="792F4676"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4th Quartile Eng Av. 77.5 LA Av. 78.9 (2022/23)</w:t>
            </w:r>
          </w:p>
        </w:tc>
      </w:tr>
      <w:tr w:rsidR="00111BF8" w:rsidRPr="00EA2826" w14:paraId="22E16893" w14:textId="77777777" w:rsidTr="00111BF8">
        <w:trPr>
          <w:trHeight w:val="1560"/>
        </w:trPr>
        <w:tc>
          <w:tcPr>
            <w:tcW w:w="0" w:type="auto"/>
            <w:vMerge w:val="restart"/>
            <w:tcBorders>
              <w:top w:val="nil"/>
              <w:left w:val="single" w:sz="4" w:space="0" w:color="17B0DE"/>
              <w:bottom w:val="nil"/>
              <w:right w:val="single" w:sz="4" w:space="0" w:color="17B0DE"/>
            </w:tcBorders>
            <w:shd w:val="clear" w:color="000000" w:fill="B7E8F7"/>
            <w:vAlign w:val="center"/>
            <w:hideMark/>
          </w:tcPr>
          <w:p w14:paraId="467D156E" w14:textId="77777777" w:rsidR="00111BF8" w:rsidRPr="00EA2826" w:rsidRDefault="00111BF8" w:rsidP="00111BF8">
            <w:pPr>
              <w:spacing w:after="0" w:line="240" w:lineRule="auto"/>
              <w:jc w:val="center"/>
              <w:rPr>
                <w:rFonts w:ascii="Arial" w:eastAsia="Times New Roman" w:hAnsi="Arial" w:cs="Arial"/>
                <w:b/>
                <w:bCs/>
                <w:color w:val="000000"/>
                <w:sz w:val="20"/>
                <w:szCs w:val="20"/>
                <w:lang w:eastAsia="en-GB"/>
              </w:rPr>
            </w:pPr>
            <w:r w:rsidRPr="00EA2826">
              <w:rPr>
                <w:rFonts w:ascii="Arial" w:eastAsia="Times New Roman" w:hAnsi="Arial" w:cs="Arial"/>
                <w:b/>
                <w:bCs/>
                <w:color w:val="000000"/>
                <w:sz w:val="20"/>
                <w:szCs w:val="20"/>
                <w:lang w:eastAsia="en-GB"/>
              </w:rPr>
              <w:t>People have a positive experience of health and care services</w:t>
            </w:r>
          </w:p>
        </w:tc>
        <w:tc>
          <w:tcPr>
            <w:tcW w:w="0" w:type="auto"/>
            <w:tcBorders>
              <w:top w:val="nil"/>
              <w:left w:val="nil"/>
              <w:bottom w:val="single" w:sz="4" w:space="0" w:color="17B0DE"/>
              <w:right w:val="single" w:sz="4" w:space="0" w:color="17B0DE"/>
            </w:tcBorders>
            <w:shd w:val="clear" w:color="auto" w:fill="auto"/>
            <w:vAlign w:val="center"/>
            <w:hideMark/>
          </w:tcPr>
          <w:p w14:paraId="47AC0603"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ASC-002</w:t>
            </w:r>
          </w:p>
        </w:tc>
        <w:tc>
          <w:tcPr>
            <w:tcW w:w="0" w:type="auto"/>
            <w:tcBorders>
              <w:top w:val="nil"/>
              <w:left w:val="nil"/>
              <w:bottom w:val="single" w:sz="4" w:space="0" w:color="17B0DE"/>
              <w:right w:val="single" w:sz="4" w:space="0" w:color="auto"/>
            </w:tcBorders>
            <w:shd w:val="clear" w:color="auto" w:fill="auto"/>
            <w:vAlign w:val="center"/>
            <w:hideMark/>
          </w:tcPr>
          <w:p w14:paraId="2D6F6DE5"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Number of individuals (65+) in a Permanent Nursing placements - per 10,000 Population 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D7A4A3"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D3CEC4"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0DB00EF8"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77</w:t>
            </w:r>
          </w:p>
        </w:tc>
        <w:tc>
          <w:tcPr>
            <w:tcW w:w="0" w:type="auto"/>
            <w:tcBorders>
              <w:top w:val="nil"/>
              <w:left w:val="nil"/>
              <w:bottom w:val="single" w:sz="4" w:space="0" w:color="17B0DE"/>
              <w:right w:val="single" w:sz="4" w:space="0" w:color="17B0DE"/>
            </w:tcBorders>
            <w:shd w:val="clear" w:color="auto" w:fill="auto"/>
            <w:vAlign w:val="center"/>
            <w:hideMark/>
          </w:tcPr>
          <w:p w14:paraId="363B0ACC"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75</w:t>
            </w:r>
          </w:p>
        </w:tc>
        <w:tc>
          <w:tcPr>
            <w:tcW w:w="961"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0D22CE9E"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65.6</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1079B349" w14:textId="77777777" w:rsidR="00111BF8" w:rsidRPr="00EA2826" w:rsidRDefault="00111BF8" w:rsidP="00111BF8">
            <w:pPr>
              <w:spacing w:after="0" w:line="240" w:lineRule="auto"/>
              <w:jc w:val="center"/>
              <w:rPr>
                <w:rFonts w:ascii="Arial" w:eastAsia="Times New Roman" w:hAnsi="Arial" w:cs="Arial"/>
                <w:color w:val="00B050"/>
                <w:sz w:val="20"/>
                <w:szCs w:val="20"/>
                <w:lang w:eastAsia="en-GB"/>
              </w:rPr>
            </w:pPr>
            <w:r w:rsidRPr="00EA2826">
              <w:rPr>
                <w:rFonts w:ascii="Arial" w:eastAsia="Times New Roman" w:hAnsi="Arial" w:cs="Arial"/>
                <w:color w:val="00B050"/>
                <w:sz w:val="20"/>
                <w:szCs w:val="20"/>
                <w:lang w:eastAsia="en-GB"/>
              </w:rPr>
              <w:t>12.53%</w:t>
            </w:r>
          </w:p>
        </w:tc>
        <w:tc>
          <w:tcPr>
            <w:tcW w:w="0" w:type="auto"/>
            <w:tcBorders>
              <w:top w:val="nil"/>
              <w:left w:val="nil"/>
              <w:bottom w:val="single" w:sz="4" w:space="0" w:color="00B0F0"/>
              <w:right w:val="single" w:sz="4" w:space="0" w:color="00B0F0"/>
            </w:tcBorders>
            <w:shd w:val="clear" w:color="000000" w:fill="FFFFFF"/>
            <w:vAlign w:val="center"/>
            <w:hideMark/>
          </w:tcPr>
          <w:p w14:paraId="27DFB02B" w14:textId="2EFA111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noProof/>
                <w:sz w:val="20"/>
                <w:szCs w:val="20"/>
                <w:lang w:eastAsia="en-GB"/>
              </w:rPr>
              <w:drawing>
                <wp:anchor distT="0" distB="0" distL="114300" distR="114300" simplePos="0" relativeHeight="251658334" behindDoc="0" locked="0" layoutInCell="1" allowOverlap="1" wp14:anchorId="166A8B96" wp14:editId="403BB514">
                  <wp:simplePos x="0" y="0"/>
                  <wp:positionH relativeFrom="column">
                    <wp:posOffset>33020</wp:posOffset>
                  </wp:positionH>
                  <wp:positionV relativeFrom="paragraph">
                    <wp:posOffset>-13970</wp:posOffset>
                  </wp:positionV>
                  <wp:extent cx="285750" cy="260350"/>
                  <wp:effectExtent l="0" t="0" r="0" b="0"/>
                  <wp:wrapNone/>
                  <wp:docPr id="1824340907" name="Picture 39" descr="P942C104T16#y1">
                    <a:extLst xmlns:a="http://schemas.openxmlformats.org/drawingml/2006/main">
                      <a:ext uri="{FF2B5EF4-FFF2-40B4-BE49-F238E27FC236}">
                        <a16:creationId xmlns:a16="http://schemas.microsoft.com/office/drawing/2014/main" id="{EF40E55E-ECAC-4783-8AE3-CDF255042BE6}"/>
                      </a:ext>
                      <a:ext uri="{147F2762-F138-4A5C-976F-8EAC2B608ADB}">
                        <a16:predDERef xmlns:a16="http://schemas.microsoft.com/office/drawing/2014/main" pred="{7FA62F23-C299-4CFE-BBB6-DF8A98364340}"/>
                      </a:ext>
                    </a:extLst>
                  </wp:docPr>
                  <wp:cNvGraphicFramePr/>
                  <a:graphic xmlns:a="http://schemas.openxmlformats.org/drawingml/2006/main">
                    <a:graphicData uri="http://schemas.openxmlformats.org/drawingml/2006/picture">
                      <pic:pic xmlns:pic="http://schemas.openxmlformats.org/drawingml/2006/picture">
                        <pic:nvPicPr>
                          <pic:cNvPr id="1824340907" name="Picture 28" descr="P942C104T16#y1">
                            <a:extLst>
                              <a:ext uri="{FF2B5EF4-FFF2-40B4-BE49-F238E27FC236}">
                                <a16:creationId xmlns:a16="http://schemas.microsoft.com/office/drawing/2014/main" id="{EF40E55E-ECAC-4783-8AE3-CDF255042BE6}"/>
                              </a:ext>
                              <a:ext uri="{147F2762-F138-4A5C-976F-8EAC2B608ADB}">
                                <a16:predDERef xmlns:a16="http://schemas.microsoft.com/office/drawing/2014/main" pred="{7FA62F23-C299-4CFE-BBB6-DF8A9836434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FFFF"/>
            <w:vAlign w:val="center"/>
            <w:hideMark/>
          </w:tcPr>
          <w:p w14:paraId="0DEB9C8C" w14:textId="0DAC886A"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N/A</w:t>
            </w:r>
          </w:p>
        </w:tc>
      </w:tr>
      <w:tr w:rsidR="00111BF8" w:rsidRPr="00EA2826" w14:paraId="791F8867"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3C758E58"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04E28FA1"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ASC-003</w:t>
            </w:r>
          </w:p>
        </w:tc>
        <w:tc>
          <w:tcPr>
            <w:tcW w:w="0" w:type="auto"/>
            <w:tcBorders>
              <w:top w:val="nil"/>
              <w:left w:val="nil"/>
              <w:bottom w:val="single" w:sz="4" w:space="0" w:color="17B0DE"/>
              <w:right w:val="single" w:sz="4" w:space="0" w:color="auto"/>
            </w:tcBorders>
            <w:shd w:val="clear" w:color="auto" w:fill="auto"/>
            <w:vAlign w:val="center"/>
            <w:hideMark/>
          </w:tcPr>
          <w:p w14:paraId="02ACB5CF"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Number of individuals (65+) in a Permanent Residential placement - per 10,000 Population 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C7810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D66DA"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Lower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7D4F6EFE"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99</w:t>
            </w:r>
          </w:p>
        </w:tc>
        <w:tc>
          <w:tcPr>
            <w:tcW w:w="0" w:type="auto"/>
            <w:tcBorders>
              <w:top w:val="nil"/>
              <w:left w:val="nil"/>
              <w:bottom w:val="single" w:sz="4" w:space="0" w:color="17B0DE"/>
              <w:right w:val="single" w:sz="4" w:space="0" w:color="17B0DE"/>
            </w:tcBorders>
            <w:shd w:val="clear" w:color="auto" w:fill="auto"/>
            <w:vAlign w:val="center"/>
            <w:hideMark/>
          </w:tcPr>
          <w:p w14:paraId="6B61F02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95</w:t>
            </w:r>
          </w:p>
        </w:tc>
        <w:tc>
          <w:tcPr>
            <w:tcW w:w="961"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5DA55130"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85.8</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728EB46E" w14:textId="77777777" w:rsidR="00111BF8" w:rsidRPr="00EA2826" w:rsidRDefault="00111BF8" w:rsidP="00111BF8">
            <w:pPr>
              <w:spacing w:after="0" w:line="240" w:lineRule="auto"/>
              <w:jc w:val="center"/>
              <w:rPr>
                <w:rFonts w:ascii="Arial" w:eastAsia="Times New Roman" w:hAnsi="Arial" w:cs="Arial"/>
                <w:color w:val="00B050"/>
                <w:sz w:val="20"/>
                <w:szCs w:val="20"/>
                <w:lang w:eastAsia="en-GB"/>
              </w:rPr>
            </w:pPr>
            <w:r w:rsidRPr="00EA2826">
              <w:rPr>
                <w:rFonts w:ascii="Arial" w:eastAsia="Times New Roman" w:hAnsi="Arial" w:cs="Arial"/>
                <w:color w:val="00B050"/>
                <w:sz w:val="20"/>
                <w:szCs w:val="20"/>
                <w:lang w:eastAsia="en-GB"/>
              </w:rPr>
              <w:t>9.68%</w:t>
            </w:r>
          </w:p>
        </w:tc>
        <w:tc>
          <w:tcPr>
            <w:tcW w:w="0" w:type="auto"/>
            <w:tcBorders>
              <w:top w:val="nil"/>
              <w:left w:val="nil"/>
              <w:bottom w:val="single" w:sz="4" w:space="0" w:color="00B0F0"/>
              <w:right w:val="single" w:sz="4" w:space="0" w:color="00B0F0"/>
            </w:tcBorders>
            <w:shd w:val="clear" w:color="000000" w:fill="FFFFFF"/>
            <w:vAlign w:val="center"/>
            <w:hideMark/>
          </w:tcPr>
          <w:p w14:paraId="67ACD166" w14:textId="3F00E37C"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noProof/>
                <w:sz w:val="20"/>
                <w:szCs w:val="20"/>
                <w:lang w:eastAsia="en-GB"/>
              </w:rPr>
              <w:drawing>
                <wp:anchor distT="0" distB="0" distL="114300" distR="114300" simplePos="0" relativeHeight="251658333" behindDoc="0" locked="0" layoutInCell="1" allowOverlap="1" wp14:anchorId="1079B13E" wp14:editId="69AE1FE1">
                  <wp:simplePos x="0" y="0"/>
                  <wp:positionH relativeFrom="column">
                    <wp:posOffset>29210</wp:posOffset>
                  </wp:positionH>
                  <wp:positionV relativeFrom="paragraph">
                    <wp:posOffset>-5080</wp:posOffset>
                  </wp:positionV>
                  <wp:extent cx="285750" cy="254000"/>
                  <wp:effectExtent l="0" t="0" r="0" b="0"/>
                  <wp:wrapNone/>
                  <wp:docPr id="12" name="Picture 40" descr="P954C114T16#y1">
                    <a:extLst xmlns:a="http://schemas.openxmlformats.org/drawingml/2006/main">
                      <a:ext uri="{FF2B5EF4-FFF2-40B4-BE49-F238E27FC236}">
                        <a16:creationId xmlns:a16="http://schemas.microsoft.com/office/drawing/2014/main" id="{D0A445D6-10A5-4805-90D6-5B4B5CF1EF79}"/>
                      </a:ext>
                      <a:ext uri="{147F2762-F138-4A5C-976F-8EAC2B608ADB}">
                        <a16:predDERef xmlns:a16="http://schemas.microsoft.com/office/drawing/2014/main" pred="{7FA62F23-C299-4CFE-BBB6-DF8A98364340}"/>
                      </a:ext>
                    </a:extLst>
                  </wp:docPr>
                  <wp:cNvGraphicFramePr/>
                  <a:graphic xmlns:a="http://schemas.openxmlformats.org/drawingml/2006/main">
                    <a:graphicData uri="http://schemas.openxmlformats.org/drawingml/2006/picture">
                      <pic:pic xmlns:pic="http://schemas.openxmlformats.org/drawingml/2006/picture">
                        <pic:nvPicPr>
                          <pic:cNvPr id="12" name="Picture 27" descr="P954C114T16#y1">
                            <a:extLst>
                              <a:ext uri="{FF2B5EF4-FFF2-40B4-BE49-F238E27FC236}">
                                <a16:creationId xmlns:a16="http://schemas.microsoft.com/office/drawing/2014/main" id="{D0A445D6-10A5-4805-90D6-5B4B5CF1EF79}"/>
                              </a:ext>
                              <a:ext uri="{147F2762-F138-4A5C-976F-8EAC2B608ADB}">
                                <a16:predDERef xmlns:a16="http://schemas.microsoft.com/office/drawing/2014/main" pred="{7FA62F23-C299-4CFE-BBB6-DF8A9836434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FFFF"/>
            <w:vAlign w:val="center"/>
            <w:hideMark/>
          </w:tcPr>
          <w:p w14:paraId="133BD322" w14:textId="7182B905"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N/A</w:t>
            </w:r>
          </w:p>
        </w:tc>
      </w:tr>
      <w:tr w:rsidR="00111BF8" w:rsidRPr="00EA2826" w14:paraId="7984EF75"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49C0DB71"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06AF59F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ASC-005A</w:t>
            </w:r>
          </w:p>
        </w:tc>
        <w:tc>
          <w:tcPr>
            <w:tcW w:w="0" w:type="auto"/>
            <w:tcBorders>
              <w:top w:val="nil"/>
              <w:left w:val="nil"/>
              <w:bottom w:val="single" w:sz="4" w:space="0" w:color="17B0DE"/>
              <w:right w:val="single" w:sz="4" w:space="0" w:color="auto"/>
            </w:tcBorders>
            <w:shd w:val="clear" w:color="auto" w:fill="auto"/>
            <w:vAlign w:val="center"/>
            <w:hideMark/>
          </w:tcPr>
          <w:p w14:paraId="101C13E2"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Percentage of Residential Homes rated outstanding or 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3377D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88D8BA"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29EF5A2C"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100%</w:t>
            </w:r>
          </w:p>
        </w:tc>
        <w:tc>
          <w:tcPr>
            <w:tcW w:w="0" w:type="auto"/>
            <w:tcBorders>
              <w:top w:val="nil"/>
              <w:left w:val="nil"/>
              <w:bottom w:val="single" w:sz="4" w:space="0" w:color="17B0DE"/>
              <w:right w:val="single" w:sz="4" w:space="0" w:color="17B0DE"/>
            </w:tcBorders>
            <w:shd w:val="clear" w:color="auto" w:fill="auto"/>
            <w:vAlign w:val="center"/>
            <w:hideMark/>
          </w:tcPr>
          <w:p w14:paraId="5E63148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100%</w:t>
            </w:r>
          </w:p>
        </w:tc>
        <w:tc>
          <w:tcPr>
            <w:tcW w:w="961"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1C6F12D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100</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7662D3AE" w14:textId="77777777" w:rsidR="00111BF8" w:rsidRPr="00EA2826" w:rsidRDefault="00111BF8" w:rsidP="00111BF8">
            <w:pPr>
              <w:spacing w:after="0" w:line="240" w:lineRule="auto"/>
              <w:jc w:val="center"/>
              <w:rPr>
                <w:rFonts w:ascii="Arial" w:eastAsia="Times New Roman" w:hAnsi="Arial" w:cs="Arial"/>
                <w:color w:val="00B050"/>
                <w:sz w:val="20"/>
                <w:szCs w:val="20"/>
                <w:lang w:eastAsia="en-GB"/>
              </w:rPr>
            </w:pPr>
            <w:r w:rsidRPr="00EA2826">
              <w:rPr>
                <w:rFonts w:ascii="Arial" w:eastAsia="Times New Roman" w:hAnsi="Arial" w:cs="Arial"/>
                <w:color w:val="00B050"/>
                <w:sz w:val="20"/>
                <w:szCs w:val="20"/>
                <w:lang w:eastAsia="en-GB"/>
              </w:rPr>
              <w:t>0%</w:t>
            </w:r>
          </w:p>
        </w:tc>
        <w:tc>
          <w:tcPr>
            <w:tcW w:w="0" w:type="auto"/>
            <w:tcBorders>
              <w:top w:val="nil"/>
              <w:left w:val="nil"/>
              <w:bottom w:val="single" w:sz="4" w:space="0" w:color="00B0F0"/>
              <w:right w:val="single" w:sz="4" w:space="0" w:color="00B0F0"/>
            </w:tcBorders>
            <w:shd w:val="clear" w:color="000000" w:fill="FFFFFF"/>
            <w:vAlign w:val="center"/>
            <w:hideMark/>
          </w:tcPr>
          <w:p w14:paraId="485FC281" w14:textId="403A8B01"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noProof/>
                <w:sz w:val="20"/>
                <w:szCs w:val="20"/>
                <w:lang w:eastAsia="en-GB"/>
              </w:rPr>
              <mc:AlternateContent>
                <mc:Choice Requires="wps">
                  <w:drawing>
                    <wp:anchor distT="0" distB="0" distL="114300" distR="114300" simplePos="0" relativeHeight="251658332" behindDoc="0" locked="0" layoutInCell="1" allowOverlap="1" wp14:anchorId="27915065" wp14:editId="6FB98688">
                      <wp:simplePos x="0" y="0"/>
                      <wp:positionH relativeFrom="column">
                        <wp:posOffset>26670</wp:posOffset>
                      </wp:positionH>
                      <wp:positionV relativeFrom="paragraph">
                        <wp:posOffset>40640</wp:posOffset>
                      </wp:positionV>
                      <wp:extent cx="342900" cy="260350"/>
                      <wp:effectExtent l="0" t="0" r="19050" b="25400"/>
                      <wp:wrapNone/>
                      <wp:docPr id="13" name="Arrow: Left-Right 41" descr="P966C124T16#y1">
                        <a:extLst xmlns:a="http://schemas.openxmlformats.org/drawingml/2006/main">
                          <a:ext uri="{FF2B5EF4-FFF2-40B4-BE49-F238E27FC236}">
                            <a16:creationId xmlns:a16="http://schemas.microsoft.com/office/drawing/2014/main" id="{CC2D88F3-C6A6-423C-80FD-B196D26CBCF0}"/>
                          </a:ext>
                          <a:ext uri="{147F2762-F138-4A5C-976F-8EAC2B608ADB}">
                            <a16:predDERef xmlns:a16="http://schemas.microsoft.com/office/drawing/2014/main" pred="{D6653300-556E-499D-9393-67B1916867BF}"/>
                          </a:ext>
                        </a:extLst>
                      </wp:docPr>
                      <wp:cNvGraphicFramePr/>
                      <a:graphic xmlns:a="http://schemas.openxmlformats.org/drawingml/2006/main">
                        <a:graphicData uri="http://schemas.microsoft.com/office/word/2010/wordprocessingShape">
                          <wps:wsp>
                            <wps:cNvSpPr/>
                            <wps:spPr>
                              <a:xfrm>
                                <a:off x="0" y="0"/>
                                <a:ext cx="342900" cy="2603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73FAE71" id="Arrow: Left-Right 41" o:spid="_x0000_s1026" type="#_x0000_t69" alt="P966C124T16#y1" style="position:absolute;margin-left:2.1pt;margin-top:3.2pt;width:27pt;height:2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" adj="8200" fillcolor="black [3200]" strokecolor="black [1600]" strokeweight="2pt"/>
                  </w:pict>
                </mc:Fallback>
              </mc:AlternateContent>
            </w:r>
          </w:p>
        </w:tc>
        <w:tc>
          <w:tcPr>
            <w:tcW w:w="0" w:type="auto"/>
            <w:tcBorders>
              <w:top w:val="nil"/>
              <w:left w:val="single" w:sz="4" w:space="0" w:color="00B0F0"/>
              <w:bottom w:val="single" w:sz="4" w:space="0" w:color="00B0F0"/>
              <w:right w:val="single" w:sz="4" w:space="0" w:color="00B0F0"/>
            </w:tcBorders>
            <w:shd w:val="clear" w:color="000000" w:fill="FFFFFF"/>
            <w:vAlign w:val="center"/>
            <w:hideMark/>
          </w:tcPr>
          <w:p w14:paraId="026BB82B" w14:textId="0EBE93D8"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N/A</w:t>
            </w:r>
          </w:p>
        </w:tc>
      </w:tr>
      <w:tr w:rsidR="00111BF8" w:rsidRPr="00EA2826" w14:paraId="3706C937"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7BE3514A"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5AB2897B"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ASC-005B</w:t>
            </w:r>
          </w:p>
        </w:tc>
        <w:tc>
          <w:tcPr>
            <w:tcW w:w="0" w:type="auto"/>
            <w:tcBorders>
              <w:top w:val="nil"/>
              <w:left w:val="nil"/>
              <w:bottom w:val="single" w:sz="4" w:space="0" w:color="17B0DE"/>
              <w:right w:val="single" w:sz="4" w:space="0" w:color="auto"/>
            </w:tcBorders>
            <w:shd w:val="clear" w:color="auto" w:fill="auto"/>
            <w:vAlign w:val="center"/>
            <w:hideMark/>
          </w:tcPr>
          <w:p w14:paraId="0E51086E"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Percentage of Nursing Homes rated outstanding or 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BD282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9F885"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7D7FE16D"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83%</w:t>
            </w:r>
          </w:p>
        </w:tc>
        <w:tc>
          <w:tcPr>
            <w:tcW w:w="0" w:type="auto"/>
            <w:tcBorders>
              <w:top w:val="nil"/>
              <w:left w:val="nil"/>
              <w:bottom w:val="single" w:sz="4" w:space="0" w:color="17B0DE"/>
              <w:right w:val="single" w:sz="4" w:space="0" w:color="17B0DE"/>
            </w:tcBorders>
            <w:shd w:val="clear" w:color="auto" w:fill="auto"/>
            <w:vAlign w:val="center"/>
            <w:hideMark/>
          </w:tcPr>
          <w:p w14:paraId="2DF80E02"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86%</w:t>
            </w:r>
          </w:p>
        </w:tc>
        <w:tc>
          <w:tcPr>
            <w:tcW w:w="961" w:type="dxa"/>
            <w:tcBorders>
              <w:top w:val="single" w:sz="4" w:space="0" w:color="17B0DE"/>
              <w:left w:val="single" w:sz="4" w:space="0" w:color="17B0DE"/>
              <w:bottom w:val="single" w:sz="4" w:space="0" w:color="17B0DE"/>
              <w:right w:val="single" w:sz="4" w:space="0" w:color="17B0DE"/>
            </w:tcBorders>
            <w:shd w:val="clear" w:color="000000" w:fill="FFC000"/>
            <w:vAlign w:val="center"/>
            <w:hideMark/>
          </w:tcPr>
          <w:p w14:paraId="09D80FB4"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83.3</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4AA29BA6"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5B6467">
              <w:rPr>
                <w:rFonts w:ascii="Arial" w:eastAsia="Times New Roman" w:hAnsi="Arial" w:cs="Arial"/>
                <w:sz w:val="20"/>
                <w:szCs w:val="20"/>
                <w:lang w:eastAsia="en-GB"/>
              </w:rPr>
              <w:t>-3.14%</w:t>
            </w:r>
          </w:p>
        </w:tc>
        <w:tc>
          <w:tcPr>
            <w:tcW w:w="0" w:type="auto"/>
            <w:tcBorders>
              <w:top w:val="nil"/>
              <w:left w:val="nil"/>
              <w:bottom w:val="single" w:sz="4" w:space="0" w:color="00B0F0"/>
              <w:right w:val="single" w:sz="4" w:space="0" w:color="00B0F0"/>
            </w:tcBorders>
            <w:shd w:val="clear" w:color="000000" w:fill="FFFFFF"/>
            <w:vAlign w:val="center"/>
            <w:hideMark/>
          </w:tcPr>
          <w:p w14:paraId="5B3A0625" w14:textId="79CC74BD"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noProof/>
                <w:sz w:val="20"/>
                <w:szCs w:val="20"/>
                <w:lang w:eastAsia="en-GB"/>
              </w:rPr>
              <mc:AlternateContent>
                <mc:Choice Requires="wps">
                  <w:drawing>
                    <wp:anchor distT="0" distB="0" distL="114300" distR="114300" simplePos="0" relativeHeight="251658338" behindDoc="0" locked="0" layoutInCell="1" allowOverlap="1" wp14:anchorId="0CC6075D" wp14:editId="0C4A93DA">
                      <wp:simplePos x="0" y="0"/>
                      <wp:positionH relativeFrom="column">
                        <wp:posOffset>635</wp:posOffset>
                      </wp:positionH>
                      <wp:positionV relativeFrom="paragraph">
                        <wp:posOffset>72390</wp:posOffset>
                      </wp:positionV>
                      <wp:extent cx="342900" cy="254000"/>
                      <wp:effectExtent l="0" t="0" r="19050" b="12700"/>
                      <wp:wrapNone/>
                      <wp:docPr id="40" name="Arrow: Left-Right 42" descr="P978C134T16#y1">
                        <a:extLst xmlns:a="http://schemas.openxmlformats.org/drawingml/2006/main">
                          <a:ext uri="{FF2B5EF4-FFF2-40B4-BE49-F238E27FC236}">
                            <a16:creationId xmlns:a16="http://schemas.microsoft.com/office/drawing/2014/main" id="{14628855-4C9E-4559-B67B-DC04A1655333}"/>
                          </a:ext>
                          <a:ext uri="{147F2762-F138-4A5C-976F-8EAC2B608ADB}">
                            <a16:predDERef xmlns:a16="http://schemas.microsoft.com/office/drawing/2014/main" pred="{D6653300-556E-499D-9393-67B1916867BF}"/>
                          </a:ext>
                        </a:extLst>
                      </wp:docPr>
                      <wp:cNvGraphicFramePr/>
                      <a:graphic xmlns:a="http://schemas.openxmlformats.org/drawingml/2006/main">
                        <a:graphicData uri="http://schemas.microsoft.com/office/word/2010/wordprocessingShape">
                          <wps:wsp>
                            <wps:cNvSpPr/>
                            <wps:spPr>
                              <a:xfrm>
                                <a:off x="0" y="0"/>
                                <a:ext cx="342900" cy="2540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E4682FA" id="Arrow: Left-Right 42" o:spid="_x0000_s1026" type="#_x0000_t69" alt="P978C134T16#y1" style="position:absolute;margin-left:.05pt;margin-top:5.7pt;width:27pt;height:2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" adj="8000" fillcolor="black [3200]" strokecolor="black [1600]" strokeweight="2pt"/>
                  </w:pict>
                </mc:Fallback>
              </mc:AlternateContent>
            </w:r>
          </w:p>
        </w:tc>
        <w:tc>
          <w:tcPr>
            <w:tcW w:w="0" w:type="auto"/>
            <w:tcBorders>
              <w:top w:val="nil"/>
              <w:left w:val="single" w:sz="4" w:space="0" w:color="00B0F0"/>
              <w:bottom w:val="single" w:sz="4" w:space="0" w:color="00B0F0"/>
              <w:right w:val="single" w:sz="4" w:space="0" w:color="00B0F0"/>
            </w:tcBorders>
            <w:shd w:val="clear" w:color="000000" w:fill="FFFFFF"/>
            <w:vAlign w:val="center"/>
            <w:hideMark/>
          </w:tcPr>
          <w:p w14:paraId="1FC0804D" w14:textId="4378511C"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N/A</w:t>
            </w:r>
          </w:p>
        </w:tc>
      </w:tr>
      <w:tr w:rsidR="00111BF8" w:rsidRPr="00EA2826" w14:paraId="5DBE3AFC"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1A620226"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3CF92400"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ASC-006</w:t>
            </w:r>
          </w:p>
        </w:tc>
        <w:tc>
          <w:tcPr>
            <w:tcW w:w="0" w:type="auto"/>
            <w:tcBorders>
              <w:top w:val="nil"/>
              <w:left w:val="nil"/>
              <w:bottom w:val="single" w:sz="4" w:space="0" w:color="17B0DE"/>
              <w:right w:val="single" w:sz="4" w:space="0" w:color="auto"/>
            </w:tcBorders>
            <w:shd w:val="clear" w:color="auto" w:fill="auto"/>
            <w:vAlign w:val="center"/>
            <w:hideMark/>
          </w:tcPr>
          <w:p w14:paraId="3CE6F6AE"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Percentage of people using adult social care who receive direct payments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2538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AD4C8"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FF0000"/>
            <w:vAlign w:val="center"/>
            <w:hideMark/>
          </w:tcPr>
          <w:p w14:paraId="11E1D0BB"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19.8%</w:t>
            </w:r>
          </w:p>
        </w:tc>
        <w:tc>
          <w:tcPr>
            <w:tcW w:w="0" w:type="auto"/>
            <w:tcBorders>
              <w:top w:val="nil"/>
              <w:left w:val="nil"/>
              <w:bottom w:val="single" w:sz="4" w:space="0" w:color="17B0DE"/>
              <w:right w:val="single" w:sz="4" w:space="0" w:color="17B0DE"/>
            </w:tcBorders>
            <w:shd w:val="clear" w:color="auto" w:fill="auto"/>
            <w:vAlign w:val="center"/>
            <w:hideMark/>
          </w:tcPr>
          <w:p w14:paraId="1F1141C5"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25%</w:t>
            </w:r>
          </w:p>
        </w:tc>
        <w:tc>
          <w:tcPr>
            <w:tcW w:w="961"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5FE28477"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20</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07878CA8" w14:textId="77777777" w:rsidR="00111BF8" w:rsidRPr="00EA2826" w:rsidRDefault="00111BF8" w:rsidP="00111BF8">
            <w:pPr>
              <w:spacing w:after="0" w:line="240" w:lineRule="auto"/>
              <w:jc w:val="center"/>
              <w:rPr>
                <w:rFonts w:ascii="Arial" w:eastAsia="Times New Roman" w:hAnsi="Arial" w:cs="Arial"/>
                <w:color w:val="FF0000"/>
                <w:sz w:val="20"/>
                <w:szCs w:val="20"/>
                <w:lang w:eastAsia="en-GB"/>
              </w:rPr>
            </w:pPr>
            <w:r w:rsidRPr="00EA2826">
              <w:rPr>
                <w:rFonts w:ascii="Arial" w:eastAsia="Times New Roman" w:hAnsi="Arial" w:cs="Arial"/>
                <w:color w:val="FF0000"/>
                <w:sz w:val="20"/>
                <w:szCs w:val="20"/>
                <w:lang w:eastAsia="en-GB"/>
              </w:rPr>
              <w:t>-20%</w:t>
            </w:r>
          </w:p>
        </w:tc>
        <w:tc>
          <w:tcPr>
            <w:tcW w:w="0" w:type="auto"/>
            <w:tcBorders>
              <w:top w:val="nil"/>
              <w:left w:val="nil"/>
              <w:bottom w:val="single" w:sz="4" w:space="0" w:color="00B0F0"/>
              <w:right w:val="single" w:sz="4" w:space="0" w:color="00B0F0"/>
            </w:tcBorders>
            <w:shd w:val="clear" w:color="000000" w:fill="FFFFFF"/>
            <w:vAlign w:val="center"/>
            <w:hideMark/>
          </w:tcPr>
          <w:p w14:paraId="762BC8A4" w14:textId="7EF9433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noProof/>
                <w:sz w:val="20"/>
                <w:szCs w:val="20"/>
                <w:lang w:eastAsia="en-GB"/>
              </w:rPr>
              <w:drawing>
                <wp:anchor distT="0" distB="0" distL="114300" distR="114300" simplePos="0" relativeHeight="251658331" behindDoc="0" locked="0" layoutInCell="1" allowOverlap="1" wp14:anchorId="24153801" wp14:editId="4C02B42A">
                  <wp:simplePos x="0" y="0"/>
                  <wp:positionH relativeFrom="column">
                    <wp:posOffset>37465</wp:posOffset>
                  </wp:positionH>
                  <wp:positionV relativeFrom="paragraph">
                    <wp:posOffset>37465</wp:posOffset>
                  </wp:positionV>
                  <wp:extent cx="279400" cy="247650"/>
                  <wp:effectExtent l="0" t="0" r="6350" b="0"/>
                  <wp:wrapNone/>
                  <wp:docPr id="1169131627" name="Picture 43" descr="P990C144T16#y1">
                    <a:extLst xmlns:a="http://schemas.openxmlformats.org/drawingml/2006/main">
                      <a:ext uri="{FF2B5EF4-FFF2-40B4-BE49-F238E27FC236}">
                        <a16:creationId xmlns:a16="http://schemas.microsoft.com/office/drawing/2014/main" id="{E4745421-0034-404F-A256-754262CE659C}"/>
                      </a:ext>
                      <a:ext uri="{147F2762-F138-4A5C-976F-8EAC2B608ADB}">
                        <a16:predDERef xmlns:a16="http://schemas.microsoft.com/office/drawing/2014/main" pred="{A343E14D-7565-41D7-BA62-EC743280B225}"/>
                      </a:ext>
                    </a:extLst>
                  </wp:docPr>
                  <wp:cNvGraphicFramePr/>
                  <a:graphic xmlns:a="http://schemas.openxmlformats.org/drawingml/2006/main">
                    <a:graphicData uri="http://schemas.openxmlformats.org/drawingml/2006/picture">
                      <pic:pic xmlns:pic="http://schemas.openxmlformats.org/drawingml/2006/picture">
                        <pic:nvPicPr>
                          <pic:cNvPr id="1169131627" name="Picture 24" descr="P990C144T16#y1">
                            <a:extLst>
                              <a:ext uri="{FF2B5EF4-FFF2-40B4-BE49-F238E27FC236}">
                                <a16:creationId xmlns:a16="http://schemas.microsoft.com/office/drawing/2014/main" id="{E4745421-0034-404F-A256-754262CE659C}"/>
                              </a:ext>
                              <a:ext uri="{147F2762-F138-4A5C-976F-8EAC2B608ADB}">
                                <a16:predDERef xmlns:a16="http://schemas.microsoft.com/office/drawing/2014/main" pred="{A343E14D-7565-41D7-BA62-EC743280B225}"/>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C000"/>
            <w:vAlign w:val="center"/>
            <w:hideMark/>
          </w:tcPr>
          <w:p w14:paraId="5FE48B3B" w14:textId="6DD0D145"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3rd Quartile Eng Av. 26.2 LA Av. 28.2 (2022/23)</w:t>
            </w:r>
          </w:p>
        </w:tc>
      </w:tr>
      <w:tr w:rsidR="00111BF8" w:rsidRPr="00EA2826" w14:paraId="6E5F7462"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65E9CC9B"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555B4833"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ASC-007</w:t>
            </w:r>
          </w:p>
        </w:tc>
        <w:tc>
          <w:tcPr>
            <w:tcW w:w="0" w:type="auto"/>
            <w:tcBorders>
              <w:top w:val="nil"/>
              <w:left w:val="nil"/>
              <w:bottom w:val="single" w:sz="4" w:space="0" w:color="17B0DE"/>
              <w:right w:val="single" w:sz="4" w:space="0" w:color="auto"/>
            </w:tcBorders>
            <w:shd w:val="clear" w:color="auto" w:fill="auto"/>
            <w:vAlign w:val="center"/>
            <w:hideMark/>
          </w:tcPr>
          <w:p w14:paraId="29EDA9F7" w14:textId="59844295" w:rsidR="00111BF8" w:rsidRPr="00EA2826" w:rsidRDefault="00111BF8" w:rsidP="00111B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Percentage of service</w:t>
            </w:r>
            <w:r w:rsidRPr="00EA2826">
              <w:rPr>
                <w:rFonts w:ascii="Arial" w:eastAsia="Times New Roman" w:hAnsi="Arial" w:cs="Arial"/>
                <w:color w:val="000000"/>
                <w:sz w:val="20"/>
                <w:szCs w:val="20"/>
                <w:lang w:eastAsia="en-GB"/>
              </w:rPr>
              <w:t xml:space="preserve"> user</w:t>
            </w:r>
            <w:r>
              <w:rPr>
                <w:rFonts w:ascii="Arial" w:eastAsia="Times New Roman" w:hAnsi="Arial" w:cs="Arial"/>
                <w:color w:val="000000"/>
                <w:sz w:val="20"/>
                <w:szCs w:val="20"/>
                <w:lang w:eastAsia="en-GB"/>
              </w:rPr>
              <w:t>s</w:t>
            </w:r>
            <w:r w:rsidRPr="00EA2826">
              <w:rPr>
                <w:rFonts w:ascii="Arial" w:eastAsia="Times New Roman" w:hAnsi="Arial" w:cs="Arial"/>
                <w:color w:val="000000"/>
                <w:sz w:val="20"/>
                <w:szCs w:val="20"/>
                <w:lang w:eastAsia="en-GB"/>
              </w:rPr>
              <w:t xml:space="preserve"> satis</w:t>
            </w:r>
            <w:r>
              <w:rPr>
                <w:rFonts w:ascii="Arial" w:eastAsia="Times New Roman" w:hAnsi="Arial" w:cs="Arial"/>
                <w:color w:val="000000"/>
                <w:sz w:val="20"/>
                <w:szCs w:val="20"/>
                <w:lang w:eastAsia="en-GB"/>
              </w:rPr>
              <w:t>fied or partially satisfied</w:t>
            </w:r>
            <w:r w:rsidRPr="00EA2826">
              <w:rPr>
                <w:rFonts w:ascii="Arial" w:eastAsia="Times New Roman" w:hAnsi="Arial" w:cs="Arial"/>
                <w:color w:val="000000"/>
                <w:sz w:val="20"/>
                <w:szCs w:val="20"/>
                <w:lang w:eastAsia="en-GB"/>
              </w:rPr>
              <w:t xml:space="preserve"> with safeguarding outcome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9E2F9D"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956D6E"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FF0000"/>
            <w:vAlign w:val="center"/>
            <w:hideMark/>
          </w:tcPr>
          <w:p w14:paraId="7793F52A"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70%</w:t>
            </w:r>
          </w:p>
        </w:tc>
        <w:tc>
          <w:tcPr>
            <w:tcW w:w="0" w:type="auto"/>
            <w:tcBorders>
              <w:top w:val="nil"/>
              <w:left w:val="nil"/>
              <w:bottom w:val="single" w:sz="4" w:space="0" w:color="17B0DE"/>
              <w:right w:val="single" w:sz="4" w:space="0" w:color="17B0DE"/>
            </w:tcBorders>
            <w:shd w:val="clear" w:color="auto" w:fill="auto"/>
            <w:vAlign w:val="center"/>
            <w:hideMark/>
          </w:tcPr>
          <w:p w14:paraId="02315528"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75%</w:t>
            </w:r>
          </w:p>
        </w:tc>
        <w:tc>
          <w:tcPr>
            <w:tcW w:w="961"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45F18EB6"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80</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21B79457" w14:textId="77777777" w:rsidR="00111BF8" w:rsidRPr="00EA2826" w:rsidRDefault="00111BF8" w:rsidP="00111BF8">
            <w:pPr>
              <w:spacing w:after="0" w:line="240" w:lineRule="auto"/>
              <w:jc w:val="center"/>
              <w:rPr>
                <w:rFonts w:ascii="Arial" w:eastAsia="Times New Roman" w:hAnsi="Arial" w:cs="Arial"/>
                <w:color w:val="00B050"/>
                <w:sz w:val="20"/>
                <w:szCs w:val="20"/>
                <w:lang w:eastAsia="en-GB"/>
              </w:rPr>
            </w:pPr>
            <w:r w:rsidRPr="00EA2826">
              <w:rPr>
                <w:rFonts w:ascii="Arial" w:eastAsia="Times New Roman" w:hAnsi="Arial" w:cs="Arial"/>
                <w:color w:val="00B050"/>
                <w:sz w:val="20"/>
                <w:szCs w:val="20"/>
                <w:lang w:eastAsia="en-GB"/>
              </w:rPr>
              <w:t>6.67%</w:t>
            </w:r>
          </w:p>
        </w:tc>
        <w:tc>
          <w:tcPr>
            <w:tcW w:w="0" w:type="auto"/>
            <w:tcBorders>
              <w:top w:val="nil"/>
              <w:left w:val="nil"/>
              <w:bottom w:val="single" w:sz="4" w:space="0" w:color="00B0F0"/>
              <w:right w:val="single" w:sz="4" w:space="0" w:color="00B0F0"/>
            </w:tcBorders>
            <w:shd w:val="clear" w:color="000000" w:fill="FFFFFF"/>
            <w:vAlign w:val="bottom"/>
            <w:hideMark/>
          </w:tcPr>
          <w:p w14:paraId="1AC28B33" w14:textId="5536AFC3"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30" behindDoc="0" locked="0" layoutInCell="1" allowOverlap="1" wp14:anchorId="5D124133" wp14:editId="3B9AFB09">
                  <wp:simplePos x="0" y="0"/>
                  <wp:positionH relativeFrom="column">
                    <wp:posOffset>92710</wp:posOffset>
                  </wp:positionH>
                  <wp:positionV relativeFrom="paragraph">
                    <wp:posOffset>-560705</wp:posOffset>
                  </wp:positionV>
                  <wp:extent cx="292100" cy="260350"/>
                  <wp:effectExtent l="0" t="0" r="0" b="0"/>
                  <wp:wrapNone/>
                  <wp:docPr id="17" name="Picture 44" descr="P1002C154T16#y1">
                    <a:extLst xmlns:a="http://schemas.openxmlformats.org/drawingml/2006/main">
                      <a:ext uri="{FF2B5EF4-FFF2-40B4-BE49-F238E27FC236}">
                        <a16:creationId xmlns:a16="http://schemas.microsoft.com/office/drawing/2014/main" id="{BD8C3BB9-230A-4A84-9C86-C508905F3081}"/>
                      </a:ext>
                      <a:ext uri="{147F2762-F138-4A5C-976F-8EAC2B608ADB}">
                        <a16:predDERef xmlns:a16="http://schemas.microsoft.com/office/drawing/2014/main" pred="{EF0B277F-4087-41BC-93E3-286CE0B364B0}"/>
                      </a:ext>
                    </a:extLst>
                  </wp:docPr>
                  <wp:cNvGraphicFramePr/>
                  <a:graphic xmlns:a="http://schemas.openxmlformats.org/drawingml/2006/main">
                    <a:graphicData uri="http://schemas.openxmlformats.org/drawingml/2006/picture">
                      <pic:pic xmlns:pic="http://schemas.openxmlformats.org/drawingml/2006/picture">
                        <pic:nvPicPr>
                          <pic:cNvPr id="17" name="Picture 23" descr="P1002C154T16#y1">
                            <a:extLst>
                              <a:ext uri="{FF2B5EF4-FFF2-40B4-BE49-F238E27FC236}">
                                <a16:creationId xmlns:a16="http://schemas.microsoft.com/office/drawing/2014/main" id="{BD8C3BB9-230A-4A84-9C86-C508905F3081}"/>
                              </a:ext>
                              <a:ext uri="{147F2762-F138-4A5C-976F-8EAC2B608ADB}">
                                <a16:predDERef xmlns:a16="http://schemas.microsoft.com/office/drawing/2014/main" pred="{EF0B277F-4087-41BC-93E3-286CE0B364B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auto" w:fill="auto"/>
            <w:vAlign w:val="center"/>
            <w:hideMark/>
          </w:tcPr>
          <w:p w14:paraId="50A53E9A" w14:textId="053173DE"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N/A</w:t>
            </w:r>
          </w:p>
        </w:tc>
      </w:tr>
      <w:tr w:rsidR="00111BF8" w:rsidRPr="00EA2826" w14:paraId="5CBC62AB" w14:textId="77777777" w:rsidTr="00111BF8">
        <w:trPr>
          <w:trHeight w:val="1560"/>
        </w:trPr>
        <w:tc>
          <w:tcPr>
            <w:tcW w:w="0" w:type="auto"/>
            <w:vMerge/>
            <w:tcBorders>
              <w:top w:val="nil"/>
              <w:left w:val="single" w:sz="4" w:space="0" w:color="17B0DE"/>
              <w:bottom w:val="nil"/>
              <w:right w:val="single" w:sz="4" w:space="0" w:color="17B0DE"/>
            </w:tcBorders>
            <w:vAlign w:val="center"/>
            <w:hideMark/>
          </w:tcPr>
          <w:p w14:paraId="5F00B6A8" w14:textId="77777777" w:rsidR="00111BF8" w:rsidRPr="00EA2826" w:rsidRDefault="00111BF8" w:rsidP="00111BF8">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17B0DE"/>
              <w:right w:val="single" w:sz="4" w:space="0" w:color="17B0DE"/>
            </w:tcBorders>
            <w:shd w:val="clear" w:color="auto" w:fill="auto"/>
            <w:vAlign w:val="center"/>
            <w:hideMark/>
          </w:tcPr>
          <w:p w14:paraId="396C29F7"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ASC-008</w:t>
            </w:r>
          </w:p>
        </w:tc>
        <w:tc>
          <w:tcPr>
            <w:tcW w:w="0" w:type="auto"/>
            <w:tcBorders>
              <w:top w:val="nil"/>
              <w:left w:val="nil"/>
              <w:bottom w:val="single" w:sz="4" w:space="0" w:color="17B0DE"/>
              <w:right w:val="single" w:sz="4" w:space="0" w:color="auto"/>
            </w:tcBorders>
            <w:shd w:val="clear" w:color="auto" w:fill="auto"/>
            <w:vAlign w:val="center"/>
            <w:hideMark/>
          </w:tcPr>
          <w:p w14:paraId="0592C7E5" w14:textId="77777777"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Number of adults receiving self-directed support in the year to 31st March as a percentage of clients accessing long-term community support.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0B4387"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Quarterly</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A79BF" w14:textId="77777777"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Higher</w:t>
            </w:r>
          </w:p>
        </w:tc>
        <w:tc>
          <w:tcPr>
            <w:tcW w:w="0" w:type="auto"/>
            <w:tcBorders>
              <w:top w:val="nil"/>
              <w:left w:val="single" w:sz="4" w:space="0" w:color="auto"/>
              <w:bottom w:val="single" w:sz="4" w:space="0" w:color="17B0DE"/>
              <w:right w:val="single" w:sz="4" w:space="0" w:color="17B0DE"/>
            </w:tcBorders>
            <w:shd w:val="clear" w:color="000000" w:fill="92D050"/>
            <w:vAlign w:val="center"/>
            <w:hideMark/>
          </w:tcPr>
          <w:p w14:paraId="3A8D56D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98.8</w:t>
            </w:r>
          </w:p>
        </w:tc>
        <w:tc>
          <w:tcPr>
            <w:tcW w:w="0" w:type="auto"/>
            <w:tcBorders>
              <w:top w:val="nil"/>
              <w:left w:val="nil"/>
              <w:bottom w:val="single" w:sz="4" w:space="0" w:color="17B0DE"/>
              <w:right w:val="single" w:sz="4" w:space="0" w:color="17B0DE"/>
            </w:tcBorders>
            <w:shd w:val="clear" w:color="auto" w:fill="auto"/>
            <w:vAlign w:val="center"/>
            <w:hideMark/>
          </w:tcPr>
          <w:p w14:paraId="5B49A117"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98</w:t>
            </w:r>
          </w:p>
        </w:tc>
        <w:tc>
          <w:tcPr>
            <w:tcW w:w="961"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05D9F379" w14:textId="77777777" w:rsidR="00111BF8" w:rsidRPr="00EA2826" w:rsidRDefault="00111BF8" w:rsidP="00111BF8">
            <w:pPr>
              <w:spacing w:after="0" w:line="240" w:lineRule="auto"/>
              <w:jc w:val="center"/>
              <w:rPr>
                <w:rFonts w:ascii="Arial" w:eastAsia="Times New Roman" w:hAnsi="Arial" w:cs="Arial"/>
                <w:color w:val="000000"/>
                <w:sz w:val="20"/>
                <w:szCs w:val="20"/>
                <w:lang w:eastAsia="en-GB"/>
              </w:rPr>
            </w:pPr>
            <w:r w:rsidRPr="00EA2826">
              <w:rPr>
                <w:rFonts w:ascii="Arial" w:eastAsia="Times New Roman" w:hAnsi="Arial" w:cs="Arial"/>
                <w:color w:val="000000"/>
                <w:sz w:val="20"/>
                <w:szCs w:val="20"/>
                <w:lang w:eastAsia="en-GB"/>
              </w:rPr>
              <w:t>99</w:t>
            </w:r>
          </w:p>
        </w:tc>
        <w:tc>
          <w:tcPr>
            <w:tcW w:w="1069"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58080DE4" w14:textId="77777777" w:rsidR="00111BF8" w:rsidRPr="00EA2826" w:rsidRDefault="00111BF8" w:rsidP="00111BF8">
            <w:pPr>
              <w:spacing w:after="0" w:line="240" w:lineRule="auto"/>
              <w:jc w:val="center"/>
              <w:rPr>
                <w:rFonts w:ascii="Arial" w:eastAsia="Times New Roman" w:hAnsi="Arial" w:cs="Arial"/>
                <w:color w:val="00B050"/>
                <w:sz w:val="20"/>
                <w:szCs w:val="20"/>
                <w:lang w:eastAsia="en-GB"/>
              </w:rPr>
            </w:pPr>
            <w:r w:rsidRPr="00EA2826">
              <w:rPr>
                <w:rFonts w:ascii="Arial" w:eastAsia="Times New Roman" w:hAnsi="Arial" w:cs="Arial"/>
                <w:color w:val="00B050"/>
                <w:sz w:val="20"/>
                <w:szCs w:val="20"/>
                <w:lang w:eastAsia="en-GB"/>
              </w:rPr>
              <w:t>1.02%</w:t>
            </w:r>
          </w:p>
        </w:tc>
        <w:tc>
          <w:tcPr>
            <w:tcW w:w="0" w:type="auto"/>
            <w:tcBorders>
              <w:top w:val="nil"/>
              <w:left w:val="nil"/>
              <w:bottom w:val="single" w:sz="4" w:space="0" w:color="00B0F0"/>
              <w:right w:val="single" w:sz="4" w:space="0" w:color="00B0F0"/>
            </w:tcBorders>
            <w:shd w:val="clear" w:color="000000" w:fill="FFFFFF"/>
            <w:vAlign w:val="bottom"/>
            <w:hideMark/>
          </w:tcPr>
          <w:p w14:paraId="4809BBB8" w14:textId="0B2E5EE6" w:rsidR="00111BF8" w:rsidRPr="00EA2826" w:rsidRDefault="00111BF8" w:rsidP="00111BF8">
            <w:pPr>
              <w:spacing w:after="0" w:line="240" w:lineRule="auto"/>
              <w:rPr>
                <w:rFonts w:ascii="Arial" w:eastAsia="Times New Roman" w:hAnsi="Arial" w:cs="Arial"/>
                <w:color w:val="000000"/>
                <w:sz w:val="20"/>
                <w:szCs w:val="20"/>
                <w:lang w:eastAsia="en-GB"/>
              </w:rPr>
            </w:pPr>
            <w:r w:rsidRPr="00EA2826">
              <w:rPr>
                <w:rFonts w:ascii="Arial" w:eastAsia="Times New Roman" w:hAnsi="Arial" w:cs="Arial"/>
                <w:noProof/>
                <w:color w:val="000000"/>
                <w:sz w:val="20"/>
                <w:szCs w:val="20"/>
                <w:lang w:eastAsia="en-GB"/>
              </w:rPr>
              <w:drawing>
                <wp:anchor distT="0" distB="0" distL="114300" distR="114300" simplePos="0" relativeHeight="251658329" behindDoc="0" locked="0" layoutInCell="1" allowOverlap="1" wp14:anchorId="205C1C45" wp14:editId="182A9DA0">
                  <wp:simplePos x="0" y="0"/>
                  <wp:positionH relativeFrom="column">
                    <wp:posOffset>57785</wp:posOffset>
                  </wp:positionH>
                  <wp:positionV relativeFrom="paragraph">
                    <wp:posOffset>-609600</wp:posOffset>
                  </wp:positionV>
                  <wp:extent cx="292100" cy="254000"/>
                  <wp:effectExtent l="0" t="0" r="0" b="0"/>
                  <wp:wrapNone/>
                  <wp:docPr id="58" name="Picture 45" descr="P1014C164T16#y1">
                    <a:extLst xmlns:a="http://schemas.openxmlformats.org/drawingml/2006/main">
                      <a:ext uri="{FF2B5EF4-FFF2-40B4-BE49-F238E27FC236}">
                        <a16:creationId xmlns:a16="http://schemas.microsoft.com/office/drawing/2014/main" id="{0566F30E-ADB7-4844-AA1A-BD48D76B1929}"/>
                      </a:ext>
                      <a:ext uri="{147F2762-F138-4A5C-976F-8EAC2B608ADB}">
                        <a16:predDERef xmlns:a16="http://schemas.microsoft.com/office/drawing/2014/main" pred="{ED5794D7-1951-4FF5-B2F4-48395D934996}"/>
                      </a:ext>
                    </a:extLst>
                  </wp:docPr>
                  <wp:cNvGraphicFramePr/>
                  <a:graphic xmlns:a="http://schemas.openxmlformats.org/drawingml/2006/main">
                    <a:graphicData uri="http://schemas.openxmlformats.org/drawingml/2006/picture">
                      <pic:pic xmlns:pic="http://schemas.openxmlformats.org/drawingml/2006/picture">
                        <pic:nvPicPr>
                          <pic:cNvPr id="58" name="Picture 22" descr="P1014C164T16#y1">
                            <a:extLst>
                              <a:ext uri="{FF2B5EF4-FFF2-40B4-BE49-F238E27FC236}">
                                <a16:creationId xmlns:a16="http://schemas.microsoft.com/office/drawing/2014/main" id="{0566F30E-ADB7-4844-AA1A-BD48D76B1929}"/>
                              </a:ext>
                              <a:ext uri="{147F2762-F138-4A5C-976F-8EAC2B608ADB}">
                                <a16:predDERef xmlns:a16="http://schemas.microsoft.com/office/drawing/2014/main" pred="{ED5794D7-1951-4FF5-B2F4-48395D93499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FFC000"/>
            <w:vAlign w:val="center"/>
            <w:hideMark/>
          </w:tcPr>
          <w:p w14:paraId="3CEFF5FB" w14:textId="47FE8B2F" w:rsidR="00111BF8" w:rsidRPr="00EA2826" w:rsidRDefault="00111BF8" w:rsidP="00111BF8">
            <w:pPr>
              <w:spacing w:after="0" w:line="240" w:lineRule="auto"/>
              <w:jc w:val="center"/>
              <w:rPr>
                <w:rFonts w:ascii="Arial" w:eastAsia="Times New Roman" w:hAnsi="Arial" w:cs="Arial"/>
                <w:sz w:val="20"/>
                <w:szCs w:val="20"/>
                <w:lang w:eastAsia="en-GB"/>
              </w:rPr>
            </w:pPr>
            <w:r w:rsidRPr="00EA2826">
              <w:rPr>
                <w:rFonts w:ascii="Arial" w:eastAsia="Times New Roman" w:hAnsi="Arial" w:cs="Arial"/>
                <w:sz w:val="20"/>
                <w:szCs w:val="20"/>
                <w:lang w:eastAsia="en-GB"/>
              </w:rPr>
              <w:t>3rd Quartile Eng Av. 93.5 LA Av. 98.7 (2022/23)</w:t>
            </w:r>
          </w:p>
        </w:tc>
      </w:tr>
    </w:tbl>
    <w:p w14:paraId="227BDFBC" w14:textId="77777777" w:rsidR="00C274AF" w:rsidRDefault="00C274AF" w:rsidP="00C274AF">
      <w:pPr>
        <w:pStyle w:val="paragraph"/>
        <w:spacing w:before="0" w:beforeAutospacing="0" w:after="120" w:afterAutospacing="0"/>
        <w:textAlignment w:val="baseline"/>
        <w:rPr>
          <w:rFonts w:ascii="Arial" w:eastAsiaTheme="minorEastAsia" w:hAnsi="Arial" w:cs="Arial"/>
          <w:b/>
          <w:bCs/>
          <w:color w:val="17B0DE"/>
          <w:sz w:val="32"/>
          <w:szCs w:val="32"/>
          <w:lang w:eastAsia="en-US"/>
        </w:rPr>
      </w:pPr>
    </w:p>
    <w:p w14:paraId="13C53357" w14:textId="76AE944A" w:rsidR="00B0379D" w:rsidRDefault="00E75E6D" w:rsidP="00B0379D">
      <w:pPr>
        <w:pStyle w:val="paragraph"/>
        <w:spacing w:before="0" w:beforeAutospacing="0" w:after="240" w:afterAutospacing="0"/>
        <w:textAlignment w:val="baseline"/>
        <w:rPr>
          <w:rFonts w:ascii="Arial" w:eastAsiaTheme="minorEastAsia" w:hAnsi="Arial" w:cs="Arial"/>
          <w:b/>
          <w:bCs/>
          <w:color w:val="17B0DE"/>
          <w:sz w:val="32"/>
          <w:szCs w:val="32"/>
          <w:lang w:eastAsia="en-US"/>
        </w:rPr>
      </w:pPr>
      <w:r w:rsidRPr="4276CE28">
        <w:rPr>
          <w:rFonts w:ascii="Arial" w:eastAsiaTheme="minorEastAsia" w:hAnsi="Arial" w:cs="Arial"/>
          <w:b/>
          <w:bCs/>
          <w:color w:val="17B0DE"/>
          <w:sz w:val="32"/>
          <w:szCs w:val="32"/>
          <w:lang w:eastAsia="en-US"/>
        </w:rPr>
        <w:t>Tier 2</w:t>
      </w:r>
    </w:p>
    <w:tbl>
      <w:tblPr>
        <w:tblW w:w="0" w:type="auto"/>
        <w:tblCellMar>
          <w:left w:w="0" w:type="dxa"/>
          <w:right w:w="0" w:type="dxa"/>
        </w:tblCellMar>
        <w:tblLook w:val="04A0" w:firstRow="1" w:lastRow="0" w:firstColumn="1" w:lastColumn="0" w:noHBand="0" w:noVBand="1"/>
      </w:tblPr>
      <w:tblGrid>
        <w:gridCol w:w="2121"/>
        <w:gridCol w:w="812"/>
        <w:gridCol w:w="3441"/>
        <w:gridCol w:w="1276"/>
        <w:gridCol w:w="1134"/>
        <w:gridCol w:w="992"/>
        <w:gridCol w:w="851"/>
        <w:gridCol w:w="1018"/>
        <w:gridCol w:w="966"/>
        <w:gridCol w:w="887"/>
        <w:gridCol w:w="1890"/>
      </w:tblGrid>
      <w:tr w:rsidR="00137518" w:rsidRPr="00137518" w14:paraId="554DD12F" w14:textId="77777777" w:rsidTr="00137518">
        <w:trPr>
          <w:trHeight w:val="435"/>
          <w:tblHeader/>
        </w:trPr>
        <w:tc>
          <w:tcPr>
            <w:tcW w:w="2121"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1EB566F2"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Outcome</w:t>
            </w:r>
          </w:p>
        </w:tc>
        <w:tc>
          <w:tcPr>
            <w:tcW w:w="812"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303B23E3"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Ref</w:t>
            </w:r>
          </w:p>
        </w:tc>
        <w:tc>
          <w:tcPr>
            <w:tcW w:w="3441"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67DC8A5D"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Performance Indicator</w:t>
            </w:r>
          </w:p>
        </w:tc>
        <w:tc>
          <w:tcPr>
            <w:tcW w:w="1276" w:type="dxa"/>
            <w:vMerge w:val="restart"/>
            <w:tcBorders>
              <w:top w:val="single" w:sz="4" w:space="0" w:color="17B0DE"/>
              <w:left w:val="single" w:sz="4" w:space="0" w:color="17B0DE"/>
              <w:bottom w:val="nil"/>
              <w:right w:val="single" w:sz="4" w:space="0" w:color="17B0DE"/>
            </w:tcBorders>
            <w:shd w:val="clear" w:color="000000" w:fill="17B0DE"/>
            <w:vAlign w:val="center"/>
            <w:hideMark/>
          </w:tcPr>
          <w:p w14:paraId="12B4F5E4"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Reporting Frequency</w:t>
            </w:r>
          </w:p>
        </w:tc>
        <w:tc>
          <w:tcPr>
            <w:tcW w:w="1134"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4349F914"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Higher / Lower is better?</w:t>
            </w:r>
          </w:p>
        </w:tc>
        <w:tc>
          <w:tcPr>
            <w:tcW w:w="992"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07E55886" w14:textId="72A62483"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2</w:t>
            </w:r>
            <w:r w:rsidR="00F6798E">
              <w:rPr>
                <w:rFonts w:ascii="Arial" w:hAnsi="Arial" w:cs="Arial"/>
                <w:b/>
                <w:bCs/>
                <w:color w:val="FFFFFF"/>
                <w:sz w:val="20"/>
                <w:szCs w:val="20"/>
              </w:rPr>
              <w:t>3</w:t>
            </w:r>
            <w:r w:rsidRPr="00137518">
              <w:rPr>
                <w:rFonts w:ascii="Arial" w:hAnsi="Arial" w:cs="Arial"/>
                <w:b/>
                <w:bCs/>
                <w:color w:val="FFFFFF"/>
                <w:sz w:val="20"/>
                <w:szCs w:val="20"/>
              </w:rPr>
              <w:t>/2</w:t>
            </w:r>
            <w:r w:rsidR="00F6798E">
              <w:rPr>
                <w:rFonts w:ascii="Arial" w:hAnsi="Arial" w:cs="Arial"/>
                <w:b/>
                <w:bCs/>
                <w:color w:val="FFFFFF"/>
                <w:sz w:val="20"/>
                <w:szCs w:val="20"/>
              </w:rPr>
              <w:t>4</w:t>
            </w:r>
            <w:r w:rsidRPr="00137518">
              <w:rPr>
                <w:rFonts w:ascii="Arial" w:hAnsi="Arial" w:cs="Arial"/>
                <w:b/>
                <w:bCs/>
                <w:color w:val="FFFFFF"/>
                <w:sz w:val="20"/>
                <w:szCs w:val="20"/>
              </w:rPr>
              <w:t xml:space="preserve"> Outturn</w:t>
            </w:r>
          </w:p>
        </w:tc>
        <w:tc>
          <w:tcPr>
            <w:tcW w:w="851" w:type="dxa"/>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0481C182" w14:textId="6DFA6342"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2</w:t>
            </w:r>
            <w:r w:rsidR="000453B6">
              <w:rPr>
                <w:rFonts w:ascii="Arial" w:hAnsi="Arial" w:cs="Arial"/>
                <w:b/>
                <w:bCs/>
                <w:color w:val="FFFFFF"/>
                <w:sz w:val="20"/>
                <w:szCs w:val="20"/>
              </w:rPr>
              <w:t>4</w:t>
            </w:r>
            <w:r w:rsidRPr="00137518">
              <w:rPr>
                <w:rFonts w:ascii="Arial" w:hAnsi="Arial" w:cs="Arial"/>
                <w:b/>
                <w:bCs/>
                <w:color w:val="FFFFFF"/>
                <w:sz w:val="20"/>
                <w:szCs w:val="20"/>
              </w:rPr>
              <w:t>/2</w:t>
            </w:r>
            <w:r w:rsidR="000453B6">
              <w:rPr>
                <w:rFonts w:ascii="Arial" w:hAnsi="Arial" w:cs="Arial"/>
                <w:b/>
                <w:bCs/>
                <w:color w:val="FFFFFF"/>
                <w:sz w:val="20"/>
                <w:szCs w:val="20"/>
              </w:rPr>
              <w:t>5</w:t>
            </w:r>
            <w:r w:rsidRPr="00137518">
              <w:rPr>
                <w:rFonts w:ascii="Arial" w:hAnsi="Arial" w:cs="Arial"/>
                <w:b/>
                <w:bCs/>
                <w:color w:val="FFFFFF"/>
                <w:sz w:val="20"/>
                <w:szCs w:val="20"/>
              </w:rPr>
              <w:t xml:space="preserve"> Target</w:t>
            </w:r>
          </w:p>
        </w:tc>
        <w:tc>
          <w:tcPr>
            <w:tcW w:w="1018" w:type="dxa"/>
            <w:tcBorders>
              <w:top w:val="single" w:sz="4" w:space="0" w:color="17B0DE"/>
              <w:left w:val="nil"/>
              <w:bottom w:val="single" w:sz="4" w:space="0" w:color="17B0DE"/>
              <w:right w:val="single" w:sz="4" w:space="0" w:color="17B0DE"/>
            </w:tcBorders>
            <w:shd w:val="clear" w:color="000000" w:fill="17B0DE"/>
            <w:vAlign w:val="center"/>
            <w:hideMark/>
          </w:tcPr>
          <w:p w14:paraId="115D6651"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Q1</w:t>
            </w:r>
          </w:p>
        </w:tc>
        <w:tc>
          <w:tcPr>
            <w:tcW w:w="966" w:type="dxa"/>
            <w:vMerge w:val="restart"/>
            <w:tcBorders>
              <w:top w:val="single" w:sz="4" w:space="0" w:color="00B0F0"/>
              <w:left w:val="single" w:sz="4" w:space="0" w:color="00B0F0"/>
              <w:bottom w:val="single" w:sz="4" w:space="0" w:color="00B0F0"/>
              <w:right w:val="single" w:sz="4" w:space="0" w:color="00B0F0"/>
            </w:tcBorders>
            <w:shd w:val="clear" w:color="000000" w:fill="17B0DE"/>
            <w:vAlign w:val="center"/>
            <w:hideMark/>
          </w:tcPr>
          <w:p w14:paraId="52E1777F"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 Variance from Target (JUN)</w:t>
            </w:r>
          </w:p>
        </w:tc>
        <w:tc>
          <w:tcPr>
            <w:tcW w:w="887" w:type="dxa"/>
            <w:vMerge w:val="restart"/>
            <w:tcBorders>
              <w:top w:val="single" w:sz="4" w:space="0" w:color="00B0F0"/>
              <w:left w:val="single" w:sz="4" w:space="0" w:color="00B0F0"/>
              <w:bottom w:val="single" w:sz="4" w:space="0" w:color="00B0F0"/>
              <w:right w:val="single" w:sz="4" w:space="0" w:color="00B0F0"/>
            </w:tcBorders>
            <w:shd w:val="clear" w:color="000000" w:fill="17B0DE"/>
            <w:vAlign w:val="center"/>
            <w:hideMark/>
          </w:tcPr>
          <w:p w14:paraId="2EB22A8A"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Trend</w:t>
            </w:r>
          </w:p>
        </w:tc>
        <w:tc>
          <w:tcPr>
            <w:tcW w:w="0" w:type="auto"/>
            <w:vMerge w:val="restart"/>
            <w:tcBorders>
              <w:top w:val="single" w:sz="4" w:space="0" w:color="17B0DE"/>
              <w:left w:val="single" w:sz="4" w:space="0" w:color="17B0DE"/>
              <w:bottom w:val="single" w:sz="4" w:space="0" w:color="17B0DE"/>
              <w:right w:val="single" w:sz="4" w:space="0" w:color="17B0DE"/>
            </w:tcBorders>
            <w:shd w:val="clear" w:color="000000" w:fill="17B0DE"/>
            <w:vAlign w:val="center"/>
            <w:hideMark/>
          </w:tcPr>
          <w:p w14:paraId="7760BD5F"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Comparative Performance</w:t>
            </w:r>
          </w:p>
        </w:tc>
      </w:tr>
      <w:tr w:rsidR="00137518" w:rsidRPr="00137518" w14:paraId="4B9FD97F" w14:textId="77777777" w:rsidTr="00137518">
        <w:trPr>
          <w:trHeight w:val="733"/>
        </w:trPr>
        <w:tc>
          <w:tcPr>
            <w:tcW w:w="2121" w:type="dxa"/>
            <w:vMerge/>
            <w:tcBorders>
              <w:top w:val="single" w:sz="4" w:space="0" w:color="17B0DE"/>
              <w:left w:val="single" w:sz="4" w:space="0" w:color="17B0DE"/>
              <w:bottom w:val="single" w:sz="4" w:space="0" w:color="17B0DE"/>
              <w:right w:val="single" w:sz="4" w:space="0" w:color="17B0DE"/>
            </w:tcBorders>
            <w:vAlign w:val="center"/>
            <w:hideMark/>
          </w:tcPr>
          <w:p w14:paraId="255ED2AA" w14:textId="77777777" w:rsidR="00137518" w:rsidRPr="00137518" w:rsidRDefault="00137518">
            <w:pPr>
              <w:rPr>
                <w:rFonts w:ascii="Arial" w:hAnsi="Arial" w:cs="Arial"/>
                <w:b/>
                <w:bCs/>
                <w:color w:val="FFFFFF"/>
                <w:sz w:val="20"/>
                <w:szCs w:val="20"/>
              </w:rPr>
            </w:pPr>
          </w:p>
        </w:tc>
        <w:tc>
          <w:tcPr>
            <w:tcW w:w="812" w:type="dxa"/>
            <w:vMerge/>
            <w:tcBorders>
              <w:top w:val="single" w:sz="4" w:space="0" w:color="17B0DE"/>
              <w:left w:val="single" w:sz="4" w:space="0" w:color="17B0DE"/>
              <w:bottom w:val="single" w:sz="4" w:space="0" w:color="17B0DE"/>
              <w:right w:val="single" w:sz="4" w:space="0" w:color="17B0DE"/>
            </w:tcBorders>
            <w:vAlign w:val="center"/>
            <w:hideMark/>
          </w:tcPr>
          <w:p w14:paraId="41C48E63" w14:textId="77777777" w:rsidR="00137518" w:rsidRPr="00137518" w:rsidRDefault="00137518">
            <w:pPr>
              <w:rPr>
                <w:rFonts w:ascii="Arial" w:hAnsi="Arial" w:cs="Arial"/>
                <w:b/>
                <w:bCs/>
                <w:color w:val="FFFFFF"/>
                <w:sz w:val="20"/>
                <w:szCs w:val="20"/>
              </w:rPr>
            </w:pPr>
          </w:p>
        </w:tc>
        <w:tc>
          <w:tcPr>
            <w:tcW w:w="3441" w:type="dxa"/>
            <w:vMerge/>
            <w:tcBorders>
              <w:top w:val="single" w:sz="4" w:space="0" w:color="17B0DE"/>
              <w:left w:val="single" w:sz="4" w:space="0" w:color="17B0DE"/>
              <w:bottom w:val="single" w:sz="4" w:space="0" w:color="17B0DE"/>
              <w:right w:val="single" w:sz="4" w:space="0" w:color="17B0DE"/>
            </w:tcBorders>
            <w:vAlign w:val="center"/>
            <w:hideMark/>
          </w:tcPr>
          <w:p w14:paraId="2C974282" w14:textId="77777777" w:rsidR="00137518" w:rsidRPr="00137518" w:rsidRDefault="00137518">
            <w:pPr>
              <w:rPr>
                <w:rFonts w:ascii="Arial" w:hAnsi="Arial" w:cs="Arial"/>
                <w:b/>
                <w:bCs/>
                <w:color w:val="FFFFFF"/>
                <w:sz w:val="20"/>
                <w:szCs w:val="20"/>
              </w:rPr>
            </w:pPr>
          </w:p>
        </w:tc>
        <w:tc>
          <w:tcPr>
            <w:tcW w:w="1276" w:type="dxa"/>
            <w:vMerge/>
            <w:tcBorders>
              <w:top w:val="single" w:sz="4" w:space="0" w:color="17B0DE"/>
              <w:left w:val="single" w:sz="4" w:space="0" w:color="17B0DE"/>
              <w:bottom w:val="single" w:sz="4" w:space="0" w:color="auto"/>
              <w:right w:val="single" w:sz="4" w:space="0" w:color="17B0DE"/>
            </w:tcBorders>
            <w:vAlign w:val="center"/>
            <w:hideMark/>
          </w:tcPr>
          <w:p w14:paraId="41DF4733" w14:textId="77777777" w:rsidR="00137518" w:rsidRPr="00137518" w:rsidRDefault="00137518">
            <w:pPr>
              <w:rPr>
                <w:rFonts w:ascii="Arial" w:hAnsi="Arial" w:cs="Arial"/>
                <w:b/>
                <w:bCs/>
                <w:color w:val="FFFFFF"/>
                <w:sz w:val="20"/>
                <w:szCs w:val="20"/>
              </w:rPr>
            </w:pPr>
          </w:p>
        </w:tc>
        <w:tc>
          <w:tcPr>
            <w:tcW w:w="1134" w:type="dxa"/>
            <w:vMerge/>
            <w:tcBorders>
              <w:top w:val="single" w:sz="4" w:space="0" w:color="17B0DE"/>
              <w:left w:val="single" w:sz="4" w:space="0" w:color="17B0DE"/>
              <w:bottom w:val="single" w:sz="4" w:space="0" w:color="auto"/>
              <w:right w:val="single" w:sz="4" w:space="0" w:color="17B0DE"/>
            </w:tcBorders>
            <w:vAlign w:val="center"/>
            <w:hideMark/>
          </w:tcPr>
          <w:p w14:paraId="2DBB3E6E" w14:textId="77777777" w:rsidR="00137518" w:rsidRPr="00137518" w:rsidRDefault="00137518">
            <w:pPr>
              <w:rPr>
                <w:rFonts w:ascii="Arial" w:hAnsi="Arial" w:cs="Arial"/>
                <w:b/>
                <w:bCs/>
                <w:color w:val="FFFFFF"/>
                <w:sz w:val="20"/>
                <w:szCs w:val="20"/>
              </w:rPr>
            </w:pPr>
          </w:p>
        </w:tc>
        <w:tc>
          <w:tcPr>
            <w:tcW w:w="992" w:type="dxa"/>
            <w:vMerge/>
            <w:tcBorders>
              <w:top w:val="single" w:sz="4" w:space="0" w:color="17B0DE"/>
              <w:left w:val="single" w:sz="4" w:space="0" w:color="17B0DE"/>
              <w:bottom w:val="single" w:sz="4" w:space="0" w:color="17B0DE"/>
              <w:right w:val="single" w:sz="4" w:space="0" w:color="17B0DE"/>
            </w:tcBorders>
            <w:vAlign w:val="center"/>
            <w:hideMark/>
          </w:tcPr>
          <w:p w14:paraId="0356BFB5" w14:textId="77777777" w:rsidR="00137518" w:rsidRPr="00137518" w:rsidRDefault="00137518">
            <w:pPr>
              <w:rPr>
                <w:rFonts w:ascii="Arial" w:hAnsi="Arial" w:cs="Arial"/>
                <w:b/>
                <w:bCs/>
                <w:color w:val="FFFFFF"/>
                <w:sz w:val="20"/>
                <w:szCs w:val="20"/>
              </w:rPr>
            </w:pPr>
          </w:p>
        </w:tc>
        <w:tc>
          <w:tcPr>
            <w:tcW w:w="851" w:type="dxa"/>
            <w:vMerge/>
            <w:tcBorders>
              <w:top w:val="single" w:sz="4" w:space="0" w:color="17B0DE"/>
              <w:left w:val="single" w:sz="4" w:space="0" w:color="17B0DE"/>
              <w:bottom w:val="single" w:sz="4" w:space="0" w:color="17B0DE"/>
              <w:right w:val="single" w:sz="4" w:space="0" w:color="17B0DE"/>
            </w:tcBorders>
            <w:vAlign w:val="center"/>
            <w:hideMark/>
          </w:tcPr>
          <w:p w14:paraId="320529A5" w14:textId="77777777" w:rsidR="00137518" w:rsidRPr="00137518" w:rsidRDefault="00137518">
            <w:pPr>
              <w:rPr>
                <w:rFonts w:ascii="Arial" w:hAnsi="Arial" w:cs="Arial"/>
                <w:b/>
                <w:bCs/>
                <w:color w:val="FFFFFF"/>
                <w:sz w:val="20"/>
                <w:szCs w:val="20"/>
              </w:rPr>
            </w:pPr>
          </w:p>
        </w:tc>
        <w:tc>
          <w:tcPr>
            <w:tcW w:w="1018" w:type="dxa"/>
            <w:tcBorders>
              <w:top w:val="nil"/>
              <w:left w:val="nil"/>
              <w:bottom w:val="single" w:sz="4" w:space="0" w:color="17B0DE"/>
              <w:right w:val="single" w:sz="4" w:space="0" w:color="17B0DE"/>
            </w:tcBorders>
            <w:shd w:val="clear" w:color="000000" w:fill="17B0DE"/>
            <w:vAlign w:val="center"/>
            <w:hideMark/>
          </w:tcPr>
          <w:p w14:paraId="33C53291" w14:textId="77777777" w:rsidR="00137518" w:rsidRPr="00137518" w:rsidRDefault="00137518">
            <w:pPr>
              <w:jc w:val="center"/>
              <w:rPr>
                <w:rFonts w:ascii="Arial" w:hAnsi="Arial" w:cs="Arial"/>
                <w:b/>
                <w:bCs/>
                <w:color w:val="FFFFFF"/>
                <w:sz w:val="20"/>
                <w:szCs w:val="20"/>
              </w:rPr>
            </w:pPr>
            <w:r w:rsidRPr="00137518">
              <w:rPr>
                <w:rFonts w:ascii="Arial" w:hAnsi="Arial" w:cs="Arial"/>
                <w:b/>
                <w:bCs/>
                <w:color w:val="FFFFFF"/>
                <w:sz w:val="20"/>
                <w:szCs w:val="20"/>
              </w:rPr>
              <w:t>June</w:t>
            </w:r>
          </w:p>
        </w:tc>
        <w:tc>
          <w:tcPr>
            <w:tcW w:w="966" w:type="dxa"/>
            <w:vMerge/>
            <w:tcBorders>
              <w:top w:val="single" w:sz="4" w:space="0" w:color="00B0F0"/>
              <w:left w:val="single" w:sz="4" w:space="0" w:color="00B0F0"/>
              <w:bottom w:val="single" w:sz="4" w:space="0" w:color="00B0F0"/>
              <w:right w:val="single" w:sz="4" w:space="0" w:color="00B0F0"/>
            </w:tcBorders>
            <w:vAlign w:val="center"/>
            <w:hideMark/>
          </w:tcPr>
          <w:p w14:paraId="22B9FBE0" w14:textId="77777777" w:rsidR="00137518" w:rsidRPr="00137518" w:rsidRDefault="00137518">
            <w:pPr>
              <w:rPr>
                <w:rFonts w:ascii="Arial" w:hAnsi="Arial" w:cs="Arial"/>
                <w:b/>
                <w:bCs/>
                <w:color w:val="FFFFFF"/>
                <w:sz w:val="20"/>
                <w:szCs w:val="20"/>
              </w:rPr>
            </w:pPr>
          </w:p>
        </w:tc>
        <w:tc>
          <w:tcPr>
            <w:tcW w:w="887" w:type="dxa"/>
            <w:vMerge/>
            <w:tcBorders>
              <w:top w:val="single" w:sz="4" w:space="0" w:color="00B0F0"/>
              <w:left w:val="single" w:sz="4" w:space="0" w:color="00B0F0"/>
              <w:bottom w:val="single" w:sz="4" w:space="0" w:color="00B0F0"/>
              <w:right w:val="single" w:sz="4" w:space="0" w:color="00B0F0"/>
            </w:tcBorders>
            <w:vAlign w:val="center"/>
            <w:hideMark/>
          </w:tcPr>
          <w:p w14:paraId="54009558" w14:textId="77777777" w:rsidR="00137518" w:rsidRPr="00137518" w:rsidRDefault="00137518">
            <w:pPr>
              <w:rPr>
                <w:rFonts w:ascii="Arial" w:hAnsi="Arial" w:cs="Arial"/>
                <w:b/>
                <w:bCs/>
                <w:color w:val="FFFFFF"/>
                <w:sz w:val="20"/>
                <w:szCs w:val="20"/>
              </w:rPr>
            </w:pPr>
          </w:p>
        </w:tc>
        <w:tc>
          <w:tcPr>
            <w:tcW w:w="0" w:type="auto"/>
            <w:vMerge/>
            <w:tcBorders>
              <w:top w:val="single" w:sz="4" w:space="0" w:color="17B0DE"/>
              <w:left w:val="single" w:sz="4" w:space="0" w:color="17B0DE"/>
              <w:bottom w:val="single" w:sz="4" w:space="0" w:color="17B0DE"/>
              <w:right w:val="single" w:sz="4" w:space="0" w:color="17B0DE"/>
            </w:tcBorders>
            <w:vAlign w:val="center"/>
            <w:hideMark/>
          </w:tcPr>
          <w:p w14:paraId="5E505A2A" w14:textId="77777777" w:rsidR="00137518" w:rsidRPr="00137518" w:rsidRDefault="00137518">
            <w:pPr>
              <w:rPr>
                <w:rFonts w:ascii="Arial" w:hAnsi="Arial" w:cs="Arial"/>
                <w:b/>
                <w:bCs/>
                <w:color w:val="FFFFFF"/>
                <w:sz w:val="20"/>
                <w:szCs w:val="20"/>
              </w:rPr>
            </w:pPr>
          </w:p>
        </w:tc>
      </w:tr>
      <w:tr w:rsidR="00137518" w:rsidRPr="00137518" w14:paraId="3FEF4726" w14:textId="77777777" w:rsidTr="00137518">
        <w:trPr>
          <w:trHeight w:val="1470"/>
        </w:trPr>
        <w:tc>
          <w:tcPr>
            <w:tcW w:w="2121" w:type="dxa"/>
            <w:vMerge w:val="restart"/>
            <w:tcBorders>
              <w:top w:val="single" w:sz="4" w:space="0" w:color="17B0DE"/>
              <w:left w:val="single" w:sz="4" w:space="0" w:color="17B0DE"/>
              <w:bottom w:val="nil"/>
              <w:right w:val="single" w:sz="4" w:space="0" w:color="17B0DE"/>
            </w:tcBorders>
            <w:shd w:val="clear" w:color="000000" w:fill="B7E8F7"/>
            <w:vAlign w:val="center"/>
            <w:hideMark/>
          </w:tcPr>
          <w:p w14:paraId="4E67A79D" w14:textId="77777777" w:rsidR="00137518" w:rsidRPr="00137518" w:rsidRDefault="00137518">
            <w:pPr>
              <w:jc w:val="center"/>
              <w:rPr>
                <w:rFonts w:ascii="Arial" w:hAnsi="Arial" w:cs="Arial"/>
                <w:b/>
                <w:bCs/>
                <w:color w:val="000000"/>
                <w:sz w:val="20"/>
                <w:szCs w:val="20"/>
              </w:rPr>
            </w:pPr>
            <w:r w:rsidRPr="00137518">
              <w:rPr>
                <w:rFonts w:ascii="Arial" w:hAnsi="Arial" w:cs="Arial"/>
                <w:b/>
                <w:bCs/>
                <w:color w:val="000000"/>
                <w:sz w:val="20"/>
                <w:szCs w:val="20"/>
              </w:rPr>
              <w:t>People live well independently</w:t>
            </w:r>
          </w:p>
        </w:tc>
        <w:tc>
          <w:tcPr>
            <w:tcW w:w="812" w:type="dxa"/>
            <w:tcBorders>
              <w:top w:val="nil"/>
              <w:left w:val="nil"/>
              <w:bottom w:val="single" w:sz="4" w:space="0" w:color="17B0DE"/>
              <w:right w:val="single" w:sz="4" w:space="0" w:color="17B0DE"/>
            </w:tcBorders>
            <w:shd w:val="clear" w:color="auto" w:fill="auto"/>
            <w:vAlign w:val="center"/>
            <w:hideMark/>
          </w:tcPr>
          <w:p w14:paraId="79962100" w14:textId="77777777" w:rsidR="00137518" w:rsidRPr="00137518" w:rsidRDefault="00137518">
            <w:pPr>
              <w:jc w:val="center"/>
              <w:rPr>
                <w:rFonts w:ascii="Arial" w:hAnsi="Arial" w:cs="Arial"/>
                <w:sz w:val="20"/>
                <w:szCs w:val="20"/>
              </w:rPr>
            </w:pPr>
            <w:r w:rsidRPr="00137518">
              <w:rPr>
                <w:rFonts w:ascii="Arial" w:hAnsi="Arial" w:cs="Arial"/>
                <w:sz w:val="20"/>
                <w:szCs w:val="20"/>
              </w:rPr>
              <w:t>ASC-009</w:t>
            </w:r>
          </w:p>
        </w:tc>
        <w:tc>
          <w:tcPr>
            <w:tcW w:w="3441" w:type="dxa"/>
            <w:tcBorders>
              <w:top w:val="nil"/>
              <w:left w:val="nil"/>
              <w:bottom w:val="single" w:sz="4" w:space="0" w:color="17B0DE"/>
              <w:right w:val="single" w:sz="4" w:space="0" w:color="auto"/>
            </w:tcBorders>
            <w:shd w:val="clear" w:color="auto" w:fill="auto"/>
            <w:vAlign w:val="center"/>
            <w:hideMark/>
          </w:tcPr>
          <w:p w14:paraId="0F7CFD95" w14:textId="77777777" w:rsidR="00137518" w:rsidRPr="00137518" w:rsidRDefault="00137518">
            <w:pPr>
              <w:rPr>
                <w:rFonts w:ascii="Arial" w:hAnsi="Arial" w:cs="Arial"/>
                <w:color w:val="000000"/>
                <w:sz w:val="20"/>
                <w:szCs w:val="20"/>
              </w:rPr>
            </w:pPr>
            <w:r w:rsidRPr="00137518">
              <w:rPr>
                <w:rFonts w:ascii="Arial" w:hAnsi="Arial" w:cs="Arial"/>
                <w:color w:val="000000"/>
                <w:sz w:val="20"/>
                <w:szCs w:val="20"/>
              </w:rPr>
              <w:t>The number of carers receiving a carers specific service (per 10,000 population)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8E4EA"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12D027" w14:textId="77777777" w:rsidR="00137518" w:rsidRPr="00137518" w:rsidRDefault="00137518">
            <w:pPr>
              <w:jc w:val="center"/>
              <w:rPr>
                <w:rFonts w:ascii="Arial" w:hAnsi="Arial" w:cs="Arial"/>
                <w:sz w:val="20"/>
                <w:szCs w:val="20"/>
              </w:rPr>
            </w:pPr>
            <w:r w:rsidRPr="00137518">
              <w:rPr>
                <w:rFonts w:ascii="Arial" w:hAnsi="Arial" w:cs="Arial"/>
                <w:sz w:val="20"/>
                <w:szCs w:val="20"/>
              </w:rPr>
              <w:t>Higher</w:t>
            </w:r>
          </w:p>
        </w:tc>
        <w:tc>
          <w:tcPr>
            <w:tcW w:w="992" w:type="dxa"/>
            <w:tcBorders>
              <w:top w:val="nil"/>
              <w:left w:val="single" w:sz="4" w:space="0" w:color="auto"/>
              <w:bottom w:val="single" w:sz="4" w:space="0" w:color="17B0DE"/>
              <w:right w:val="single" w:sz="4" w:space="0" w:color="17B0DE"/>
            </w:tcBorders>
            <w:shd w:val="clear" w:color="000000" w:fill="FFC000"/>
            <w:vAlign w:val="center"/>
            <w:hideMark/>
          </w:tcPr>
          <w:p w14:paraId="7BC85EA0"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152.2</w:t>
            </w:r>
          </w:p>
        </w:tc>
        <w:tc>
          <w:tcPr>
            <w:tcW w:w="851" w:type="dxa"/>
            <w:tcBorders>
              <w:top w:val="nil"/>
              <w:left w:val="nil"/>
              <w:bottom w:val="single" w:sz="4" w:space="0" w:color="17B0DE"/>
              <w:right w:val="single" w:sz="4" w:space="0" w:color="17B0DE"/>
            </w:tcBorders>
            <w:shd w:val="clear" w:color="auto" w:fill="auto"/>
            <w:vAlign w:val="center"/>
            <w:hideMark/>
          </w:tcPr>
          <w:p w14:paraId="50E326FF"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160</w:t>
            </w:r>
          </w:p>
        </w:tc>
        <w:tc>
          <w:tcPr>
            <w:tcW w:w="1018" w:type="dxa"/>
            <w:tcBorders>
              <w:top w:val="single" w:sz="4" w:space="0" w:color="17B0DE"/>
              <w:left w:val="single" w:sz="4" w:space="0" w:color="17B0DE"/>
              <w:bottom w:val="single" w:sz="4" w:space="0" w:color="17B0DE"/>
              <w:right w:val="single" w:sz="4" w:space="0" w:color="17B0DE"/>
            </w:tcBorders>
            <w:shd w:val="clear" w:color="000000" w:fill="FF0000"/>
            <w:vAlign w:val="center"/>
            <w:hideMark/>
          </w:tcPr>
          <w:p w14:paraId="202DC319"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135</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6E2E5F1D" w14:textId="77777777" w:rsidR="00137518" w:rsidRPr="00137518" w:rsidRDefault="00137518">
            <w:pPr>
              <w:jc w:val="center"/>
              <w:rPr>
                <w:rFonts w:ascii="Arial" w:hAnsi="Arial" w:cs="Arial"/>
                <w:color w:val="FF0000"/>
                <w:sz w:val="20"/>
                <w:szCs w:val="20"/>
              </w:rPr>
            </w:pPr>
            <w:r w:rsidRPr="00137518">
              <w:rPr>
                <w:rFonts w:ascii="Arial" w:hAnsi="Arial" w:cs="Arial"/>
                <w:color w:val="FF0000"/>
                <w:sz w:val="20"/>
                <w:szCs w:val="20"/>
              </w:rPr>
              <w:t>-15.62%</w:t>
            </w:r>
          </w:p>
        </w:tc>
        <w:tc>
          <w:tcPr>
            <w:tcW w:w="887" w:type="dxa"/>
            <w:tcBorders>
              <w:top w:val="nil"/>
              <w:left w:val="nil"/>
              <w:bottom w:val="single" w:sz="4" w:space="0" w:color="00B0F0"/>
              <w:right w:val="single" w:sz="4" w:space="0" w:color="00B0F0"/>
            </w:tcBorders>
            <w:shd w:val="clear" w:color="000000" w:fill="FFFFFF"/>
            <w:vAlign w:val="bottom"/>
            <w:hideMark/>
          </w:tcPr>
          <w:p w14:paraId="0403D573" w14:textId="1D2FFAD5" w:rsidR="00137518" w:rsidRPr="00137518" w:rsidRDefault="00137518">
            <w:pPr>
              <w:rPr>
                <w:rFonts w:ascii="Arial" w:hAnsi="Arial" w:cs="Arial"/>
                <w:color w:val="000000"/>
                <w:sz w:val="20"/>
                <w:szCs w:val="20"/>
              </w:rPr>
            </w:pPr>
            <w:r w:rsidRPr="00137518">
              <w:rPr>
                <w:rFonts w:ascii="Arial" w:hAnsi="Arial" w:cs="Arial"/>
                <w:noProof/>
                <w:color w:val="000000"/>
                <w:sz w:val="20"/>
                <w:szCs w:val="20"/>
              </w:rPr>
              <w:drawing>
                <wp:anchor distT="0" distB="0" distL="114300" distR="114300" simplePos="0" relativeHeight="251658281" behindDoc="0" locked="0" layoutInCell="1" allowOverlap="1" wp14:anchorId="4996338A" wp14:editId="34628A79">
                  <wp:simplePos x="0" y="0"/>
                  <wp:positionH relativeFrom="column">
                    <wp:posOffset>160020</wp:posOffset>
                  </wp:positionH>
                  <wp:positionV relativeFrom="paragraph">
                    <wp:posOffset>-434340</wp:posOffset>
                  </wp:positionV>
                  <wp:extent cx="266700" cy="241300"/>
                  <wp:effectExtent l="0" t="0" r="0" b="6350"/>
                  <wp:wrapNone/>
                  <wp:docPr id="47" name="Picture 46" descr="P1052C22T17#y1">
                    <a:extLst xmlns:a="http://schemas.openxmlformats.org/drawingml/2006/main">
                      <a:ext uri="{FF2B5EF4-FFF2-40B4-BE49-F238E27FC236}">
                        <a16:creationId xmlns:a16="http://schemas.microsoft.com/office/drawing/2014/main" id="{A49CA72F-6111-4ACD-A9BE-D1A2668EBBBB}"/>
                      </a:ext>
                      <a:ext uri="{147F2762-F138-4A5C-976F-8EAC2B608ADB}">
                        <a16:predDERef xmlns:a16="http://schemas.microsoft.com/office/drawing/2014/main" pred="{0566F30E-ADB7-4844-AA1A-BD48D76B1929}"/>
                      </a:ext>
                    </a:extLst>
                  </wp:docPr>
                  <wp:cNvGraphicFramePr/>
                  <a:graphic xmlns:a="http://schemas.openxmlformats.org/drawingml/2006/main">
                    <a:graphicData uri="http://schemas.openxmlformats.org/drawingml/2006/picture">
                      <pic:pic xmlns:pic="http://schemas.openxmlformats.org/drawingml/2006/picture">
                        <pic:nvPicPr>
                          <pic:cNvPr id="47" name="Picture 40" descr="P1052C22T17#y1">
                            <a:extLst>
                              <a:ext uri="{FF2B5EF4-FFF2-40B4-BE49-F238E27FC236}">
                                <a16:creationId xmlns:a16="http://schemas.microsoft.com/office/drawing/2014/main" id="{A49CA72F-6111-4ACD-A9BE-D1A2668EBBBB}"/>
                              </a:ext>
                              <a:ext uri="{147F2762-F138-4A5C-976F-8EAC2B608ADB}">
                                <a16:predDERef xmlns:a16="http://schemas.microsoft.com/office/drawing/2014/main" pred="{0566F30E-ADB7-4844-AA1A-BD48D76B192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auto" w:fill="auto"/>
            <w:vAlign w:val="center"/>
            <w:hideMark/>
          </w:tcPr>
          <w:p w14:paraId="4A01BE53"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N/A</w:t>
            </w:r>
          </w:p>
        </w:tc>
      </w:tr>
      <w:tr w:rsidR="00137518" w:rsidRPr="00137518" w14:paraId="7B2323CF" w14:textId="77777777" w:rsidTr="006854BD">
        <w:trPr>
          <w:trHeight w:val="1470"/>
        </w:trPr>
        <w:tc>
          <w:tcPr>
            <w:tcW w:w="2121" w:type="dxa"/>
            <w:vMerge/>
            <w:tcBorders>
              <w:top w:val="single" w:sz="4" w:space="0" w:color="17B0DE"/>
              <w:left w:val="single" w:sz="4" w:space="0" w:color="17B0DE"/>
              <w:bottom w:val="nil"/>
              <w:right w:val="single" w:sz="4" w:space="0" w:color="17B0DE"/>
            </w:tcBorders>
            <w:vAlign w:val="center"/>
            <w:hideMark/>
          </w:tcPr>
          <w:p w14:paraId="59896434" w14:textId="77777777" w:rsidR="00137518" w:rsidRPr="00137518" w:rsidRDefault="00137518">
            <w:pPr>
              <w:rPr>
                <w:rFonts w:ascii="Arial" w:hAnsi="Arial" w:cs="Arial"/>
                <w:b/>
                <w:bCs/>
                <w:color w:val="000000"/>
                <w:sz w:val="20"/>
                <w:szCs w:val="20"/>
              </w:rPr>
            </w:pPr>
          </w:p>
        </w:tc>
        <w:tc>
          <w:tcPr>
            <w:tcW w:w="812" w:type="dxa"/>
            <w:tcBorders>
              <w:top w:val="nil"/>
              <w:left w:val="nil"/>
              <w:bottom w:val="single" w:sz="4" w:space="0" w:color="17B0DE"/>
              <w:right w:val="single" w:sz="4" w:space="0" w:color="17B0DE"/>
            </w:tcBorders>
            <w:shd w:val="clear" w:color="auto" w:fill="auto"/>
            <w:vAlign w:val="center"/>
            <w:hideMark/>
          </w:tcPr>
          <w:p w14:paraId="06D61236" w14:textId="77777777" w:rsidR="00137518" w:rsidRPr="00137518" w:rsidRDefault="00137518">
            <w:pPr>
              <w:jc w:val="center"/>
              <w:rPr>
                <w:rFonts w:ascii="Arial" w:hAnsi="Arial" w:cs="Arial"/>
                <w:sz w:val="20"/>
                <w:szCs w:val="20"/>
              </w:rPr>
            </w:pPr>
            <w:r w:rsidRPr="00137518">
              <w:rPr>
                <w:rFonts w:ascii="Arial" w:hAnsi="Arial" w:cs="Arial"/>
                <w:sz w:val="20"/>
                <w:szCs w:val="20"/>
              </w:rPr>
              <w:t>ASC-010</w:t>
            </w:r>
          </w:p>
        </w:tc>
        <w:tc>
          <w:tcPr>
            <w:tcW w:w="3441" w:type="dxa"/>
            <w:tcBorders>
              <w:top w:val="nil"/>
              <w:left w:val="nil"/>
              <w:bottom w:val="single" w:sz="4" w:space="0" w:color="17B0DE"/>
              <w:right w:val="single" w:sz="4" w:space="0" w:color="auto"/>
            </w:tcBorders>
            <w:shd w:val="clear" w:color="auto" w:fill="auto"/>
            <w:vAlign w:val="center"/>
            <w:hideMark/>
          </w:tcPr>
          <w:p w14:paraId="5D8543A2" w14:textId="77777777" w:rsidR="00137518" w:rsidRPr="00137518" w:rsidRDefault="00137518">
            <w:pPr>
              <w:rPr>
                <w:rFonts w:ascii="Arial" w:hAnsi="Arial" w:cs="Arial"/>
                <w:color w:val="000000"/>
                <w:sz w:val="20"/>
                <w:szCs w:val="20"/>
              </w:rPr>
            </w:pPr>
            <w:r w:rsidRPr="00137518">
              <w:rPr>
                <w:rFonts w:ascii="Arial" w:hAnsi="Arial" w:cs="Arial"/>
                <w:color w:val="000000"/>
                <w:sz w:val="20"/>
                <w:szCs w:val="20"/>
              </w:rPr>
              <w:t>Number of completed annual reviews in a rolling 12 month period as a percentage of all clients in receipt of a service for 12 months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08986"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8B431" w14:textId="77777777" w:rsidR="00137518" w:rsidRPr="00137518" w:rsidRDefault="00137518">
            <w:pPr>
              <w:jc w:val="center"/>
              <w:rPr>
                <w:rFonts w:ascii="Arial" w:hAnsi="Arial" w:cs="Arial"/>
                <w:sz w:val="20"/>
                <w:szCs w:val="20"/>
              </w:rPr>
            </w:pPr>
            <w:r w:rsidRPr="00137518">
              <w:rPr>
                <w:rFonts w:ascii="Arial" w:hAnsi="Arial" w:cs="Arial"/>
                <w:sz w:val="20"/>
                <w:szCs w:val="20"/>
              </w:rPr>
              <w:t>Higher</w:t>
            </w:r>
          </w:p>
        </w:tc>
        <w:tc>
          <w:tcPr>
            <w:tcW w:w="992" w:type="dxa"/>
            <w:tcBorders>
              <w:top w:val="nil"/>
              <w:left w:val="single" w:sz="4" w:space="0" w:color="auto"/>
              <w:bottom w:val="single" w:sz="4" w:space="0" w:color="17B0DE"/>
              <w:right w:val="single" w:sz="4" w:space="0" w:color="17B0DE"/>
            </w:tcBorders>
            <w:shd w:val="clear" w:color="000000" w:fill="FF0000"/>
            <w:vAlign w:val="center"/>
            <w:hideMark/>
          </w:tcPr>
          <w:p w14:paraId="1695A5D4"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89</w:t>
            </w:r>
          </w:p>
        </w:tc>
        <w:tc>
          <w:tcPr>
            <w:tcW w:w="851" w:type="dxa"/>
            <w:tcBorders>
              <w:top w:val="nil"/>
              <w:left w:val="nil"/>
              <w:bottom w:val="single" w:sz="4" w:space="0" w:color="17B0DE"/>
              <w:right w:val="single" w:sz="4" w:space="0" w:color="17B0DE"/>
            </w:tcBorders>
            <w:shd w:val="clear" w:color="auto" w:fill="auto"/>
            <w:vAlign w:val="center"/>
            <w:hideMark/>
          </w:tcPr>
          <w:p w14:paraId="06076A52" w14:textId="3CC01EE5" w:rsidR="00137518" w:rsidRPr="00137518" w:rsidRDefault="006854BD">
            <w:pPr>
              <w:jc w:val="center"/>
              <w:rPr>
                <w:rFonts w:ascii="Arial" w:hAnsi="Arial" w:cs="Arial"/>
                <w:color w:val="000000"/>
                <w:sz w:val="20"/>
                <w:szCs w:val="20"/>
              </w:rPr>
            </w:pPr>
            <w:r>
              <w:rPr>
                <w:rFonts w:ascii="Arial" w:hAnsi="Arial" w:cs="Arial"/>
                <w:color w:val="000000"/>
                <w:sz w:val="20"/>
                <w:szCs w:val="20"/>
              </w:rPr>
              <w:t>85</w:t>
            </w:r>
            <w:r w:rsidR="002F7131">
              <w:rPr>
                <w:rFonts w:ascii="Arial" w:hAnsi="Arial" w:cs="Arial"/>
                <w:color w:val="000000"/>
                <w:sz w:val="20"/>
                <w:szCs w:val="20"/>
              </w:rPr>
              <w:t>%</w:t>
            </w:r>
          </w:p>
        </w:tc>
        <w:tc>
          <w:tcPr>
            <w:tcW w:w="1018" w:type="dxa"/>
            <w:tcBorders>
              <w:top w:val="single" w:sz="4" w:space="0" w:color="17B0DE"/>
              <w:left w:val="single" w:sz="4" w:space="0" w:color="17B0DE"/>
              <w:bottom w:val="single" w:sz="4" w:space="0" w:color="17B0DE"/>
              <w:right w:val="single" w:sz="4" w:space="0" w:color="17B0DE"/>
            </w:tcBorders>
            <w:shd w:val="clear" w:color="auto" w:fill="92D050"/>
            <w:vAlign w:val="center"/>
            <w:hideMark/>
          </w:tcPr>
          <w:p w14:paraId="7290F399"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90</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0F7C61B4" w14:textId="1C013B26" w:rsidR="00137518" w:rsidRPr="00137518" w:rsidRDefault="00137518">
            <w:pPr>
              <w:jc w:val="center"/>
              <w:rPr>
                <w:rFonts w:ascii="Arial" w:hAnsi="Arial" w:cs="Arial"/>
                <w:color w:val="FF0000"/>
                <w:sz w:val="20"/>
                <w:szCs w:val="20"/>
              </w:rPr>
            </w:pPr>
            <w:r w:rsidRPr="00794EF8">
              <w:rPr>
                <w:rFonts w:ascii="Arial" w:hAnsi="Arial" w:cs="Arial"/>
                <w:color w:val="00B050"/>
                <w:sz w:val="20"/>
                <w:szCs w:val="20"/>
              </w:rPr>
              <w:t>5.</w:t>
            </w:r>
            <w:r w:rsidR="00794EF8" w:rsidRPr="00794EF8">
              <w:rPr>
                <w:rFonts w:ascii="Arial" w:hAnsi="Arial" w:cs="Arial"/>
                <w:color w:val="00B050"/>
                <w:sz w:val="20"/>
                <w:szCs w:val="20"/>
              </w:rPr>
              <w:t>88</w:t>
            </w:r>
            <w:r w:rsidRPr="00794EF8">
              <w:rPr>
                <w:rFonts w:ascii="Arial" w:hAnsi="Arial" w:cs="Arial"/>
                <w:color w:val="00B050"/>
                <w:sz w:val="20"/>
                <w:szCs w:val="20"/>
              </w:rPr>
              <w:t>%</w:t>
            </w:r>
          </w:p>
        </w:tc>
        <w:tc>
          <w:tcPr>
            <w:tcW w:w="887" w:type="dxa"/>
            <w:tcBorders>
              <w:top w:val="nil"/>
              <w:left w:val="nil"/>
              <w:bottom w:val="single" w:sz="4" w:space="0" w:color="00B0F0"/>
              <w:right w:val="single" w:sz="4" w:space="0" w:color="00B0F0"/>
            </w:tcBorders>
            <w:shd w:val="clear" w:color="000000" w:fill="FFFFFF"/>
            <w:vAlign w:val="bottom"/>
            <w:hideMark/>
          </w:tcPr>
          <w:p w14:paraId="31BCE67F" w14:textId="63254496" w:rsidR="00137518" w:rsidRPr="00137518" w:rsidRDefault="00137518">
            <w:pPr>
              <w:rPr>
                <w:rFonts w:ascii="Arial" w:hAnsi="Arial" w:cs="Arial"/>
                <w:color w:val="000000"/>
                <w:sz w:val="20"/>
                <w:szCs w:val="20"/>
              </w:rPr>
            </w:pPr>
            <w:r w:rsidRPr="00137518">
              <w:rPr>
                <w:rFonts w:ascii="Arial" w:hAnsi="Arial" w:cs="Arial"/>
                <w:noProof/>
                <w:color w:val="000000"/>
                <w:sz w:val="20"/>
                <w:szCs w:val="20"/>
              </w:rPr>
              <w:drawing>
                <wp:anchor distT="0" distB="0" distL="114300" distR="114300" simplePos="0" relativeHeight="251658278" behindDoc="0" locked="0" layoutInCell="1" allowOverlap="1" wp14:anchorId="22441F4F" wp14:editId="3CCD580A">
                  <wp:simplePos x="0" y="0"/>
                  <wp:positionH relativeFrom="column">
                    <wp:posOffset>160655</wp:posOffset>
                  </wp:positionH>
                  <wp:positionV relativeFrom="paragraph">
                    <wp:posOffset>-464820</wp:posOffset>
                  </wp:positionV>
                  <wp:extent cx="266700" cy="254000"/>
                  <wp:effectExtent l="0" t="0" r="0" b="0"/>
                  <wp:wrapNone/>
                  <wp:docPr id="1678436053" name="Picture 47" descr="P1064C32T17#y1">
                    <a:extLst xmlns:a="http://schemas.openxmlformats.org/drawingml/2006/main">
                      <a:ext uri="{FF2B5EF4-FFF2-40B4-BE49-F238E27FC236}">
                        <a16:creationId xmlns:a16="http://schemas.microsoft.com/office/drawing/2014/main" id="{6DBCA4D1-CF9B-431A-A563-077439159B92}"/>
                      </a:ext>
                      <a:ext uri="{147F2762-F138-4A5C-976F-8EAC2B608ADB}">
                        <a16:predDERef xmlns:a16="http://schemas.microsoft.com/office/drawing/2014/main" pred="{0566F30E-ADB7-4844-AA1A-BD48D76B1929}"/>
                      </a:ext>
                    </a:extLst>
                  </wp:docPr>
                  <wp:cNvGraphicFramePr/>
                  <a:graphic xmlns:a="http://schemas.openxmlformats.org/drawingml/2006/main">
                    <a:graphicData uri="http://schemas.openxmlformats.org/drawingml/2006/picture">
                      <pic:pic xmlns:pic="http://schemas.openxmlformats.org/drawingml/2006/picture">
                        <pic:nvPicPr>
                          <pic:cNvPr id="1678436053" name="Picture 39" descr="P1064C32T17#y1">
                            <a:extLst>
                              <a:ext uri="{FF2B5EF4-FFF2-40B4-BE49-F238E27FC236}">
                                <a16:creationId xmlns:a16="http://schemas.microsoft.com/office/drawing/2014/main" id="{6DBCA4D1-CF9B-431A-A563-077439159B92}"/>
                              </a:ext>
                              <a:ext uri="{147F2762-F138-4A5C-976F-8EAC2B608ADB}">
                                <a16:predDERef xmlns:a16="http://schemas.microsoft.com/office/drawing/2014/main" pred="{0566F30E-ADB7-4844-AA1A-BD48D76B192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auto" w:fill="auto"/>
            <w:vAlign w:val="center"/>
            <w:hideMark/>
          </w:tcPr>
          <w:p w14:paraId="4C127519"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N/A</w:t>
            </w:r>
          </w:p>
        </w:tc>
      </w:tr>
      <w:tr w:rsidR="00137518" w:rsidRPr="00137518" w14:paraId="4D9A0EF4" w14:textId="77777777" w:rsidTr="00137518">
        <w:trPr>
          <w:trHeight w:val="1470"/>
        </w:trPr>
        <w:tc>
          <w:tcPr>
            <w:tcW w:w="2121" w:type="dxa"/>
            <w:vMerge/>
            <w:tcBorders>
              <w:top w:val="single" w:sz="4" w:space="0" w:color="17B0DE"/>
              <w:left w:val="single" w:sz="4" w:space="0" w:color="17B0DE"/>
              <w:bottom w:val="nil"/>
              <w:right w:val="single" w:sz="4" w:space="0" w:color="17B0DE"/>
            </w:tcBorders>
            <w:vAlign w:val="center"/>
            <w:hideMark/>
          </w:tcPr>
          <w:p w14:paraId="0E21B357" w14:textId="77777777" w:rsidR="00137518" w:rsidRPr="00137518" w:rsidRDefault="00137518">
            <w:pPr>
              <w:rPr>
                <w:rFonts w:ascii="Arial" w:hAnsi="Arial" w:cs="Arial"/>
                <w:b/>
                <w:bCs/>
                <w:color w:val="000000"/>
                <w:sz w:val="20"/>
                <w:szCs w:val="20"/>
              </w:rPr>
            </w:pPr>
          </w:p>
        </w:tc>
        <w:tc>
          <w:tcPr>
            <w:tcW w:w="812" w:type="dxa"/>
            <w:tcBorders>
              <w:top w:val="nil"/>
              <w:left w:val="nil"/>
              <w:bottom w:val="single" w:sz="4" w:space="0" w:color="17B0DE"/>
              <w:right w:val="single" w:sz="4" w:space="0" w:color="17B0DE"/>
            </w:tcBorders>
            <w:shd w:val="clear" w:color="auto" w:fill="auto"/>
            <w:vAlign w:val="center"/>
            <w:hideMark/>
          </w:tcPr>
          <w:p w14:paraId="3DE9BCE3" w14:textId="77777777" w:rsidR="00137518" w:rsidRPr="00137518" w:rsidRDefault="00137518">
            <w:pPr>
              <w:jc w:val="center"/>
              <w:rPr>
                <w:rFonts w:ascii="Arial" w:hAnsi="Arial" w:cs="Arial"/>
                <w:sz w:val="20"/>
                <w:szCs w:val="20"/>
              </w:rPr>
            </w:pPr>
            <w:r w:rsidRPr="00137518">
              <w:rPr>
                <w:rFonts w:ascii="Arial" w:hAnsi="Arial" w:cs="Arial"/>
                <w:sz w:val="20"/>
                <w:szCs w:val="20"/>
              </w:rPr>
              <w:t>ASC-011</w:t>
            </w:r>
          </w:p>
        </w:tc>
        <w:tc>
          <w:tcPr>
            <w:tcW w:w="3441" w:type="dxa"/>
            <w:tcBorders>
              <w:top w:val="nil"/>
              <w:left w:val="nil"/>
              <w:bottom w:val="single" w:sz="4" w:space="0" w:color="17B0DE"/>
              <w:right w:val="single" w:sz="4" w:space="0" w:color="auto"/>
            </w:tcBorders>
            <w:shd w:val="clear" w:color="auto" w:fill="auto"/>
            <w:vAlign w:val="center"/>
            <w:hideMark/>
          </w:tcPr>
          <w:p w14:paraId="4B0037B7" w14:textId="77777777" w:rsidR="00137518" w:rsidRPr="00137518" w:rsidRDefault="00137518">
            <w:pPr>
              <w:rPr>
                <w:rFonts w:ascii="Arial" w:hAnsi="Arial" w:cs="Arial"/>
                <w:color w:val="000000"/>
                <w:sz w:val="20"/>
                <w:szCs w:val="20"/>
              </w:rPr>
            </w:pPr>
            <w:r w:rsidRPr="00137518">
              <w:rPr>
                <w:rFonts w:ascii="Arial" w:hAnsi="Arial" w:cs="Arial"/>
                <w:color w:val="000000"/>
                <w:sz w:val="20"/>
                <w:szCs w:val="20"/>
              </w:rPr>
              <w:t>Percentage of adults aged 18-64 with learning disabilities in employment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4CDB"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F648C" w14:textId="77777777" w:rsidR="00137518" w:rsidRPr="00137518" w:rsidRDefault="00137518">
            <w:pPr>
              <w:jc w:val="center"/>
              <w:rPr>
                <w:rFonts w:ascii="Arial" w:hAnsi="Arial" w:cs="Arial"/>
                <w:sz w:val="20"/>
                <w:szCs w:val="20"/>
              </w:rPr>
            </w:pPr>
            <w:r w:rsidRPr="00137518">
              <w:rPr>
                <w:rFonts w:ascii="Arial" w:hAnsi="Arial" w:cs="Arial"/>
                <w:sz w:val="20"/>
                <w:szCs w:val="20"/>
              </w:rPr>
              <w:t>Higher</w:t>
            </w:r>
          </w:p>
        </w:tc>
        <w:tc>
          <w:tcPr>
            <w:tcW w:w="992" w:type="dxa"/>
            <w:tcBorders>
              <w:top w:val="nil"/>
              <w:left w:val="single" w:sz="4" w:space="0" w:color="auto"/>
              <w:bottom w:val="single" w:sz="4" w:space="0" w:color="17B0DE"/>
              <w:right w:val="single" w:sz="4" w:space="0" w:color="17B0DE"/>
            </w:tcBorders>
            <w:shd w:val="clear" w:color="000000" w:fill="92D050"/>
            <w:vAlign w:val="center"/>
            <w:hideMark/>
          </w:tcPr>
          <w:p w14:paraId="42E1136B"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8.3%</w:t>
            </w:r>
          </w:p>
        </w:tc>
        <w:tc>
          <w:tcPr>
            <w:tcW w:w="851" w:type="dxa"/>
            <w:tcBorders>
              <w:top w:val="nil"/>
              <w:left w:val="nil"/>
              <w:bottom w:val="single" w:sz="4" w:space="0" w:color="17B0DE"/>
              <w:right w:val="single" w:sz="4" w:space="0" w:color="17B0DE"/>
            </w:tcBorders>
            <w:shd w:val="clear" w:color="auto" w:fill="auto"/>
            <w:vAlign w:val="center"/>
            <w:hideMark/>
          </w:tcPr>
          <w:p w14:paraId="4FB2D16D"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7%</w:t>
            </w:r>
          </w:p>
        </w:tc>
        <w:tc>
          <w:tcPr>
            <w:tcW w:w="1018"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533EE582"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8.5</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6CE9DD4A" w14:textId="77777777" w:rsidR="00137518" w:rsidRPr="00137518" w:rsidRDefault="00137518">
            <w:pPr>
              <w:jc w:val="center"/>
              <w:rPr>
                <w:rFonts w:ascii="Arial" w:hAnsi="Arial" w:cs="Arial"/>
                <w:color w:val="00B050"/>
                <w:sz w:val="20"/>
                <w:szCs w:val="20"/>
              </w:rPr>
            </w:pPr>
            <w:r w:rsidRPr="00137518">
              <w:rPr>
                <w:rFonts w:ascii="Arial" w:hAnsi="Arial" w:cs="Arial"/>
                <w:color w:val="00B050"/>
                <w:sz w:val="20"/>
                <w:szCs w:val="20"/>
              </w:rPr>
              <w:t>21.43%</w:t>
            </w:r>
          </w:p>
        </w:tc>
        <w:tc>
          <w:tcPr>
            <w:tcW w:w="887" w:type="dxa"/>
            <w:tcBorders>
              <w:top w:val="nil"/>
              <w:left w:val="nil"/>
              <w:bottom w:val="single" w:sz="4" w:space="0" w:color="00B0F0"/>
              <w:right w:val="single" w:sz="4" w:space="0" w:color="00B0F0"/>
            </w:tcBorders>
            <w:shd w:val="clear" w:color="000000" w:fill="FFFFFF"/>
            <w:vAlign w:val="bottom"/>
            <w:hideMark/>
          </w:tcPr>
          <w:p w14:paraId="62DB45DC" w14:textId="79A8666F" w:rsidR="00137518" w:rsidRPr="00137518" w:rsidRDefault="00137518">
            <w:pPr>
              <w:rPr>
                <w:rFonts w:ascii="Arial" w:hAnsi="Arial" w:cs="Arial"/>
                <w:color w:val="000000"/>
                <w:sz w:val="20"/>
                <w:szCs w:val="20"/>
              </w:rPr>
            </w:pPr>
            <w:r w:rsidRPr="00137518">
              <w:rPr>
                <w:rFonts w:ascii="Arial" w:hAnsi="Arial" w:cs="Arial"/>
                <w:noProof/>
                <w:color w:val="000000"/>
                <w:sz w:val="20"/>
                <w:szCs w:val="20"/>
              </w:rPr>
              <w:drawing>
                <wp:anchor distT="0" distB="0" distL="114300" distR="114300" simplePos="0" relativeHeight="251658276" behindDoc="0" locked="0" layoutInCell="1" allowOverlap="1" wp14:anchorId="2A71DBF0" wp14:editId="257D9DB5">
                  <wp:simplePos x="0" y="0"/>
                  <wp:positionH relativeFrom="column">
                    <wp:posOffset>139700</wp:posOffset>
                  </wp:positionH>
                  <wp:positionV relativeFrom="paragraph">
                    <wp:posOffset>-523875</wp:posOffset>
                  </wp:positionV>
                  <wp:extent cx="292100" cy="247650"/>
                  <wp:effectExtent l="0" t="0" r="0" b="0"/>
                  <wp:wrapNone/>
                  <wp:docPr id="20" name="Picture 48" descr="P1076C42T17#y1">
                    <a:extLst xmlns:a="http://schemas.openxmlformats.org/drawingml/2006/main">
                      <a:ext uri="{FF2B5EF4-FFF2-40B4-BE49-F238E27FC236}">
                        <a16:creationId xmlns:a16="http://schemas.microsoft.com/office/drawing/2014/main" id="{E7085C98-6128-4DC0-A16B-0B6D77847F0B}"/>
                      </a:ext>
                      <a:ext uri="{147F2762-F138-4A5C-976F-8EAC2B608ADB}">
                        <a16:predDERef xmlns:a16="http://schemas.microsoft.com/office/drawing/2014/main" pred="{421AE01F-69EC-43A1-9AB7-199B1FD2823C}"/>
                      </a:ext>
                    </a:extLst>
                  </wp:docPr>
                  <wp:cNvGraphicFramePr/>
                  <a:graphic xmlns:a="http://schemas.openxmlformats.org/drawingml/2006/main">
                    <a:graphicData uri="http://schemas.openxmlformats.org/drawingml/2006/picture">
                      <pic:pic xmlns:pic="http://schemas.openxmlformats.org/drawingml/2006/picture">
                        <pic:nvPicPr>
                          <pic:cNvPr id="20" name="Picture 38" descr="P1076C42T17#y1">
                            <a:extLst>
                              <a:ext uri="{FF2B5EF4-FFF2-40B4-BE49-F238E27FC236}">
                                <a16:creationId xmlns:a16="http://schemas.microsoft.com/office/drawing/2014/main" id="{E7085C98-6128-4DC0-A16B-0B6D77847F0B}"/>
                              </a:ext>
                              <a:ext uri="{147F2762-F138-4A5C-976F-8EAC2B608ADB}">
                                <a16:predDERef xmlns:a16="http://schemas.microsoft.com/office/drawing/2014/main" pred="{421AE01F-69EC-43A1-9AB7-199B1FD2823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000000" w:fill="92D050"/>
            <w:vAlign w:val="center"/>
            <w:hideMark/>
          </w:tcPr>
          <w:p w14:paraId="442B5649" w14:textId="77777777" w:rsidR="00137518" w:rsidRPr="00137518" w:rsidRDefault="00137518">
            <w:pPr>
              <w:jc w:val="center"/>
              <w:rPr>
                <w:rFonts w:ascii="Arial" w:hAnsi="Arial" w:cs="Arial"/>
                <w:sz w:val="20"/>
                <w:szCs w:val="20"/>
              </w:rPr>
            </w:pPr>
            <w:r w:rsidRPr="00137518">
              <w:rPr>
                <w:rFonts w:ascii="Arial" w:hAnsi="Arial" w:cs="Arial"/>
                <w:sz w:val="20"/>
                <w:szCs w:val="20"/>
              </w:rPr>
              <w:t>1st Quartile Eng Av. 4.8    LA Av. 4.6 (2022/23)</w:t>
            </w:r>
          </w:p>
        </w:tc>
      </w:tr>
      <w:tr w:rsidR="00137518" w:rsidRPr="00137518" w14:paraId="35991559" w14:textId="77777777" w:rsidTr="006854BD">
        <w:trPr>
          <w:trHeight w:val="1245"/>
        </w:trPr>
        <w:tc>
          <w:tcPr>
            <w:tcW w:w="2121" w:type="dxa"/>
            <w:vMerge/>
            <w:tcBorders>
              <w:top w:val="single" w:sz="4" w:space="0" w:color="17B0DE"/>
              <w:left w:val="single" w:sz="4" w:space="0" w:color="17B0DE"/>
              <w:bottom w:val="nil"/>
              <w:right w:val="single" w:sz="4" w:space="0" w:color="17B0DE"/>
            </w:tcBorders>
            <w:vAlign w:val="center"/>
            <w:hideMark/>
          </w:tcPr>
          <w:p w14:paraId="2A3C77B7" w14:textId="77777777" w:rsidR="00137518" w:rsidRPr="00137518" w:rsidRDefault="00137518">
            <w:pPr>
              <w:rPr>
                <w:rFonts w:ascii="Arial" w:hAnsi="Arial" w:cs="Arial"/>
                <w:b/>
                <w:bCs/>
                <w:color w:val="000000"/>
                <w:sz w:val="20"/>
                <w:szCs w:val="20"/>
              </w:rPr>
            </w:pPr>
          </w:p>
        </w:tc>
        <w:tc>
          <w:tcPr>
            <w:tcW w:w="812" w:type="dxa"/>
            <w:tcBorders>
              <w:top w:val="nil"/>
              <w:left w:val="nil"/>
              <w:bottom w:val="single" w:sz="4" w:space="0" w:color="17B0DE"/>
              <w:right w:val="single" w:sz="4" w:space="0" w:color="17B0DE"/>
            </w:tcBorders>
            <w:shd w:val="clear" w:color="auto" w:fill="auto"/>
            <w:vAlign w:val="center"/>
            <w:hideMark/>
          </w:tcPr>
          <w:p w14:paraId="6CC96F7C" w14:textId="77777777" w:rsidR="00137518" w:rsidRPr="00137518" w:rsidRDefault="00137518">
            <w:pPr>
              <w:jc w:val="center"/>
              <w:rPr>
                <w:rFonts w:ascii="Arial" w:hAnsi="Arial" w:cs="Arial"/>
                <w:sz w:val="20"/>
                <w:szCs w:val="20"/>
              </w:rPr>
            </w:pPr>
            <w:r w:rsidRPr="00137518">
              <w:rPr>
                <w:rFonts w:ascii="Arial" w:hAnsi="Arial" w:cs="Arial"/>
                <w:sz w:val="20"/>
                <w:szCs w:val="20"/>
              </w:rPr>
              <w:t>ASC-015</w:t>
            </w:r>
          </w:p>
        </w:tc>
        <w:tc>
          <w:tcPr>
            <w:tcW w:w="3441" w:type="dxa"/>
            <w:tcBorders>
              <w:top w:val="nil"/>
              <w:left w:val="nil"/>
              <w:bottom w:val="single" w:sz="4" w:space="0" w:color="17B0DE"/>
              <w:right w:val="single" w:sz="4" w:space="0" w:color="auto"/>
            </w:tcBorders>
            <w:shd w:val="clear" w:color="auto" w:fill="auto"/>
            <w:vAlign w:val="center"/>
            <w:hideMark/>
          </w:tcPr>
          <w:p w14:paraId="06C6D73F" w14:textId="77777777" w:rsidR="00137518" w:rsidRPr="00137518" w:rsidRDefault="00137518">
            <w:pPr>
              <w:rPr>
                <w:rFonts w:ascii="Arial" w:hAnsi="Arial" w:cs="Arial"/>
                <w:color w:val="000000"/>
                <w:sz w:val="20"/>
                <w:szCs w:val="20"/>
              </w:rPr>
            </w:pPr>
            <w:r w:rsidRPr="00137518">
              <w:rPr>
                <w:rFonts w:ascii="Arial" w:hAnsi="Arial" w:cs="Arial"/>
                <w:color w:val="000000"/>
                <w:sz w:val="20"/>
                <w:szCs w:val="20"/>
              </w:rPr>
              <w:t>Number of individuals (18+) who are receiving domiciliary care as a % of the total service user population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2E48"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841F2" w14:textId="0114BFF8" w:rsidR="00137518" w:rsidRPr="00137518" w:rsidRDefault="00E40751">
            <w:pPr>
              <w:jc w:val="center"/>
              <w:rPr>
                <w:rFonts w:ascii="Arial" w:hAnsi="Arial" w:cs="Arial"/>
                <w:sz w:val="20"/>
                <w:szCs w:val="20"/>
              </w:rPr>
            </w:pPr>
            <w:r>
              <w:rPr>
                <w:rFonts w:ascii="Arial" w:hAnsi="Arial" w:cs="Arial"/>
                <w:sz w:val="20"/>
                <w:szCs w:val="20"/>
              </w:rPr>
              <w:t>Lower</w:t>
            </w:r>
          </w:p>
        </w:tc>
        <w:tc>
          <w:tcPr>
            <w:tcW w:w="992" w:type="dxa"/>
            <w:tcBorders>
              <w:top w:val="nil"/>
              <w:left w:val="single" w:sz="4" w:space="0" w:color="auto"/>
              <w:bottom w:val="single" w:sz="4" w:space="0" w:color="17B0DE"/>
              <w:right w:val="single" w:sz="4" w:space="0" w:color="17B0DE"/>
            </w:tcBorders>
            <w:shd w:val="clear" w:color="000000" w:fill="92D050"/>
            <w:vAlign w:val="center"/>
            <w:hideMark/>
          </w:tcPr>
          <w:p w14:paraId="5D96A6D2"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58.9%</w:t>
            </w:r>
          </w:p>
        </w:tc>
        <w:tc>
          <w:tcPr>
            <w:tcW w:w="851" w:type="dxa"/>
            <w:tcBorders>
              <w:top w:val="nil"/>
              <w:left w:val="nil"/>
              <w:bottom w:val="single" w:sz="4" w:space="0" w:color="17B0DE"/>
              <w:right w:val="single" w:sz="4" w:space="0" w:color="17B0DE"/>
            </w:tcBorders>
            <w:shd w:val="clear" w:color="auto" w:fill="auto"/>
            <w:vAlign w:val="center"/>
            <w:hideMark/>
          </w:tcPr>
          <w:p w14:paraId="778AB22F" w14:textId="577F61B3" w:rsidR="00137518" w:rsidRPr="00137518" w:rsidRDefault="004116C1">
            <w:pPr>
              <w:jc w:val="center"/>
              <w:rPr>
                <w:rFonts w:ascii="Arial" w:hAnsi="Arial" w:cs="Arial"/>
                <w:color w:val="000000"/>
                <w:sz w:val="20"/>
                <w:szCs w:val="20"/>
              </w:rPr>
            </w:pPr>
            <w:r>
              <w:rPr>
                <w:rFonts w:ascii="Arial" w:hAnsi="Arial" w:cs="Arial"/>
                <w:color w:val="000000"/>
                <w:sz w:val="20"/>
                <w:szCs w:val="20"/>
              </w:rPr>
              <w:t>7</w:t>
            </w:r>
            <w:r w:rsidR="00137518" w:rsidRPr="00137518">
              <w:rPr>
                <w:rFonts w:ascii="Arial" w:hAnsi="Arial" w:cs="Arial"/>
                <w:color w:val="000000"/>
                <w:sz w:val="20"/>
                <w:szCs w:val="20"/>
              </w:rPr>
              <w:t>0%</w:t>
            </w:r>
          </w:p>
        </w:tc>
        <w:tc>
          <w:tcPr>
            <w:tcW w:w="1018" w:type="dxa"/>
            <w:tcBorders>
              <w:top w:val="single" w:sz="4" w:space="0" w:color="17B0DE"/>
              <w:left w:val="single" w:sz="4" w:space="0" w:color="17B0DE"/>
              <w:bottom w:val="single" w:sz="4" w:space="0" w:color="17B0DE"/>
              <w:right w:val="single" w:sz="4" w:space="0" w:color="17B0DE"/>
            </w:tcBorders>
            <w:shd w:val="clear" w:color="auto" w:fill="92D050"/>
            <w:vAlign w:val="center"/>
            <w:hideMark/>
          </w:tcPr>
          <w:p w14:paraId="77CD5381"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61</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573F7A9B" w14:textId="7219DC85" w:rsidR="00137518" w:rsidRPr="00A87EA7" w:rsidRDefault="006854BD">
            <w:pPr>
              <w:jc w:val="center"/>
              <w:rPr>
                <w:rFonts w:ascii="Arial" w:hAnsi="Arial" w:cs="Arial"/>
                <w:sz w:val="20"/>
                <w:szCs w:val="20"/>
              </w:rPr>
            </w:pPr>
            <w:r w:rsidRPr="006854BD">
              <w:rPr>
                <w:rFonts w:ascii="Arial" w:hAnsi="Arial" w:cs="Arial"/>
                <w:color w:val="00B050"/>
                <w:sz w:val="20"/>
                <w:szCs w:val="20"/>
              </w:rPr>
              <w:t>12.86</w:t>
            </w:r>
            <w:r w:rsidR="00137518" w:rsidRPr="006854BD">
              <w:rPr>
                <w:rFonts w:ascii="Arial" w:hAnsi="Arial" w:cs="Arial"/>
                <w:color w:val="00B050"/>
                <w:sz w:val="20"/>
                <w:szCs w:val="20"/>
              </w:rPr>
              <w:t>%</w:t>
            </w:r>
          </w:p>
        </w:tc>
        <w:tc>
          <w:tcPr>
            <w:tcW w:w="887" w:type="dxa"/>
            <w:tcBorders>
              <w:top w:val="nil"/>
              <w:left w:val="nil"/>
              <w:bottom w:val="single" w:sz="4" w:space="0" w:color="00B0F0"/>
              <w:right w:val="single" w:sz="4" w:space="0" w:color="00B0F0"/>
            </w:tcBorders>
            <w:shd w:val="clear" w:color="auto" w:fill="auto"/>
            <w:vAlign w:val="center"/>
            <w:hideMark/>
          </w:tcPr>
          <w:p w14:paraId="394F7BF4" w14:textId="08361543" w:rsidR="00137518" w:rsidRPr="00137518" w:rsidRDefault="00137518">
            <w:pPr>
              <w:jc w:val="center"/>
              <w:rPr>
                <w:rFonts w:ascii="Arial" w:hAnsi="Arial" w:cs="Arial"/>
                <w:color w:val="000000"/>
                <w:sz w:val="20"/>
                <w:szCs w:val="20"/>
              </w:rPr>
            </w:pPr>
            <w:r w:rsidRPr="00137518">
              <w:rPr>
                <w:rFonts w:ascii="Arial" w:hAnsi="Arial" w:cs="Arial"/>
                <w:noProof/>
                <w:color w:val="000000"/>
                <w:sz w:val="20"/>
                <w:szCs w:val="20"/>
              </w:rPr>
              <w:drawing>
                <wp:anchor distT="0" distB="0" distL="114300" distR="114300" simplePos="0" relativeHeight="251658279" behindDoc="0" locked="0" layoutInCell="1" allowOverlap="1" wp14:anchorId="6D0F4F8A" wp14:editId="73D3072B">
                  <wp:simplePos x="0" y="0"/>
                  <wp:positionH relativeFrom="column">
                    <wp:posOffset>170180</wp:posOffset>
                  </wp:positionH>
                  <wp:positionV relativeFrom="paragraph">
                    <wp:posOffset>-5080</wp:posOffset>
                  </wp:positionV>
                  <wp:extent cx="266700" cy="254000"/>
                  <wp:effectExtent l="0" t="0" r="0" b="0"/>
                  <wp:wrapNone/>
                  <wp:docPr id="693743993" name="Picture 49" descr="P1088C52T17#y1">
                    <a:extLst xmlns:a="http://schemas.openxmlformats.org/drawingml/2006/main">
                      <a:ext uri="{FF2B5EF4-FFF2-40B4-BE49-F238E27FC236}">
                        <a16:creationId xmlns:a16="http://schemas.microsoft.com/office/drawing/2014/main" id="{A0796C05-8878-49C4-884E-B7A6BEABA5CC}"/>
                      </a:ext>
                      <a:ext uri="{147F2762-F138-4A5C-976F-8EAC2B608ADB}">
                        <a16:predDERef xmlns:a16="http://schemas.microsoft.com/office/drawing/2014/main" pred="{0566F30E-ADB7-4844-AA1A-BD48D76B1929}"/>
                      </a:ext>
                    </a:extLst>
                  </wp:docPr>
                  <wp:cNvGraphicFramePr/>
                  <a:graphic xmlns:a="http://schemas.openxmlformats.org/drawingml/2006/main">
                    <a:graphicData uri="http://schemas.openxmlformats.org/drawingml/2006/picture">
                      <pic:pic xmlns:pic="http://schemas.openxmlformats.org/drawingml/2006/picture">
                        <pic:nvPicPr>
                          <pic:cNvPr id="693743993" name="Picture 37" descr="P1088C52T17#y1">
                            <a:extLst>
                              <a:ext uri="{FF2B5EF4-FFF2-40B4-BE49-F238E27FC236}">
                                <a16:creationId xmlns:a16="http://schemas.microsoft.com/office/drawing/2014/main" id="{A0796C05-8878-49C4-884E-B7A6BEABA5CC}"/>
                              </a:ext>
                              <a:ext uri="{147F2762-F138-4A5C-976F-8EAC2B608ADB}">
                                <a16:predDERef xmlns:a16="http://schemas.microsoft.com/office/drawing/2014/main" pred="{0566F30E-ADB7-4844-AA1A-BD48D76B192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41FA2CE5"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N/A</w:t>
            </w:r>
          </w:p>
        </w:tc>
      </w:tr>
      <w:tr w:rsidR="00137518" w:rsidRPr="00137518" w14:paraId="655FCC12" w14:textId="77777777" w:rsidTr="00137518">
        <w:trPr>
          <w:trHeight w:val="1245"/>
        </w:trPr>
        <w:tc>
          <w:tcPr>
            <w:tcW w:w="2121" w:type="dxa"/>
            <w:vMerge w:val="restart"/>
            <w:tcBorders>
              <w:top w:val="nil"/>
              <w:left w:val="single" w:sz="4" w:space="0" w:color="17B0DE"/>
              <w:bottom w:val="nil"/>
              <w:right w:val="single" w:sz="4" w:space="0" w:color="17B0DE"/>
            </w:tcBorders>
            <w:shd w:val="clear" w:color="000000" w:fill="B7E8F7"/>
            <w:vAlign w:val="center"/>
            <w:hideMark/>
          </w:tcPr>
          <w:p w14:paraId="4CD4CE19" w14:textId="77777777" w:rsidR="00137518" w:rsidRPr="00137518" w:rsidRDefault="00137518">
            <w:pPr>
              <w:jc w:val="center"/>
              <w:rPr>
                <w:rFonts w:ascii="Arial" w:hAnsi="Arial" w:cs="Arial"/>
                <w:b/>
                <w:bCs/>
                <w:color w:val="000000"/>
                <w:sz w:val="20"/>
                <w:szCs w:val="20"/>
              </w:rPr>
            </w:pPr>
            <w:r w:rsidRPr="00137518">
              <w:rPr>
                <w:rFonts w:ascii="Arial" w:hAnsi="Arial" w:cs="Arial"/>
                <w:b/>
                <w:bCs/>
                <w:color w:val="000000"/>
                <w:sz w:val="20"/>
                <w:szCs w:val="20"/>
              </w:rPr>
              <w:t>People have a positive experience of health and care services</w:t>
            </w:r>
          </w:p>
        </w:tc>
        <w:tc>
          <w:tcPr>
            <w:tcW w:w="812" w:type="dxa"/>
            <w:tcBorders>
              <w:top w:val="nil"/>
              <w:left w:val="nil"/>
              <w:bottom w:val="single" w:sz="4" w:space="0" w:color="17B0DE"/>
              <w:right w:val="single" w:sz="4" w:space="0" w:color="17B0DE"/>
            </w:tcBorders>
            <w:shd w:val="clear" w:color="auto" w:fill="auto"/>
            <w:vAlign w:val="center"/>
            <w:hideMark/>
          </w:tcPr>
          <w:p w14:paraId="1AF37BF6" w14:textId="77777777" w:rsidR="00137518" w:rsidRPr="00137518" w:rsidRDefault="00137518">
            <w:pPr>
              <w:jc w:val="center"/>
              <w:rPr>
                <w:rFonts w:ascii="Arial" w:hAnsi="Arial" w:cs="Arial"/>
                <w:sz w:val="20"/>
                <w:szCs w:val="20"/>
              </w:rPr>
            </w:pPr>
            <w:r w:rsidRPr="00137518">
              <w:rPr>
                <w:rFonts w:ascii="Arial" w:hAnsi="Arial" w:cs="Arial"/>
                <w:sz w:val="20"/>
                <w:szCs w:val="20"/>
              </w:rPr>
              <w:t>ASC-013</w:t>
            </w:r>
          </w:p>
        </w:tc>
        <w:tc>
          <w:tcPr>
            <w:tcW w:w="3441" w:type="dxa"/>
            <w:tcBorders>
              <w:top w:val="nil"/>
              <w:left w:val="nil"/>
              <w:bottom w:val="single" w:sz="4" w:space="0" w:color="17B0DE"/>
              <w:right w:val="single" w:sz="4" w:space="0" w:color="auto"/>
            </w:tcBorders>
            <w:shd w:val="clear" w:color="auto" w:fill="auto"/>
            <w:vAlign w:val="center"/>
            <w:hideMark/>
          </w:tcPr>
          <w:p w14:paraId="09E74EE8" w14:textId="77716AED" w:rsidR="00137518" w:rsidRPr="00137518" w:rsidRDefault="00137518">
            <w:pPr>
              <w:rPr>
                <w:rFonts w:ascii="Arial" w:hAnsi="Arial" w:cs="Arial"/>
                <w:color w:val="000000"/>
                <w:sz w:val="20"/>
                <w:szCs w:val="20"/>
              </w:rPr>
            </w:pPr>
            <w:r w:rsidRPr="00137518">
              <w:rPr>
                <w:rFonts w:ascii="Arial" w:hAnsi="Arial" w:cs="Arial"/>
                <w:color w:val="000000"/>
                <w:sz w:val="20"/>
                <w:szCs w:val="20"/>
              </w:rPr>
              <w:t>Percentage of initial strategy discussions undertaken within 1 working day of an adult safeguarding alert being made to the contact centre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D926"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9497E" w14:textId="77777777" w:rsidR="00137518" w:rsidRPr="00137518" w:rsidRDefault="00137518">
            <w:pPr>
              <w:jc w:val="center"/>
              <w:rPr>
                <w:rFonts w:ascii="Arial" w:hAnsi="Arial" w:cs="Arial"/>
                <w:sz w:val="20"/>
                <w:szCs w:val="20"/>
              </w:rPr>
            </w:pPr>
            <w:r w:rsidRPr="00137518">
              <w:rPr>
                <w:rFonts w:ascii="Arial" w:hAnsi="Arial" w:cs="Arial"/>
                <w:sz w:val="20"/>
                <w:szCs w:val="20"/>
              </w:rPr>
              <w:t>Higher</w:t>
            </w:r>
          </w:p>
        </w:tc>
        <w:tc>
          <w:tcPr>
            <w:tcW w:w="992" w:type="dxa"/>
            <w:tcBorders>
              <w:top w:val="nil"/>
              <w:left w:val="single" w:sz="4" w:space="0" w:color="auto"/>
              <w:bottom w:val="single" w:sz="4" w:space="0" w:color="17B0DE"/>
              <w:right w:val="single" w:sz="4" w:space="0" w:color="17B0DE"/>
            </w:tcBorders>
            <w:shd w:val="clear" w:color="000000" w:fill="FFC000"/>
            <w:vAlign w:val="center"/>
            <w:hideMark/>
          </w:tcPr>
          <w:p w14:paraId="07853394"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94.4%</w:t>
            </w:r>
          </w:p>
        </w:tc>
        <w:tc>
          <w:tcPr>
            <w:tcW w:w="851" w:type="dxa"/>
            <w:tcBorders>
              <w:top w:val="nil"/>
              <w:left w:val="nil"/>
              <w:bottom w:val="single" w:sz="4" w:space="0" w:color="17B0DE"/>
              <w:right w:val="single" w:sz="4" w:space="0" w:color="17B0DE"/>
            </w:tcBorders>
            <w:shd w:val="clear" w:color="auto" w:fill="auto"/>
            <w:vAlign w:val="center"/>
            <w:hideMark/>
          </w:tcPr>
          <w:p w14:paraId="1C186F36"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95%</w:t>
            </w:r>
          </w:p>
        </w:tc>
        <w:tc>
          <w:tcPr>
            <w:tcW w:w="1018" w:type="dxa"/>
            <w:tcBorders>
              <w:top w:val="single" w:sz="4" w:space="0" w:color="17B0DE"/>
              <w:left w:val="single" w:sz="4" w:space="0" w:color="17B0DE"/>
              <w:bottom w:val="single" w:sz="4" w:space="0" w:color="17B0DE"/>
              <w:right w:val="single" w:sz="4" w:space="0" w:color="17B0DE"/>
            </w:tcBorders>
            <w:shd w:val="clear" w:color="000000" w:fill="FFC000"/>
            <w:vAlign w:val="center"/>
            <w:hideMark/>
          </w:tcPr>
          <w:p w14:paraId="75CAA362"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91</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41665873" w14:textId="77777777" w:rsidR="00137518" w:rsidRPr="00A87EA7" w:rsidRDefault="00137518">
            <w:pPr>
              <w:jc w:val="center"/>
              <w:rPr>
                <w:rFonts w:ascii="Arial" w:hAnsi="Arial" w:cs="Arial"/>
                <w:sz w:val="20"/>
                <w:szCs w:val="20"/>
              </w:rPr>
            </w:pPr>
            <w:r w:rsidRPr="00A87EA7">
              <w:rPr>
                <w:rFonts w:ascii="Arial" w:hAnsi="Arial" w:cs="Arial"/>
                <w:sz w:val="20"/>
                <w:szCs w:val="20"/>
              </w:rPr>
              <w:t>-4.21%</w:t>
            </w:r>
          </w:p>
        </w:tc>
        <w:tc>
          <w:tcPr>
            <w:tcW w:w="887" w:type="dxa"/>
            <w:tcBorders>
              <w:top w:val="nil"/>
              <w:left w:val="nil"/>
              <w:bottom w:val="single" w:sz="4" w:space="0" w:color="00B0F0"/>
              <w:right w:val="single" w:sz="4" w:space="0" w:color="00B0F0"/>
            </w:tcBorders>
            <w:shd w:val="clear" w:color="auto" w:fill="auto"/>
            <w:vAlign w:val="bottom"/>
            <w:hideMark/>
          </w:tcPr>
          <w:p w14:paraId="0E5C006F" w14:textId="288A44EB" w:rsidR="00137518" w:rsidRPr="00137518" w:rsidRDefault="00137518">
            <w:pPr>
              <w:rPr>
                <w:rFonts w:ascii="Arial" w:hAnsi="Arial" w:cs="Arial"/>
                <w:color w:val="000000"/>
                <w:sz w:val="20"/>
                <w:szCs w:val="20"/>
              </w:rPr>
            </w:pPr>
            <w:r w:rsidRPr="00137518">
              <w:rPr>
                <w:rFonts w:ascii="Arial" w:hAnsi="Arial" w:cs="Arial"/>
                <w:noProof/>
                <w:color w:val="000000"/>
                <w:sz w:val="20"/>
                <w:szCs w:val="20"/>
              </w:rPr>
              <w:drawing>
                <wp:anchor distT="0" distB="0" distL="114300" distR="114300" simplePos="0" relativeHeight="251658280" behindDoc="0" locked="0" layoutInCell="1" allowOverlap="1" wp14:anchorId="7F6B5AAA" wp14:editId="160640F0">
                  <wp:simplePos x="0" y="0"/>
                  <wp:positionH relativeFrom="column">
                    <wp:posOffset>175895</wp:posOffset>
                  </wp:positionH>
                  <wp:positionV relativeFrom="paragraph">
                    <wp:posOffset>-404495</wp:posOffset>
                  </wp:positionV>
                  <wp:extent cx="266700" cy="247650"/>
                  <wp:effectExtent l="0" t="0" r="0" b="0"/>
                  <wp:wrapNone/>
                  <wp:docPr id="625882611" name="Picture 50" descr="P1100C63T17#y1">
                    <a:extLst xmlns:a="http://schemas.openxmlformats.org/drawingml/2006/main">
                      <a:ext uri="{FF2B5EF4-FFF2-40B4-BE49-F238E27FC236}">
                        <a16:creationId xmlns:a16="http://schemas.microsoft.com/office/drawing/2014/main" id="{83DD0361-AB76-434A-B297-0A040141C009}"/>
                      </a:ext>
                      <a:ext uri="{147F2762-F138-4A5C-976F-8EAC2B608ADB}">
                        <a16:predDERef xmlns:a16="http://schemas.microsoft.com/office/drawing/2014/main" pred="{0566F30E-ADB7-4844-AA1A-BD48D76B1929}"/>
                      </a:ext>
                    </a:extLst>
                  </wp:docPr>
                  <wp:cNvGraphicFramePr/>
                  <a:graphic xmlns:a="http://schemas.openxmlformats.org/drawingml/2006/main">
                    <a:graphicData uri="http://schemas.openxmlformats.org/drawingml/2006/picture">
                      <pic:pic xmlns:pic="http://schemas.openxmlformats.org/drawingml/2006/picture">
                        <pic:nvPicPr>
                          <pic:cNvPr id="625882611" name="Picture 36" descr="P1100C63T17#y1">
                            <a:extLst>
                              <a:ext uri="{FF2B5EF4-FFF2-40B4-BE49-F238E27FC236}">
                                <a16:creationId xmlns:a16="http://schemas.microsoft.com/office/drawing/2014/main" id="{83DD0361-AB76-434A-B297-0A040141C009}"/>
                              </a:ext>
                              <a:ext uri="{147F2762-F138-4A5C-976F-8EAC2B608ADB}">
                                <a16:predDERef xmlns:a16="http://schemas.microsoft.com/office/drawing/2014/main" pred="{0566F30E-ADB7-4844-AA1A-BD48D76B192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00B0F0"/>
              <w:bottom w:val="single" w:sz="4" w:space="0" w:color="00B0F0"/>
              <w:right w:val="single" w:sz="4" w:space="0" w:color="00B0F0"/>
            </w:tcBorders>
            <w:shd w:val="clear" w:color="auto" w:fill="auto"/>
            <w:vAlign w:val="center"/>
            <w:hideMark/>
          </w:tcPr>
          <w:p w14:paraId="00A2172D"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N/A</w:t>
            </w:r>
          </w:p>
        </w:tc>
      </w:tr>
      <w:tr w:rsidR="00137518" w:rsidRPr="00137518" w14:paraId="1A61ECD2" w14:textId="77777777" w:rsidTr="002B2B18">
        <w:trPr>
          <w:trHeight w:val="1245"/>
        </w:trPr>
        <w:tc>
          <w:tcPr>
            <w:tcW w:w="2121" w:type="dxa"/>
            <w:vMerge/>
            <w:tcBorders>
              <w:top w:val="nil"/>
              <w:left w:val="single" w:sz="4" w:space="0" w:color="17B0DE"/>
              <w:bottom w:val="nil"/>
              <w:right w:val="single" w:sz="4" w:space="0" w:color="17B0DE"/>
            </w:tcBorders>
            <w:vAlign w:val="center"/>
            <w:hideMark/>
          </w:tcPr>
          <w:p w14:paraId="2724CD9F" w14:textId="77777777" w:rsidR="00137518" w:rsidRPr="00137518" w:rsidRDefault="00137518">
            <w:pPr>
              <w:rPr>
                <w:rFonts w:ascii="Arial" w:hAnsi="Arial" w:cs="Arial"/>
                <w:b/>
                <w:bCs/>
                <w:color w:val="000000"/>
                <w:sz w:val="20"/>
                <w:szCs w:val="20"/>
              </w:rPr>
            </w:pPr>
          </w:p>
        </w:tc>
        <w:tc>
          <w:tcPr>
            <w:tcW w:w="812" w:type="dxa"/>
            <w:tcBorders>
              <w:top w:val="nil"/>
              <w:left w:val="nil"/>
              <w:bottom w:val="single" w:sz="4" w:space="0" w:color="17B0DE"/>
              <w:right w:val="single" w:sz="4" w:space="0" w:color="17B0DE"/>
            </w:tcBorders>
            <w:shd w:val="clear" w:color="auto" w:fill="auto"/>
            <w:vAlign w:val="center"/>
            <w:hideMark/>
          </w:tcPr>
          <w:p w14:paraId="49F10E19" w14:textId="77777777" w:rsidR="00137518" w:rsidRPr="00137518" w:rsidRDefault="00137518">
            <w:pPr>
              <w:jc w:val="center"/>
              <w:rPr>
                <w:rFonts w:ascii="Arial" w:hAnsi="Arial" w:cs="Arial"/>
                <w:sz w:val="20"/>
                <w:szCs w:val="20"/>
              </w:rPr>
            </w:pPr>
            <w:r w:rsidRPr="00137518">
              <w:rPr>
                <w:rFonts w:ascii="Arial" w:hAnsi="Arial" w:cs="Arial"/>
                <w:sz w:val="20"/>
                <w:szCs w:val="20"/>
              </w:rPr>
              <w:t>ASC-014</w:t>
            </w:r>
          </w:p>
        </w:tc>
        <w:tc>
          <w:tcPr>
            <w:tcW w:w="3441" w:type="dxa"/>
            <w:tcBorders>
              <w:top w:val="nil"/>
              <w:left w:val="nil"/>
              <w:bottom w:val="single" w:sz="4" w:space="0" w:color="17B0DE"/>
              <w:right w:val="single" w:sz="4" w:space="0" w:color="auto"/>
            </w:tcBorders>
            <w:shd w:val="clear" w:color="auto" w:fill="auto"/>
            <w:vAlign w:val="center"/>
          </w:tcPr>
          <w:p w14:paraId="3FB6BDE8" w14:textId="581A4732" w:rsidR="00137518" w:rsidRPr="00137518" w:rsidRDefault="002B2B18">
            <w:pPr>
              <w:rPr>
                <w:rFonts w:ascii="Arial" w:hAnsi="Arial" w:cs="Arial"/>
                <w:color w:val="000000"/>
                <w:sz w:val="20"/>
                <w:szCs w:val="20"/>
              </w:rPr>
            </w:pPr>
            <w:r w:rsidRPr="002B2B18">
              <w:rPr>
                <w:rFonts w:ascii="Arial" w:hAnsi="Arial" w:cs="Arial"/>
                <w:color w:val="000000"/>
                <w:sz w:val="20"/>
                <w:szCs w:val="20"/>
              </w:rPr>
              <w:t>Percentage of visits to an adult safeguarding victim undertaken within 2 working days of the initial strategy discussion unless requested otherwise by service user or family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4B8A"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Quarterly</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EDA4F" w14:textId="77777777" w:rsidR="00137518" w:rsidRPr="00137518" w:rsidRDefault="00137518">
            <w:pPr>
              <w:jc w:val="center"/>
              <w:rPr>
                <w:rFonts w:ascii="Arial" w:hAnsi="Arial" w:cs="Arial"/>
                <w:sz w:val="20"/>
                <w:szCs w:val="20"/>
              </w:rPr>
            </w:pPr>
            <w:r w:rsidRPr="00137518">
              <w:rPr>
                <w:rFonts w:ascii="Arial" w:hAnsi="Arial" w:cs="Arial"/>
                <w:sz w:val="20"/>
                <w:szCs w:val="20"/>
              </w:rPr>
              <w:t>Higher</w:t>
            </w:r>
          </w:p>
        </w:tc>
        <w:tc>
          <w:tcPr>
            <w:tcW w:w="992" w:type="dxa"/>
            <w:tcBorders>
              <w:top w:val="nil"/>
              <w:left w:val="single" w:sz="4" w:space="0" w:color="auto"/>
              <w:bottom w:val="single" w:sz="4" w:space="0" w:color="17B0DE"/>
              <w:right w:val="single" w:sz="4" w:space="0" w:color="17B0DE"/>
            </w:tcBorders>
            <w:shd w:val="clear" w:color="000000" w:fill="92D050"/>
            <w:vAlign w:val="center"/>
            <w:hideMark/>
          </w:tcPr>
          <w:p w14:paraId="1D89AEC4"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100%</w:t>
            </w:r>
          </w:p>
        </w:tc>
        <w:tc>
          <w:tcPr>
            <w:tcW w:w="851" w:type="dxa"/>
            <w:tcBorders>
              <w:top w:val="nil"/>
              <w:left w:val="nil"/>
              <w:bottom w:val="single" w:sz="4" w:space="0" w:color="17B0DE"/>
              <w:right w:val="single" w:sz="4" w:space="0" w:color="17B0DE"/>
            </w:tcBorders>
            <w:shd w:val="clear" w:color="auto" w:fill="auto"/>
            <w:vAlign w:val="center"/>
            <w:hideMark/>
          </w:tcPr>
          <w:p w14:paraId="4602532C"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98%</w:t>
            </w:r>
          </w:p>
        </w:tc>
        <w:tc>
          <w:tcPr>
            <w:tcW w:w="1018" w:type="dxa"/>
            <w:tcBorders>
              <w:top w:val="single" w:sz="4" w:space="0" w:color="17B0DE"/>
              <w:left w:val="single" w:sz="4" w:space="0" w:color="17B0DE"/>
              <w:bottom w:val="single" w:sz="4" w:space="0" w:color="17B0DE"/>
              <w:right w:val="single" w:sz="4" w:space="0" w:color="17B0DE"/>
            </w:tcBorders>
            <w:shd w:val="clear" w:color="000000" w:fill="92D050"/>
            <w:vAlign w:val="center"/>
            <w:hideMark/>
          </w:tcPr>
          <w:p w14:paraId="6D55384B"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100</w:t>
            </w:r>
          </w:p>
        </w:tc>
        <w:tc>
          <w:tcPr>
            <w:tcW w:w="966"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14:paraId="134450AB" w14:textId="77777777" w:rsidR="00137518" w:rsidRPr="00137518" w:rsidRDefault="00137518">
            <w:pPr>
              <w:jc w:val="center"/>
              <w:rPr>
                <w:rFonts w:ascii="Arial" w:hAnsi="Arial" w:cs="Arial"/>
                <w:color w:val="00B050"/>
                <w:sz w:val="20"/>
                <w:szCs w:val="20"/>
              </w:rPr>
            </w:pPr>
            <w:r w:rsidRPr="00137518">
              <w:rPr>
                <w:rFonts w:ascii="Arial" w:hAnsi="Arial" w:cs="Arial"/>
                <w:color w:val="00B050"/>
                <w:sz w:val="20"/>
                <w:szCs w:val="20"/>
              </w:rPr>
              <w:t>2.04%</w:t>
            </w:r>
          </w:p>
        </w:tc>
        <w:tc>
          <w:tcPr>
            <w:tcW w:w="887" w:type="dxa"/>
            <w:tcBorders>
              <w:top w:val="nil"/>
              <w:left w:val="nil"/>
              <w:bottom w:val="single" w:sz="4" w:space="0" w:color="00B0F0"/>
              <w:right w:val="single" w:sz="4" w:space="0" w:color="00B0F0"/>
            </w:tcBorders>
            <w:shd w:val="clear" w:color="auto" w:fill="auto"/>
            <w:vAlign w:val="bottom"/>
            <w:hideMark/>
          </w:tcPr>
          <w:p w14:paraId="3ED777FA" w14:textId="039F7F57" w:rsidR="00137518" w:rsidRPr="00137518" w:rsidRDefault="00137518">
            <w:pPr>
              <w:rPr>
                <w:rFonts w:ascii="Arial" w:hAnsi="Arial" w:cs="Arial"/>
                <w:color w:val="000000"/>
                <w:sz w:val="20"/>
                <w:szCs w:val="20"/>
              </w:rPr>
            </w:pPr>
            <w:r w:rsidRPr="00137518">
              <w:rPr>
                <w:rFonts w:ascii="Arial" w:hAnsi="Arial" w:cs="Arial"/>
                <w:noProof/>
                <w:color w:val="000000"/>
                <w:sz w:val="20"/>
                <w:szCs w:val="20"/>
              </w:rPr>
              <mc:AlternateContent>
                <mc:Choice Requires="wps">
                  <w:drawing>
                    <wp:anchor distT="0" distB="0" distL="114300" distR="114300" simplePos="0" relativeHeight="251658277" behindDoc="0" locked="0" layoutInCell="1" allowOverlap="1" wp14:anchorId="54821D93" wp14:editId="303698D6">
                      <wp:simplePos x="0" y="0"/>
                      <wp:positionH relativeFrom="column">
                        <wp:posOffset>121920</wp:posOffset>
                      </wp:positionH>
                      <wp:positionV relativeFrom="paragraph">
                        <wp:posOffset>-511810</wp:posOffset>
                      </wp:positionV>
                      <wp:extent cx="349250" cy="254000"/>
                      <wp:effectExtent l="0" t="0" r="12700" b="12700"/>
                      <wp:wrapNone/>
                      <wp:docPr id="1726878762" name="Arrow: Left-Right 51" descr="P1112C73T17#y1">
                        <a:extLst xmlns:a="http://schemas.openxmlformats.org/drawingml/2006/main">
                          <a:ext uri="{FF2B5EF4-FFF2-40B4-BE49-F238E27FC236}">
                            <a16:creationId xmlns:a16="http://schemas.microsoft.com/office/drawing/2014/main" id="{AF1EB5A0-3AF2-48FC-A796-90D3FB309115}"/>
                          </a:ext>
                          <a:ext uri="{147F2762-F138-4A5C-976F-8EAC2B608ADB}">
                            <a16:predDERef xmlns:a16="http://schemas.microsoft.com/office/drawing/2014/main" pred="{E4745421-0034-404F-A256-754262CE659C}"/>
                          </a:ext>
                        </a:extLst>
                      </wp:docPr>
                      <wp:cNvGraphicFramePr/>
                      <a:graphic xmlns:a="http://schemas.openxmlformats.org/drawingml/2006/main">
                        <a:graphicData uri="http://schemas.microsoft.com/office/word/2010/wordprocessingShape">
                          <wps:wsp>
                            <wps:cNvSpPr/>
                            <wps:spPr>
                              <a:xfrm>
                                <a:off x="0" y="0"/>
                                <a:ext cx="349250" cy="2540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C8D6A7" id="Arrow: Left-Right 51" o:spid="_x0000_s1026" type="#_x0000_t69" alt="P1112C73T17#y1" style="position:absolute;margin-left:9.6pt;margin-top:-40.3pt;width:27.5pt;height:20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" adj="7855" fillcolor="black [3200]" strokecolor="black [1600]" strokeweight="2pt"/>
                  </w:pict>
                </mc:Fallback>
              </mc:AlternateContent>
            </w:r>
          </w:p>
        </w:tc>
        <w:tc>
          <w:tcPr>
            <w:tcW w:w="0" w:type="auto"/>
            <w:tcBorders>
              <w:top w:val="nil"/>
              <w:left w:val="single" w:sz="4" w:space="0" w:color="00B0F0"/>
              <w:bottom w:val="single" w:sz="4" w:space="0" w:color="00B0F0"/>
              <w:right w:val="single" w:sz="4" w:space="0" w:color="00B0F0"/>
            </w:tcBorders>
            <w:shd w:val="clear" w:color="auto" w:fill="auto"/>
            <w:vAlign w:val="center"/>
            <w:hideMark/>
          </w:tcPr>
          <w:p w14:paraId="28713744" w14:textId="77777777" w:rsidR="00137518" w:rsidRPr="00137518" w:rsidRDefault="00137518">
            <w:pPr>
              <w:jc w:val="center"/>
              <w:rPr>
                <w:rFonts w:ascii="Arial" w:hAnsi="Arial" w:cs="Arial"/>
                <w:color w:val="000000"/>
                <w:sz w:val="20"/>
                <w:szCs w:val="20"/>
              </w:rPr>
            </w:pPr>
            <w:r w:rsidRPr="00137518">
              <w:rPr>
                <w:rFonts w:ascii="Arial" w:hAnsi="Arial" w:cs="Arial"/>
                <w:color w:val="000000"/>
                <w:sz w:val="20"/>
                <w:szCs w:val="20"/>
              </w:rPr>
              <w:t>N/A</w:t>
            </w:r>
          </w:p>
        </w:tc>
      </w:tr>
    </w:tbl>
    <w:p w14:paraId="200533F4" w14:textId="77777777" w:rsidR="00137518" w:rsidRDefault="00137518" w:rsidP="00B0379D">
      <w:pPr>
        <w:spacing w:after="240" w:line="240" w:lineRule="auto"/>
        <w:jc w:val="both"/>
        <w:rPr>
          <w:rFonts w:ascii="Arial" w:hAnsi="Arial" w:cs="Arial"/>
          <w:b/>
          <w:color w:val="17B0DE"/>
          <w:sz w:val="32"/>
          <w:szCs w:val="32"/>
        </w:rPr>
      </w:pPr>
      <w:r w:rsidRPr="00AA1DAD">
        <w:rPr>
          <w:rFonts w:ascii="Arial" w:hAnsi="Arial" w:cs="Arial"/>
          <w:b/>
          <w:color w:val="17B0DE"/>
          <w:sz w:val="32"/>
          <w:szCs w:val="32"/>
        </w:rPr>
        <w:t xml:space="preserve"> </w:t>
      </w:r>
    </w:p>
    <w:p w14:paraId="4239A931" w14:textId="77777777" w:rsidR="00A7062D" w:rsidRDefault="00A7062D" w:rsidP="00B0379D">
      <w:pPr>
        <w:spacing w:after="240" w:line="240" w:lineRule="auto"/>
        <w:jc w:val="both"/>
        <w:rPr>
          <w:rFonts w:ascii="Arial" w:hAnsi="Arial" w:cs="Arial"/>
          <w:b/>
          <w:color w:val="17B0DE"/>
          <w:sz w:val="32"/>
          <w:szCs w:val="32"/>
        </w:rPr>
      </w:pPr>
    </w:p>
    <w:p w14:paraId="1733B59E" w14:textId="77777777" w:rsidR="00A7062D" w:rsidRDefault="00A7062D" w:rsidP="00B0379D">
      <w:pPr>
        <w:spacing w:after="240" w:line="240" w:lineRule="auto"/>
        <w:jc w:val="both"/>
        <w:rPr>
          <w:rFonts w:ascii="Arial" w:hAnsi="Arial" w:cs="Arial"/>
          <w:b/>
          <w:color w:val="17B0DE"/>
          <w:sz w:val="32"/>
          <w:szCs w:val="32"/>
        </w:rPr>
      </w:pPr>
    </w:p>
    <w:p w14:paraId="4E43D003" w14:textId="77777777" w:rsidR="00A7062D" w:rsidRDefault="00A7062D" w:rsidP="00B0379D">
      <w:pPr>
        <w:spacing w:after="240" w:line="240" w:lineRule="auto"/>
        <w:jc w:val="both"/>
        <w:rPr>
          <w:rFonts w:ascii="Arial" w:hAnsi="Arial" w:cs="Arial"/>
          <w:b/>
          <w:color w:val="17B0DE"/>
          <w:sz w:val="32"/>
          <w:szCs w:val="32"/>
        </w:rPr>
      </w:pPr>
    </w:p>
    <w:p w14:paraId="0F9409A3" w14:textId="4253B2F5" w:rsidR="00B0379D" w:rsidRPr="00AA1DAD" w:rsidRDefault="00E75E6D" w:rsidP="00B0379D">
      <w:pPr>
        <w:spacing w:after="240" w:line="240" w:lineRule="auto"/>
        <w:jc w:val="both"/>
        <w:rPr>
          <w:rStyle w:val="normaltextrun"/>
          <w:rFonts w:ascii="Arial" w:hAnsi="Arial" w:cs="Arial"/>
          <w:b/>
          <w:color w:val="17B0DE"/>
          <w:sz w:val="32"/>
          <w:szCs w:val="32"/>
        </w:rPr>
      </w:pPr>
      <w:r w:rsidRPr="00AA1DAD">
        <w:rPr>
          <w:rFonts w:ascii="Arial" w:hAnsi="Arial" w:cs="Arial"/>
          <w:b/>
          <w:color w:val="17B0DE"/>
          <w:sz w:val="32"/>
          <w:szCs w:val="32"/>
        </w:rPr>
        <w:t>Summary of Performance against outcome and action for improvement</w:t>
      </w:r>
    </w:p>
    <w:p w14:paraId="3D426E75" w14:textId="77777777" w:rsidR="00B0379D" w:rsidRPr="00AA1DAD" w:rsidRDefault="00E75E6D" w:rsidP="00B0379D">
      <w:pPr>
        <w:pStyle w:val="ListBullet"/>
        <w:numPr>
          <w:ilvl w:val="0"/>
          <w:numId w:val="0"/>
        </w:numPr>
        <w:spacing w:after="120" w:line="240" w:lineRule="auto"/>
        <w:contextualSpacing w:val="0"/>
        <w:rPr>
          <w:rStyle w:val="normaltextrun"/>
          <w:rFonts w:ascii="Arial" w:hAnsi="Arial" w:cs="Arial"/>
          <w:b/>
          <w:color w:val="17B0DE"/>
          <w:sz w:val="32"/>
          <w:szCs w:val="32"/>
        </w:rPr>
      </w:pPr>
      <w:r w:rsidRPr="00AA1DAD">
        <w:rPr>
          <w:rStyle w:val="normaltextrun"/>
          <w:rFonts w:ascii="Arial" w:hAnsi="Arial" w:cs="Arial"/>
          <w:b/>
          <w:color w:val="17B0DE"/>
          <w:sz w:val="32"/>
          <w:szCs w:val="32"/>
        </w:rPr>
        <w:t>Outcome – People live well independently</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ook w:val="04A0" w:firstRow="1" w:lastRow="0" w:firstColumn="1" w:lastColumn="0" w:noHBand="0" w:noVBand="1"/>
      </w:tblPr>
      <w:tblGrid>
        <w:gridCol w:w="8359"/>
        <w:gridCol w:w="7029"/>
      </w:tblGrid>
      <w:tr w:rsidR="00970157" w14:paraId="06AF27C9" w14:textId="77777777" w:rsidTr="00B8AFBC">
        <w:tc>
          <w:tcPr>
            <w:tcW w:w="8359" w:type="dxa"/>
            <w:shd w:val="clear" w:color="auto" w:fill="17B0DE"/>
          </w:tcPr>
          <w:p w14:paraId="389459D8"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17B0DE"/>
          </w:tcPr>
          <w:p w14:paraId="2E47770E" w14:textId="77777777" w:rsidR="00B0379D" w:rsidRPr="00896DF5" w:rsidRDefault="00B0379D" w:rsidP="00B0379D">
            <w:pPr>
              <w:spacing w:after="120"/>
              <w:jc w:val="both"/>
              <w:rPr>
                <w:rFonts w:ascii="Arial" w:hAnsi="Arial" w:cs="Arial"/>
                <w:b/>
                <w:bCs/>
                <w:color w:val="FFFFFF" w:themeColor="background1"/>
              </w:rPr>
            </w:pPr>
          </w:p>
        </w:tc>
      </w:tr>
      <w:tr w:rsidR="00970157" w14:paraId="5C8E518F" w14:textId="77777777" w:rsidTr="00B8AFBC">
        <w:tc>
          <w:tcPr>
            <w:tcW w:w="15388" w:type="dxa"/>
            <w:gridSpan w:val="2"/>
          </w:tcPr>
          <w:p w14:paraId="77214951" w14:textId="29A34281" w:rsidR="005F256C" w:rsidRPr="008E6A77"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color w:val="000000" w:themeColor="text1"/>
              </w:rPr>
              <w:t>Performance against the outcome, “People live well independently”, has remained strong across the majority of areas at Quarter 1 202</w:t>
            </w:r>
            <w:r>
              <w:rPr>
                <w:rFonts w:ascii="Arial" w:eastAsia="Arial" w:hAnsi="Arial" w:cs="Arial"/>
                <w:color w:val="000000" w:themeColor="text1"/>
              </w:rPr>
              <w:t>4</w:t>
            </w:r>
            <w:r w:rsidRPr="008E6A77">
              <w:rPr>
                <w:rFonts w:ascii="Arial" w:eastAsia="Arial" w:hAnsi="Arial" w:cs="Arial"/>
                <w:color w:val="000000" w:themeColor="text1"/>
              </w:rPr>
              <w:t>-2</w:t>
            </w:r>
            <w:r>
              <w:rPr>
                <w:rFonts w:ascii="Arial" w:eastAsia="Arial" w:hAnsi="Arial" w:cs="Arial"/>
                <w:color w:val="000000" w:themeColor="text1"/>
              </w:rPr>
              <w:t>5</w:t>
            </w:r>
            <w:r w:rsidRPr="008E6A77">
              <w:rPr>
                <w:rFonts w:ascii="Arial" w:eastAsia="Arial" w:hAnsi="Arial" w:cs="Arial"/>
                <w:color w:val="000000" w:themeColor="text1"/>
              </w:rPr>
              <w:t xml:space="preserve">. </w:t>
            </w:r>
          </w:p>
          <w:p w14:paraId="5306B2F8" w14:textId="77777777" w:rsidR="005F256C" w:rsidRPr="008E6A77"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ASC-001</w:t>
            </w:r>
            <w:r w:rsidRPr="008E6A77">
              <w:rPr>
                <w:rFonts w:ascii="Arial" w:eastAsia="Arial" w:hAnsi="Arial" w:cs="Arial"/>
                <w:color w:val="000000" w:themeColor="text1"/>
              </w:rPr>
              <w:t xml:space="preserve"> – High numbers of people with a learning disability in settled accommodation continue. </w:t>
            </w:r>
            <w:r w:rsidRPr="008E6A77">
              <w:rPr>
                <w:rFonts w:ascii="Arial" w:hAnsi="Arial" w:cs="Arial"/>
                <w:color w:val="000000" w:themeColor="text1"/>
              </w:rPr>
              <w:t xml:space="preserve">At the end of June 2024, a total of 509 clients (94.3%), with a learning disability, out of 543 were identified as being in settled accommodation, which is slightly below the target of 95% set for the year. </w:t>
            </w:r>
            <w:r>
              <w:rPr>
                <w:rFonts w:ascii="Arial" w:hAnsi="Arial" w:cs="Arial"/>
                <w:color w:val="000000" w:themeColor="text1"/>
              </w:rPr>
              <w:t xml:space="preserve">Performance in Quarter 1 2024-25 was equal to that in Quarter 1 2023-24. </w:t>
            </w:r>
            <w:r w:rsidRPr="008E6A77">
              <w:rPr>
                <w:rFonts w:ascii="Arial" w:hAnsi="Arial" w:cs="Arial"/>
                <w:color w:val="000000" w:themeColor="text1"/>
              </w:rPr>
              <w:t>St Helens’ latest comparative performance is top quartile within its statistical neighbour group.</w:t>
            </w:r>
          </w:p>
          <w:p w14:paraId="430CA863" w14:textId="77777777" w:rsidR="005F256C" w:rsidRPr="00382363"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ASC-004</w:t>
            </w:r>
            <w:r w:rsidRPr="008E6A77">
              <w:rPr>
                <w:rFonts w:ascii="Arial" w:eastAsia="Arial" w:hAnsi="Arial" w:cs="Arial"/>
                <w:color w:val="000000" w:themeColor="text1"/>
              </w:rPr>
              <w:t xml:space="preserve"> – The number of people receiving short-term involvement from St Helens’ Adult Social Care services not going on to require long-term support has not met target at Quarter 1. Over the course of Quarter 1 2023-24,</w:t>
            </w:r>
            <w:r w:rsidRPr="008E6A77">
              <w:rPr>
                <w:rFonts w:ascii="Arial" w:hAnsi="Arial" w:cs="Arial"/>
                <w:color w:val="000000" w:themeColor="text1"/>
              </w:rPr>
              <w:t xml:space="preserve"> a total of 49 out of 60 people who received short term involvement from St Helens’ Adult Social Care did not go onto to access long term services. This gives a Quarter 1 figure of 81.7%, which is currently below the target of 87% set for the year, and below the position of 88.5% in Quarter 1 2023-24. </w:t>
            </w:r>
          </w:p>
          <w:p w14:paraId="57A4C511" w14:textId="77777777" w:rsidR="005F256C" w:rsidRPr="00382363"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 xml:space="preserve">ASC-018 – </w:t>
            </w:r>
            <w:r w:rsidRPr="008E6A77">
              <w:rPr>
                <w:rFonts w:ascii="Arial" w:hAnsi="Arial" w:cs="Arial"/>
                <w:color w:val="000000" w:themeColor="text1"/>
              </w:rPr>
              <w:t>As of the end of June 2024 out of 259 receiving a reablement service on discharge from hospital a total of 222 were still at home 91 days after discharge. This gives an outturn of 85.7%, above the target of 82% for the month</w:t>
            </w:r>
            <w:r>
              <w:rPr>
                <w:rFonts w:ascii="Arial" w:hAnsi="Arial" w:cs="Arial"/>
                <w:color w:val="000000" w:themeColor="text1"/>
              </w:rPr>
              <w:t xml:space="preserve"> and an improvement on the Quarter 1 position of 75.2% in 2023-24</w:t>
            </w:r>
            <w:r w:rsidRPr="008E6A77">
              <w:rPr>
                <w:rFonts w:ascii="Arial" w:hAnsi="Arial" w:cs="Arial"/>
                <w:color w:val="000000" w:themeColor="text1"/>
              </w:rPr>
              <w:t xml:space="preserve">. </w:t>
            </w:r>
          </w:p>
          <w:p w14:paraId="6728F49D" w14:textId="77777777" w:rsidR="005F256C" w:rsidRPr="00382363"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color w:val="000000" w:themeColor="text1"/>
              </w:rPr>
              <w:t xml:space="preserve">ASC-019 </w:t>
            </w:r>
            <w:r w:rsidRPr="008E6A77">
              <w:rPr>
                <w:rFonts w:ascii="Arial" w:eastAsia="Arial" w:hAnsi="Arial" w:cs="Arial"/>
                <w:bCs/>
                <w:color w:val="000000" w:themeColor="text1"/>
              </w:rPr>
              <w:t>– Over the course of Quarter 1</w:t>
            </w:r>
            <w:r w:rsidRPr="008E6A77">
              <w:rPr>
                <w:rFonts w:ascii="Arial" w:hAnsi="Arial" w:cs="Arial"/>
                <w:bCs/>
                <w:color w:val="000000" w:themeColor="text1"/>
              </w:rPr>
              <w:t xml:space="preserve"> </w:t>
            </w:r>
            <w:r w:rsidRPr="008E6A77">
              <w:rPr>
                <w:rFonts w:ascii="Arial" w:hAnsi="Arial" w:cs="Arial"/>
                <w:color w:val="000000" w:themeColor="text1"/>
              </w:rPr>
              <w:t>2024</w:t>
            </w:r>
            <w:r>
              <w:rPr>
                <w:rFonts w:ascii="Arial" w:hAnsi="Arial" w:cs="Arial"/>
                <w:color w:val="000000" w:themeColor="text1"/>
              </w:rPr>
              <w:t>-25</w:t>
            </w:r>
            <w:r w:rsidRPr="008E6A77">
              <w:rPr>
                <w:rFonts w:ascii="Arial" w:hAnsi="Arial" w:cs="Arial"/>
                <w:color w:val="000000" w:themeColor="text1"/>
              </w:rPr>
              <w:t xml:space="preserve"> there were 56 permanent admissions to residential or nursing care in the over 65 population of the borough, a rate of 147 per 100,000, which is in line with the target set</w:t>
            </w:r>
            <w:r>
              <w:rPr>
                <w:rFonts w:ascii="Arial" w:hAnsi="Arial" w:cs="Arial"/>
                <w:color w:val="000000" w:themeColor="text1"/>
              </w:rPr>
              <w:t xml:space="preserve"> and an improvement on the Quarter 1 position of 162.1 per 100,000 in 2023-24</w:t>
            </w:r>
            <w:r w:rsidRPr="008E6A77">
              <w:rPr>
                <w:rFonts w:ascii="Arial" w:hAnsi="Arial" w:cs="Arial"/>
                <w:color w:val="000000" w:themeColor="text1"/>
              </w:rPr>
              <w:t xml:space="preserve">. </w:t>
            </w:r>
          </w:p>
          <w:p w14:paraId="293D2A44" w14:textId="39C7747D" w:rsidR="005F256C" w:rsidRPr="00382363"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color w:val="000000" w:themeColor="text1"/>
              </w:rPr>
              <w:t xml:space="preserve">ASC-020 </w:t>
            </w:r>
            <w:r w:rsidR="00FE491E">
              <w:rPr>
                <w:rFonts w:ascii="Arial" w:eastAsia="Arial" w:hAnsi="Arial" w:cs="Arial"/>
                <w:b/>
                <w:color w:val="000000" w:themeColor="text1"/>
              </w:rPr>
              <w:t>–</w:t>
            </w:r>
            <w:r w:rsidRPr="008E6A77">
              <w:rPr>
                <w:rFonts w:ascii="Arial" w:eastAsia="Arial" w:hAnsi="Arial" w:cs="Arial"/>
                <w:b/>
                <w:color w:val="000000" w:themeColor="text1"/>
              </w:rPr>
              <w:t xml:space="preserve"> </w:t>
            </w:r>
            <w:r w:rsidRPr="008E6A77">
              <w:rPr>
                <w:rFonts w:ascii="Arial" w:eastAsia="Arial" w:hAnsi="Arial" w:cs="Arial"/>
                <w:bCs/>
                <w:color w:val="000000" w:themeColor="text1"/>
              </w:rPr>
              <w:t>Over the course of Quarter 1</w:t>
            </w:r>
            <w:r w:rsidRPr="008E6A77">
              <w:rPr>
                <w:rFonts w:ascii="Arial" w:hAnsi="Arial" w:cs="Arial"/>
                <w:bCs/>
                <w:color w:val="000000" w:themeColor="text1"/>
              </w:rPr>
              <w:t xml:space="preserve"> </w:t>
            </w:r>
            <w:r w:rsidRPr="008E6A77">
              <w:rPr>
                <w:rFonts w:ascii="Arial" w:hAnsi="Arial" w:cs="Arial"/>
                <w:color w:val="000000" w:themeColor="text1"/>
              </w:rPr>
              <w:t>2024</w:t>
            </w:r>
            <w:r>
              <w:rPr>
                <w:rFonts w:ascii="Arial" w:hAnsi="Arial" w:cs="Arial"/>
                <w:color w:val="000000" w:themeColor="text1"/>
              </w:rPr>
              <w:t>-25</w:t>
            </w:r>
            <w:r w:rsidRPr="008E6A77">
              <w:rPr>
                <w:rFonts w:ascii="Arial" w:hAnsi="Arial" w:cs="Arial"/>
                <w:color w:val="000000" w:themeColor="text1"/>
              </w:rPr>
              <w:t xml:space="preserve"> there were 4 permanent admissions to residential or nursing care in the 18 to 64 population of the borough, a rate of 3.6 per 100,000. The target of 3 per 100,000 was not met, however due to the small numbers involved the rate can fluctuate from quarter to quarter. </w:t>
            </w:r>
            <w:r>
              <w:rPr>
                <w:rFonts w:ascii="Arial" w:hAnsi="Arial" w:cs="Arial"/>
                <w:color w:val="000000" w:themeColor="text1"/>
              </w:rPr>
              <w:t>The position in Quarter 1 2023-24 was 1.84 18-64 admissions per 100,000, which related to 2 permanent admissions.</w:t>
            </w:r>
          </w:p>
          <w:p w14:paraId="2A8B3684" w14:textId="77777777" w:rsidR="005F256C" w:rsidRPr="008E6A77"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ASC-009</w:t>
            </w:r>
            <w:r w:rsidRPr="008E6A77">
              <w:rPr>
                <w:rFonts w:ascii="Arial" w:eastAsia="Arial" w:hAnsi="Arial" w:cs="Arial"/>
                <w:color w:val="000000" w:themeColor="text1"/>
              </w:rPr>
              <w:t xml:space="preserve"> – </w:t>
            </w:r>
            <w:r w:rsidRPr="008E6A77">
              <w:rPr>
                <w:rFonts w:ascii="Arial" w:hAnsi="Arial" w:cs="Arial"/>
                <w:color w:val="000000" w:themeColor="text1"/>
              </w:rPr>
              <w:t>As of the end of June 2024, there were 2002 carers in receipt of a carers specific service. This gives an outturn of 135 per 10,000 population, below the Quarter 1 target of 160. The position in June 2024 was lower than that in June 2023 which was 182.5.</w:t>
            </w:r>
          </w:p>
          <w:p w14:paraId="39B72831" w14:textId="77777777" w:rsidR="005F256C" w:rsidRPr="008E6A77" w:rsidRDefault="005F256C" w:rsidP="005F256C">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 xml:space="preserve">ASC-010 </w:t>
            </w:r>
            <w:r w:rsidRPr="008E6A77">
              <w:rPr>
                <w:rFonts w:ascii="Arial" w:eastAsia="Arial" w:hAnsi="Arial" w:cs="Arial"/>
                <w:color w:val="000000" w:themeColor="text1"/>
              </w:rPr>
              <w:t xml:space="preserve">– St Helens Adult Social Care Department has continued to ensure strong performance in terms of the completion of annual reviews for people accessing long-term support. </w:t>
            </w:r>
            <w:r w:rsidRPr="008E6A77">
              <w:rPr>
                <w:rFonts w:ascii="Arial" w:hAnsi="Arial" w:cs="Arial"/>
                <w:color w:val="000000" w:themeColor="text1"/>
              </w:rPr>
              <w:t xml:space="preserve">The number of people accessing long term support for more than 12 months at the end of June 2024 was 2,013 and of these people 1,812 or 90% received a completed annual review in a rolling 12-month period. Performance was below the target of 95% and lower than the Quarter 1 position of 96.5%  in June 2024. </w:t>
            </w:r>
          </w:p>
          <w:p w14:paraId="50475B81" w14:textId="305D8926" w:rsidR="00521039" w:rsidRPr="00BF2164" w:rsidRDefault="005F256C" w:rsidP="00BF2164">
            <w:pPr>
              <w:pStyle w:val="ListParagraph"/>
              <w:numPr>
                <w:ilvl w:val="0"/>
                <w:numId w:val="9"/>
              </w:numPr>
              <w:spacing w:before="120" w:after="120"/>
              <w:ind w:left="714" w:hanging="357"/>
              <w:contextualSpacing w:val="0"/>
              <w:textAlignment w:val="baseline"/>
              <w:rPr>
                <w:rFonts w:ascii="Arial" w:eastAsia="Arial" w:hAnsi="Arial" w:cs="Arial"/>
                <w:color w:val="000000" w:themeColor="text1"/>
              </w:rPr>
            </w:pPr>
            <w:r w:rsidRPr="008E6A77">
              <w:rPr>
                <w:rFonts w:ascii="Arial" w:eastAsia="Arial" w:hAnsi="Arial" w:cs="Arial"/>
                <w:b/>
                <w:bCs/>
                <w:color w:val="000000" w:themeColor="text1"/>
              </w:rPr>
              <w:t xml:space="preserve">ASC-011 </w:t>
            </w:r>
            <w:r w:rsidRPr="008E6A77">
              <w:rPr>
                <w:rFonts w:ascii="Arial" w:eastAsia="Arial" w:hAnsi="Arial" w:cs="Arial"/>
                <w:color w:val="000000" w:themeColor="text1"/>
              </w:rPr>
              <w:t xml:space="preserve">– Numbers of people with a learning disability in employment remains comparatively high in St Helens. </w:t>
            </w:r>
            <w:r w:rsidRPr="008E6A77">
              <w:rPr>
                <w:rFonts w:ascii="Arial" w:hAnsi="Arial" w:cs="Arial"/>
                <w:color w:val="000000" w:themeColor="text1"/>
              </w:rPr>
              <w:t>As of the end of June 2024 there were 46 people out of 543 (8.5%) with a learning disability in paid employment. This is better than the target of 7% set for the year and an improvement on the 7.1% of people with a learning disability in employment at the end of June 2024. There are 16 clients actively seeking work.</w:t>
            </w:r>
          </w:p>
        </w:tc>
      </w:tr>
      <w:tr w:rsidR="00970157" w14:paraId="3940803A" w14:textId="77777777" w:rsidTr="00B8AFBC">
        <w:tc>
          <w:tcPr>
            <w:tcW w:w="15388" w:type="dxa"/>
            <w:gridSpan w:val="2"/>
            <w:shd w:val="clear" w:color="auto" w:fill="17B0DE"/>
          </w:tcPr>
          <w:p w14:paraId="5ADBB1CA" w14:textId="77777777" w:rsidR="00B0379D" w:rsidRPr="0085570C" w:rsidRDefault="00E75E6D" w:rsidP="00B0379D">
            <w:pPr>
              <w:pStyle w:val="paragraph"/>
              <w:spacing w:before="0" w:beforeAutospacing="0" w:after="120" w:afterAutospacing="0"/>
              <w:jc w:val="both"/>
              <w:textAlignment w:val="baseline"/>
              <w:rPr>
                <w:rStyle w:val="eop"/>
                <w:rFonts w:ascii="Arial" w:hAnsi="Arial" w:cs="Arial"/>
                <w:sz w:val="22"/>
                <w:szCs w:val="22"/>
              </w:rPr>
            </w:pPr>
            <w:r w:rsidRPr="0085570C">
              <w:rPr>
                <w:rFonts w:ascii="Arial" w:hAnsi="Arial" w:cs="Arial"/>
                <w:b/>
                <w:bCs/>
                <w:color w:val="FFFFFF" w:themeColor="background1"/>
                <w:sz w:val="22"/>
                <w:szCs w:val="22"/>
              </w:rPr>
              <w:t>Action for Improvement</w:t>
            </w:r>
          </w:p>
        </w:tc>
      </w:tr>
      <w:tr w:rsidR="00970157" w14:paraId="37DFC9CB" w14:textId="77777777" w:rsidTr="00B8AFBC">
        <w:tc>
          <w:tcPr>
            <w:tcW w:w="15388" w:type="dxa"/>
            <w:gridSpan w:val="2"/>
          </w:tcPr>
          <w:p w14:paraId="4171CDF8" w14:textId="71D57A2B" w:rsidR="009562E0" w:rsidRPr="00CF6ECE" w:rsidRDefault="009562E0" w:rsidP="009562E0">
            <w:pPr>
              <w:pStyle w:val="ListParagraph"/>
              <w:numPr>
                <w:ilvl w:val="0"/>
                <w:numId w:val="38"/>
              </w:numPr>
              <w:spacing w:before="120" w:after="120"/>
              <w:ind w:left="714" w:hanging="357"/>
              <w:contextualSpacing w:val="0"/>
              <w:textAlignment w:val="baseline"/>
              <w:rPr>
                <w:rFonts w:ascii="Arial" w:eastAsia="Arial" w:hAnsi="Arial" w:cs="Arial"/>
                <w:color w:val="000000" w:themeColor="text1"/>
                <w:lang w:eastAsia="en-GB"/>
              </w:rPr>
            </w:pPr>
            <w:r w:rsidRPr="1BA8E7C9">
              <w:rPr>
                <w:rFonts w:ascii="Arial" w:eastAsia="Arial" w:hAnsi="Arial" w:cs="Arial"/>
                <w:b/>
                <w:color w:val="000000" w:themeColor="text1"/>
              </w:rPr>
              <w:t>ASC004</w:t>
            </w:r>
            <w:r w:rsidRPr="7C617EA9">
              <w:rPr>
                <w:rFonts w:ascii="Arial" w:eastAsia="Arial" w:hAnsi="Arial" w:cs="Arial"/>
                <w:color w:val="000000" w:themeColor="text1"/>
              </w:rPr>
              <w:t xml:space="preserve"> – The Head of Service is auditing the report </w:t>
            </w:r>
            <w:r w:rsidR="008C2ECF">
              <w:rPr>
                <w:rFonts w:ascii="Arial" w:eastAsia="Arial" w:hAnsi="Arial" w:cs="Arial"/>
                <w:color w:val="000000" w:themeColor="text1"/>
              </w:rPr>
              <w:t xml:space="preserve">for the </w:t>
            </w:r>
            <w:r w:rsidR="008C2ECF" w:rsidRPr="008E6A77">
              <w:rPr>
                <w:rFonts w:ascii="Arial" w:eastAsia="Arial" w:hAnsi="Arial" w:cs="Arial"/>
                <w:color w:val="000000" w:themeColor="text1"/>
              </w:rPr>
              <w:t>number of people receiving short-term involvement from St Helens’ Adult Social Care services not going on to require long-term support</w:t>
            </w:r>
            <w:r w:rsidR="008C2ECF" w:rsidRPr="7C617EA9">
              <w:rPr>
                <w:rFonts w:ascii="Arial" w:eastAsia="Arial" w:hAnsi="Arial" w:cs="Arial"/>
                <w:color w:val="000000" w:themeColor="text1"/>
              </w:rPr>
              <w:t xml:space="preserve"> </w:t>
            </w:r>
            <w:r w:rsidRPr="7C617EA9">
              <w:rPr>
                <w:rFonts w:ascii="Arial" w:eastAsia="Arial" w:hAnsi="Arial" w:cs="Arial"/>
                <w:color w:val="000000" w:themeColor="text1"/>
              </w:rPr>
              <w:t xml:space="preserve">as some service users </w:t>
            </w:r>
            <w:r w:rsidRPr="33C54EF0">
              <w:rPr>
                <w:rFonts w:ascii="Arial" w:eastAsia="Arial" w:hAnsi="Arial" w:cs="Arial"/>
                <w:color w:val="000000" w:themeColor="text1"/>
              </w:rPr>
              <w:t xml:space="preserve">should not be included in the </w:t>
            </w:r>
            <w:r w:rsidRPr="3DE7314A">
              <w:rPr>
                <w:rFonts w:ascii="Arial" w:eastAsia="Arial" w:hAnsi="Arial" w:cs="Arial"/>
                <w:color w:val="000000" w:themeColor="text1"/>
              </w:rPr>
              <w:t>data</w:t>
            </w:r>
            <w:r w:rsidRPr="33C54EF0">
              <w:rPr>
                <w:rFonts w:ascii="Arial" w:eastAsia="Arial" w:hAnsi="Arial" w:cs="Arial"/>
                <w:color w:val="000000" w:themeColor="text1"/>
              </w:rPr>
              <w:t xml:space="preserve"> </w:t>
            </w:r>
            <w:r w:rsidR="00E92563" w:rsidRPr="33C54EF0">
              <w:rPr>
                <w:rFonts w:ascii="Arial" w:eastAsia="Arial" w:hAnsi="Arial" w:cs="Arial"/>
                <w:color w:val="000000" w:themeColor="text1"/>
              </w:rPr>
              <w:t>i.e.,</w:t>
            </w:r>
            <w:r w:rsidRPr="33C54EF0">
              <w:rPr>
                <w:rFonts w:ascii="Arial" w:eastAsia="Arial" w:hAnsi="Arial" w:cs="Arial"/>
                <w:color w:val="000000" w:themeColor="text1"/>
              </w:rPr>
              <w:t xml:space="preserve"> those that are a </w:t>
            </w:r>
            <w:r w:rsidRPr="345BDF38">
              <w:rPr>
                <w:rFonts w:ascii="Arial" w:eastAsia="Arial" w:hAnsi="Arial" w:cs="Arial"/>
                <w:color w:val="000000" w:themeColor="text1"/>
              </w:rPr>
              <w:t xml:space="preserve">bridging package of care to facilitate discharge </w:t>
            </w:r>
            <w:r w:rsidRPr="59C642AE">
              <w:rPr>
                <w:rFonts w:ascii="Arial" w:eastAsia="Arial" w:hAnsi="Arial" w:cs="Arial"/>
                <w:color w:val="000000" w:themeColor="text1"/>
              </w:rPr>
              <w:t xml:space="preserve">or avoid admission </w:t>
            </w:r>
            <w:r w:rsidRPr="345BDF38">
              <w:rPr>
                <w:rFonts w:ascii="Arial" w:eastAsia="Arial" w:hAnsi="Arial" w:cs="Arial"/>
                <w:color w:val="000000" w:themeColor="text1"/>
              </w:rPr>
              <w:t>who may not be true reablement.</w:t>
            </w:r>
          </w:p>
          <w:p w14:paraId="2ED837C2" w14:textId="5FE70027" w:rsidR="00C64DE7" w:rsidRPr="00992130" w:rsidRDefault="009562E0" w:rsidP="00992130">
            <w:pPr>
              <w:pStyle w:val="ListParagraph"/>
              <w:numPr>
                <w:ilvl w:val="0"/>
                <w:numId w:val="57"/>
              </w:numPr>
              <w:spacing w:before="120" w:after="120"/>
              <w:ind w:left="714" w:hanging="357"/>
              <w:contextualSpacing w:val="0"/>
              <w:textAlignment w:val="baseline"/>
              <w:rPr>
                <w:rFonts w:ascii="Arial" w:eastAsia="Arial" w:hAnsi="Arial" w:cs="Arial"/>
                <w:color w:val="000000" w:themeColor="text1"/>
              </w:rPr>
            </w:pPr>
            <w:r w:rsidRPr="00D00094">
              <w:rPr>
                <w:rFonts w:ascii="Arial" w:eastAsia="Arial" w:hAnsi="Arial" w:cs="Arial"/>
                <w:b/>
                <w:color w:val="000000" w:themeColor="text1"/>
                <w:lang w:eastAsia="en-GB"/>
              </w:rPr>
              <w:t>ASC009</w:t>
            </w:r>
            <w:r w:rsidRPr="00D00094">
              <w:rPr>
                <w:rFonts w:ascii="Arial" w:eastAsia="Arial" w:hAnsi="Arial" w:cs="Arial"/>
                <w:color w:val="000000" w:themeColor="text1"/>
                <w:lang w:eastAsia="en-GB"/>
              </w:rPr>
              <w:t xml:space="preserve"> - </w:t>
            </w:r>
            <w:r w:rsidRPr="00D00094">
              <w:rPr>
                <w:rFonts w:ascii="Arial" w:eastAsia="Arial" w:hAnsi="Arial" w:cs="Arial"/>
                <w:color w:val="000000" w:themeColor="text1"/>
              </w:rPr>
              <w:t>The Carers Support Centre is currently being tendered, with a view to the new contract going 'live' on 1</w:t>
            </w:r>
            <w:r w:rsidRPr="00D00094">
              <w:rPr>
                <w:rFonts w:ascii="Arial" w:eastAsia="Arial" w:hAnsi="Arial" w:cs="Arial"/>
                <w:color w:val="000000" w:themeColor="text1"/>
                <w:vertAlign w:val="superscript"/>
              </w:rPr>
              <w:t>st</w:t>
            </w:r>
            <w:r w:rsidRPr="00D00094">
              <w:rPr>
                <w:rFonts w:ascii="Arial" w:eastAsia="Arial" w:hAnsi="Arial" w:cs="Arial"/>
                <w:color w:val="000000" w:themeColor="text1"/>
              </w:rPr>
              <w:t xml:space="preserve"> October.  The new specification has a revised set of KPIs, which will be monitored via quarterly contract monitoring meetings. This will enable the service to meet the requirements of the All-Age Carers Strategy 2023-2027. Additionally, a Carers Partnership Board is in the process of being established, the launch of which will coincide with the new contract going live. The Carers Partnership Board will be responsible for holding both the Carers Support Centre and the Council to account in the delivery of Carers services and will have representation from Carers, to ensure that their voice is heard, supporting the coproduction of services that impact on them and the people they care for. </w:t>
            </w:r>
          </w:p>
        </w:tc>
      </w:tr>
    </w:tbl>
    <w:p w14:paraId="6C7EABAD" w14:textId="6E1B78EC" w:rsidR="40B7F1DA" w:rsidRDefault="40B7F1DA" w:rsidP="004B3E08">
      <w:pPr>
        <w:pStyle w:val="ListBullet"/>
        <w:numPr>
          <w:ilvl w:val="0"/>
          <w:numId w:val="0"/>
        </w:numPr>
        <w:spacing w:after="0" w:line="240" w:lineRule="auto"/>
        <w:rPr>
          <w:rStyle w:val="normaltextrun"/>
          <w:rFonts w:ascii="Arial" w:hAnsi="Arial" w:cs="Arial"/>
          <w:b/>
          <w:bCs/>
          <w:color w:val="17B0DE"/>
        </w:rPr>
      </w:pPr>
    </w:p>
    <w:p w14:paraId="6292AE32" w14:textId="77777777" w:rsidR="00547715" w:rsidRDefault="00547715" w:rsidP="00B0379D">
      <w:pPr>
        <w:pStyle w:val="ListBullet"/>
        <w:numPr>
          <w:ilvl w:val="0"/>
          <w:numId w:val="0"/>
        </w:numPr>
        <w:spacing w:after="0" w:line="240" w:lineRule="auto"/>
        <w:ind w:left="357"/>
        <w:contextualSpacing w:val="0"/>
        <w:rPr>
          <w:rStyle w:val="normaltextrun"/>
          <w:rFonts w:ascii="Arial" w:hAnsi="Arial" w:cs="Arial"/>
          <w:b/>
          <w:bCs/>
          <w:color w:val="17B0DE"/>
        </w:rPr>
      </w:pPr>
    </w:p>
    <w:p w14:paraId="3A93984B" w14:textId="7F3F7E40" w:rsidR="00B0379D" w:rsidRPr="00573D53" w:rsidRDefault="00E75E6D" w:rsidP="00983CFD">
      <w:pPr>
        <w:rPr>
          <w:rStyle w:val="normaltextrun"/>
          <w:rFonts w:ascii="Arial" w:hAnsi="Arial" w:cs="Arial"/>
          <w:b/>
          <w:bCs/>
          <w:color w:val="17B0DE"/>
        </w:rPr>
      </w:pPr>
      <w:r w:rsidRPr="00814AE0">
        <w:rPr>
          <w:rFonts w:ascii="Arial" w:hAnsi="Arial" w:cs="Arial"/>
          <w:b/>
          <w:color w:val="17B0DE"/>
          <w:sz w:val="32"/>
          <w:szCs w:val="32"/>
        </w:rPr>
        <w:t>Outcome - People have a positive experience of health and social care services</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ook w:val="04A0" w:firstRow="1" w:lastRow="0" w:firstColumn="1" w:lastColumn="0" w:noHBand="0" w:noVBand="1"/>
      </w:tblPr>
      <w:tblGrid>
        <w:gridCol w:w="8359"/>
        <w:gridCol w:w="7029"/>
      </w:tblGrid>
      <w:tr w:rsidR="00970157" w14:paraId="34548615" w14:textId="77777777" w:rsidTr="6A9A2D0D">
        <w:tc>
          <w:tcPr>
            <w:tcW w:w="8359" w:type="dxa"/>
            <w:shd w:val="clear" w:color="auto" w:fill="17B0DE"/>
          </w:tcPr>
          <w:p w14:paraId="4B464798" w14:textId="77777777" w:rsidR="00B0379D" w:rsidRPr="001D7409" w:rsidRDefault="00E75E6D" w:rsidP="00B0379D">
            <w:pPr>
              <w:spacing w:after="120"/>
              <w:jc w:val="both"/>
              <w:rPr>
                <w:rFonts w:ascii="Arial" w:hAnsi="Arial" w:cs="Arial"/>
                <w:b/>
                <w:bCs/>
              </w:rPr>
            </w:pPr>
            <w:r w:rsidRPr="00346288">
              <w:rPr>
                <w:rFonts w:ascii="Arial" w:hAnsi="Arial" w:cs="Arial"/>
                <w:b/>
                <w:bCs/>
                <w:color w:val="FFFFFF" w:themeColor="background1"/>
              </w:rPr>
              <w:t>Current Performance</w:t>
            </w:r>
          </w:p>
        </w:tc>
        <w:tc>
          <w:tcPr>
            <w:tcW w:w="7029" w:type="dxa"/>
            <w:shd w:val="clear" w:color="auto" w:fill="17B0DE"/>
          </w:tcPr>
          <w:p w14:paraId="62355D98" w14:textId="77777777" w:rsidR="00B0379D" w:rsidRPr="00896DF5" w:rsidRDefault="00B0379D" w:rsidP="00B0379D">
            <w:pPr>
              <w:spacing w:after="120"/>
              <w:jc w:val="both"/>
              <w:rPr>
                <w:rFonts w:ascii="Arial" w:hAnsi="Arial" w:cs="Arial"/>
                <w:b/>
                <w:bCs/>
                <w:color w:val="FFFFFF" w:themeColor="background1"/>
              </w:rPr>
            </w:pPr>
          </w:p>
        </w:tc>
      </w:tr>
      <w:tr w:rsidR="00970157" w14:paraId="3E8931BA" w14:textId="77777777" w:rsidTr="6A9A2D0D">
        <w:tc>
          <w:tcPr>
            <w:tcW w:w="15388" w:type="dxa"/>
            <w:gridSpan w:val="2"/>
          </w:tcPr>
          <w:p w14:paraId="7CB7356D" w14:textId="77777777" w:rsidR="00FF3535" w:rsidRPr="00982264"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982264">
              <w:rPr>
                <w:rFonts w:ascii="Arial" w:eastAsia="Arial" w:hAnsi="Arial" w:cs="Arial"/>
              </w:rPr>
              <w:t xml:space="preserve">Delivery against this outcome continues to ensure that people have a positive experience of health and social care services within St Helens and performance remaining generally strong. </w:t>
            </w:r>
          </w:p>
          <w:p w14:paraId="1B89965A" w14:textId="77777777" w:rsidR="00FF3535" w:rsidRPr="00FC6829"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6A9A2D0D">
              <w:rPr>
                <w:rFonts w:ascii="Arial" w:eastAsiaTheme="minorEastAsia" w:hAnsi="Arial" w:cs="Arial"/>
                <w:b/>
                <w:bCs/>
              </w:rPr>
              <w:t>ASC-002</w:t>
            </w:r>
            <w:r w:rsidRPr="6A9A2D0D">
              <w:rPr>
                <w:rFonts w:ascii="Arial" w:eastAsiaTheme="minorEastAsia" w:hAnsi="Arial" w:cs="Arial"/>
              </w:rPr>
              <w:t xml:space="preserve"> - The number of people aged 65 plus in permanent nursing care is better than target. At the end of June 2024 there was a total of 250 people </w:t>
            </w:r>
            <w:r w:rsidRPr="6A9A2D0D">
              <w:rPr>
                <w:rFonts w:ascii="Arial" w:hAnsi="Arial" w:cs="Arial"/>
              </w:rPr>
              <w:t>aged 65 plus in permanent nursing care, of which 43 were fully costed clients. This equates to a rate of 65.6 per 10,000 of the over 65+ population in the borough, against a target of 75. This is lower than the target set for the year. This is a lower compared to Quarter 1 2023-24, however it should be noted that the number of clients in nursing care has changed due to not including those clients who are CHC Funded.</w:t>
            </w:r>
          </w:p>
          <w:p w14:paraId="0859C900" w14:textId="77777777" w:rsidR="00FF3535" w:rsidRPr="00BE4CDA"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6A9A2D0D">
              <w:rPr>
                <w:rFonts w:ascii="Arial" w:eastAsiaTheme="minorEastAsia" w:hAnsi="Arial" w:cs="Arial"/>
                <w:b/>
                <w:bCs/>
              </w:rPr>
              <w:t>ASC-003</w:t>
            </w:r>
            <w:r w:rsidRPr="6A9A2D0D">
              <w:rPr>
                <w:rFonts w:ascii="Arial" w:eastAsiaTheme="minorEastAsia" w:hAnsi="Arial" w:cs="Arial"/>
              </w:rPr>
              <w:t xml:space="preserve"> - The number of people aged 65 plus in permanent residential care is better than target. At the end of June 2024 there was a total of 327 people</w:t>
            </w:r>
            <w:r w:rsidRPr="6A9A2D0D">
              <w:rPr>
                <w:rFonts w:ascii="Arial" w:hAnsi="Arial" w:cs="Arial"/>
              </w:rPr>
              <w:t xml:space="preserve"> aged 65+ in a Permanent Residential placement, of which 50 are fully costed. This equates to a rate of 85.8 per 10,000 of the over 65+ population in the borough, better than the target of 95 and an improvement on the Quarter 1 2023-24 figure of 98.4 per10,000. </w:t>
            </w:r>
          </w:p>
          <w:p w14:paraId="7780B15B" w14:textId="77777777" w:rsidR="00FF3535" w:rsidRPr="00BE4CDA"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BE4CDA">
              <w:rPr>
                <w:rFonts w:ascii="Arial" w:eastAsiaTheme="minorEastAsia" w:hAnsi="Arial" w:cs="Arial"/>
                <w:b/>
                <w:bCs/>
              </w:rPr>
              <w:t>ASC-005A</w:t>
            </w:r>
            <w:r w:rsidRPr="00BE4CDA">
              <w:rPr>
                <w:rFonts w:ascii="Arial" w:eastAsiaTheme="minorEastAsia" w:hAnsi="Arial" w:cs="Arial"/>
              </w:rPr>
              <w:t xml:space="preserve"> - </w:t>
            </w:r>
            <w:r w:rsidRPr="00BE4CDA">
              <w:rPr>
                <w:rFonts w:ascii="Arial" w:hAnsi="Arial" w:cs="Arial"/>
              </w:rPr>
              <w:t>At the end of June 2024, all 17 residential homes within St Helens were recorded by the Care Quality Commission (CQC) as either ‘Good’ or ‘Outstanding’.</w:t>
            </w:r>
          </w:p>
          <w:p w14:paraId="1F20DE48" w14:textId="77777777" w:rsidR="00FF3535" w:rsidRPr="005F71DC"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5F71DC">
              <w:rPr>
                <w:rFonts w:ascii="Arial" w:eastAsiaTheme="minorEastAsia" w:hAnsi="Arial" w:cs="Arial"/>
                <w:b/>
                <w:bCs/>
              </w:rPr>
              <w:t>ASC-005B</w:t>
            </w:r>
            <w:r w:rsidRPr="005F71DC">
              <w:rPr>
                <w:rFonts w:ascii="Arial" w:eastAsiaTheme="minorEastAsia" w:hAnsi="Arial" w:cs="Arial"/>
              </w:rPr>
              <w:t xml:space="preserve"> - </w:t>
            </w:r>
            <w:r w:rsidRPr="005F71DC">
              <w:rPr>
                <w:rFonts w:ascii="Arial" w:hAnsi="Arial" w:cs="Arial"/>
              </w:rPr>
              <w:t xml:space="preserve">At the end of June 2024, of the 12 nursing homes in St Helens, 10 or 83% were recorded by the Care Quality Commission (CQC) as either ‘Good’ or ‘Outstanding’. There are 2 nursing homes that require improvement. </w:t>
            </w:r>
          </w:p>
          <w:p w14:paraId="4AFC2B20" w14:textId="77777777" w:rsidR="00FF3535" w:rsidRPr="005F71DC"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5F71DC">
              <w:rPr>
                <w:rFonts w:ascii="Arial" w:eastAsiaTheme="minorEastAsia" w:hAnsi="Arial" w:cs="Arial"/>
                <w:b/>
                <w:bCs/>
              </w:rPr>
              <w:t>ASC-006</w:t>
            </w:r>
            <w:r w:rsidRPr="005F71DC">
              <w:rPr>
                <w:rFonts w:ascii="Arial" w:eastAsiaTheme="minorEastAsia" w:hAnsi="Arial" w:cs="Arial"/>
              </w:rPr>
              <w:t xml:space="preserve"> - </w:t>
            </w:r>
            <w:r w:rsidRPr="005F71DC">
              <w:rPr>
                <w:rFonts w:ascii="Arial" w:hAnsi="Arial" w:cs="Arial"/>
              </w:rPr>
              <w:t xml:space="preserve">At the end of June 2024 there were 2,494 in receipt of community services, of which 520 were in receipt of Direct Payments, giving an outturn of 20.8%. This is below the annual target of 25% and below the position in Quarter 1 2023-24 which was 23.3%. </w:t>
            </w:r>
          </w:p>
          <w:p w14:paraId="470F4297" w14:textId="77777777" w:rsidR="00FF3535" w:rsidRPr="005414AB"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5F71DC">
              <w:rPr>
                <w:rFonts w:ascii="Arial" w:eastAsiaTheme="minorEastAsia" w:hAnsi="Arial" w:cs="Arial"/>
                <w:b/>
                <w:bCs/>
              </w:rPr>
              <w:t>ASC-007</w:t>
            </w:r>
            <w:r w:rsidRPr="005F71DC">
              <w:rPr>
                <w:rFonts w:ascii="Arial" w:eastAsiaTheme="minorEastAsia" w:hAnsi="Arial" w:cs="Arial"/>
              </w:rPr>
              <w:t xml:space="preserve"> - S</w:t>
            </w:r>
            <w:r w:rsidRPr="005F71DC">
              <w:rPr>
                <w:rFonts w:ascii="Arial" w:hAnsi="Arial" w:cs="Arial"/>
              </w:rPr>
              <w:t xml:space="preserve">ervice user satisfaction with the outcome of safeguarding enquiries is performing better than target. A total of 589 Safeguarding Enquiries </w:t>
            </w:r>
            <w:r w:rsidRPr="005414AB">
              <w:rPr>
                <w:rFonts w:ascii="Arial" w:hAnsi="Arial" w:cs="Arial"/>
              </w:rPr>
              <w:t xml:space="preserve">were closed between the start of April and the end of June 2024, with 470 having the outcomes identified by the service user as fully or partially achieved. This gives a Quarter 1 figure of 80%, above the target of 75%, and an improvement on the Quarter 1 position in 2023-24. </w:t>
            </w:r>
          </w:p>
          <w:p w14:paraId="2F7A7E23" w14:textId="77777777" w:rsidR="00FF3535" w:rsidRPr="006A757D"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5414AB">
              <w:rPr>
                <w:rFonts w:ascii="Arial" w:eastAsiaTheme="minorEastAsia" w:hAnsi="Arial" w:cs="Arial"/>
                <w:b/>
                <w:bCs/>
              </w:rPr>
              <w:t>ASC-008</w:t>
            </w:r>
            <w:r w:rsidRPr="005414AB">
              <w:rPr>
                <w:rFonts w:ascii="Arial" w:eastAsiaTheme="minorEastAsia" w:hAnsi="Arial" w:cs="Arial"/>
              </w:rPr>
              <w:t xml:space="preserve"> – High numbers of Adult Social Care service users continue to receive self-directed support. Over the course of Quarter 1 2024-25,</w:t>
            </w:r>
            <w:r w:rsidRPr="005414AB">
              <w:rPr>
                <w:rFonts w:ascii="Arial" w:hAnsi="Arial" w:cs="Arial"/>
              </w:rPr>
              <w:t xml:space="preserve"> a total </w:t>
            </w:r>
            <w:r w:rsidRPr="006A757D">
              <w:rPr>
                <w:rFonts w:ascii="Arial" w:hAnsi="Arial" w:cs="Arial"/>
              </w:rPr>
              <w:t xml:space="preserve">of 2,418 clients out of 2443 in receipt of services had been through the self-directed support process giving an outturn of 99%, which is above the target of 98% and an improvement on the Quarter 1 position in 2023-24. </w:t>
            </w:r>
          </w:p>
          <w:p w14:paraId="0945D20B" w14:textId="77777777" w:rsidR="00FF3535" w:rsidRPr="00E63FA7"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6A757D">
              <w:rPr>
                <w:rFonts w:ascii="Arial" w:eastAsiaTheme="minorEastAsia" w:hAnsi="Arial" w:cs="Arial"/>
                <w:b/>
                <w:bCs/>
              </w:rPr>
              <w:t>ASC-013 / ASC-014</w:t>
            </w:r>
            <w:r w:rsidRPr="006A757D">
              <w:rPr>
                <w:rFonts w:ascii="Arial" w:eastAsiaTheme="minorEastAsia" w:hAnsi="Arial" w:cs="Arial"/>
              </w:rPr>
              <w:t xml:space="preserve"> – The Adult Social Care Department’s </w:t>
            </w:r>
            <w:r w:rsidRPr="006A757D">
              <w:rPr>
                <w:rFonts w:ascii="Arial" w:eastAsia="Arial" w:hAnsi="Arial" w:cs="Arial"/>
              </w:rPr>
              <w:t>compliance with timescales for undertaking safeguarding procedures</w:t>
            </w:r>
            <w:r w:rsidRPr="006A757D">
              <w:rPr>
                <w:rFonts w:ascii="Arial" w:hAnsi="Arial" w:cs="Arial"/>
              </w:rPr>
              <w:t xml:space="preserve"> remains </w:t>
            </w:r>
            <w:r>
              <w:rPr>
                <w:rFonts w:ascii="Arial" w:hAnsi="Arial" w:cs="Arial"/>
              </w:rPr>
              <w:t xml:space="preserve">relatively </w:t>
            </w:r>
            <w:r w:rsidRPr="006A757D">
              <w:rPr>
                <w:rFonts w:ascii="Arial" w:hAnsi="Arial" w:cs="Arial"/>
              </w:rPr>
              <w:t>strong. At the end of Quarter 1 2024-25, t</w:t>
            </w:r>
            <w:r w:rsidRPr="006A757D">
              <w:rPr>
                <w:rFonts w:ascii="Arial" w:eastAsia="Arial" w:hAnsi="Arial" w:cs="Arial"/>
              </w:rPr>
              <w:t xml:space="preserve">he initial strategy discussions to a safeguarding alert indicator performance was 91%, </w:t>
            </w:r>
            <w:r>
              <w:rPr>
                <w:rFonts w:ascii="Arial" w:eastAsia="Arial" w:hAnsi="Arial" w:cs="Arial"/>
              </w:rPr>
              <w:t xml:space="preserve">however </w:t>
            </w:r>
            <w:r w:rsidRPr="006A757D">
              <w:rPr>
                <w:rFonts w:ascii="Arial" w:eastAsia="Arial" w:hAnsi="Arial" w:cs="Arial"/>
              </w:rPr>
              <w:t xml:space="preserve">below the target of 95%. </w:t>
            </w:r>
            <w:r w:rsidRPr="006A757D">
              <w:rPr>
                <w:rFonts w:ascii="Arial" w:hAnsi="Arial" w:cs="Arial"/>
              </w:rPr>
              <w:t>A total of 285 initial strategy discussions undertaken within 1 working day out 313 enquiries received during the period. T</w:t>
            </w:r>
            <w:r w:rsidRPr="006A757D">
              <w:rPr>
                <w:rFonts w:ascii="Arial" w:eastAsia="Arial" w:hAnsi="Arial" w:cs="Arial"/>
              </w:rPr>
              <w:t>he</w:t>
            </w:r>
            <w:r w:rsidRPr="006A757D">
              <w:rPr>
                <w:rFonts w:ascii="Arial" w:hAnsi="Arial" w:cs="Arial"/>
              </w:rPr>
              <w:t xml:space="preserve"> visits to an adult safeguarding </w:t>
            </w:r>
            <w:r w:rsidRPr="00E63FA7">
              <w:rPr>
                <w:rFonts w:ascii="Arial" w:hAnsi="Arial" w:cs="Arial"/>
              </w:rPr>
              <w:t>victim indicator was at optimum performance of 100%. Out of the 21 investigations commenced since the start of April 2024, 21 had a visit occurring within two working days.</w:t>
            </w:r>
          </w:p>
          <w:p w14:paraId="457898C2" w14:textId="4E4C501D" w:rsidR="00983CFD" w:rsidRPr="00C2049F" w:rsidRDefault="00FF3535" w:rsidP="00FF3535">
            <w:pPr>
              <w:pStyle w:val="ListParagraph"/>
              <w:numPr>
                <w:ilvl w:val="0"/>
                <w:numId w:val="8"/>
              </w:numPr>
              <w:spacing w:before="120" w:after="120"/>
              <w:ind w:left="714" w:hanging="357"/>
              <w:contextualSpacing w:val="0"/>
              <w:rPr>
                <w:rFonts w:ascii="Arial" w:eastAsiaTheme="minorEastAsia" w:hAnsi="Arial" w:cs="Arial"/>
              </w:rPr>
            </w:pPr>
            <w:r w:rsidRPr="00E63FA7">
              <w:rPr>
                <w:rFonts w:ascii="Arial" w:eastAsiaTheme="minorEastAsia" w:hAnsi="Arial" w:cs="Arial"/>
                <w:b/>
                <w:bCs/>
              </w:rPr>
              <w:t>ASC-015</w:t>
            </w:r>
            <w:r w:rsidRPr="00E63FA7">
              <w:rPr>
                <w:rFonts w:ascii="Arial" w:eastAsiaTheme="minorEastAsia" w:hAnsi="Arial" w:cs="Arial"/>
              </w:rPr>
              <w:t xml:space="preserve"> – As of the end of June 2024, the number of individuals (18+) who </w:t>
            </w:r>
            <w:r>
              <w:rPr>
                <w:rFonts w:ascii="Arial" w:eastAsiaTheme="minorEastAsia" w:hAnsi="Arial" w:cs="Arial"/>
              </w:rPr>
              <w:t>were</w:t>
            </w:r>
            <w:r w:rsidRPr="00E63FA7">
              <w:rPr>
                <w:rFonts w:ascii="Arial" w:eastAsiaTheme="minorEastAsia" w:hAnsi="Arial" w:cs="Arial"/>
              </w:rPr>
              <w:t xml:space="preserve"> receiving domiciliary care (1</w:t>
            </w:r>
            <w:r>
              <w:rPr>
                <w:rFonts w:ascii="Arial" w:eastAsiaTheme="minorEastAsia" w:hAnsi="Arial" w:cs="Arial"/>
              </w:rPr>
              <w:t>,529</w:t>
            </w:r>
            <w:r w:rsidRPr="00E63FA7">
              <w:rPr>
                <w:rFonts w:ascii="Arial" w:eastAsiaTheme="minorEastAsia" w:hAnsi="Arial" w:cs="Arial"/>
              </w:rPr>
              <w:t>) as a percentage of the total service user population (</w:t>
            </w:r>
            <w:r>
              <w:rPr>
                <w:rFonts w:ascii="Arial" w:eastAsiaTheme="minorEastAsia" w:hAnsi="Arial" w:cs="Arial"/>
              </w:rPr>
              <w:t>2,494</w:t>
            </w:r>
            <w:r w:rsidRPr="00E63FA7">
              <w:rPr>
                <w:rFonts w:ascii="Arial" w:eastAsiaTheme="minorEastAsia" w:hAnsi="Arial" w:cs="Arial"/>
              </w:rPr>
              <w:t xml:space="preserve">) </w:t>
            </w:r>
            <w:r>
              <w:rPr>
                <w:rFonts w:ascii="Arial" w:eastAsiaTheme="minorEastAsia" w:hAnsi="Arial" w:cs="Arial"/>
              </w:rPr>
              <w:t>was</w:t>
            </w:r>
            <w:r w:rsidRPr="00E63FA7">
              <w:rPr>
                <w:rFonts w:ascii="Arial" w:eastAsiaTheme="minorEastAsia" w:hAnsi="Arial" w:cs="Arial"/>
              </w:rPr>
              <w:t xml:space="preserve"> 61%, slightly above the target for the year of 60%</w:t>
            </w:r>
            <w:r>
              <w:rPr>
                <w:rFonts w:ascii="Arial" w:eastAsiaTheme="minorEastAsia" w:hAnsi="Arial" w:cs="Arial"/>
              </w:rPr>
              <w:t xml:space="preserve">, which is higher than the Quarter 1 2023-24 position of 45.7%. </w:t>
            </w:r>
            <w:r w:rsidRPr="00E63FA7">
              <w:rPr>
                <w:rFonts w:ascii="Arial" w:eastAsiaTheme="minorEastAsia" w:hAnsi="Arial" w:cs="Arial"/>
              </w:rPr>
              <w:t xml:space="preserve"> </w:t>
            </w:r>
          </w:p>
        </w:tc>
      </w:tr>
      <w:tr w:rsidR="00970157" w14:paraId="77FCE7E6" w14:textId="77777777" w:rsidTr="6A9A2D0D">
        <w:tc>
          <w:tcPr>
            <w:tcW w:w="15388" w:type="dxa"/>
            <w:gridSpan w:val="2"/>
            <w:shd w:val="clear" w:color="auto" w:fill="17B0DE"/>
          </w:tcPr>
          <w:p w14:paraId="304591F3" w14:textId="77777777" w:rsidR="00B0379D" w:rsidRDefault="00E75E6D" w:rsidP="00B0379D">
            <w:pPr>
              <w:spacing w:after="120"/>
              <w:jc w:val="both"/>
              <w:rPr>
                <w:rFonts w:ascii="Arial" w:hAnsi="Arial" w:cs="Arial"/>
                <w:color w:val="000000" w:themeColor="text1"/>
              </w:rPr>
            </w:pPr>
            <w:r w:rsidRPr="00896DF5">
              <w:rPr>
                <w:rFonts w:ascii="Arial" w:hAnsi="Arial" w:cs="Arial"/>
                <w:b/>
                <w:bCs/>
                <w:color w:val="FFFFFF" w:themeColor="background1"/>
              </w:rPr>
              <w:t>Action for Improvement</w:t>
            </w:r>
          </w:p>
        </w:tc>
      </w:tr>
      <w:tr w:rsidR="00970157" w14:paraId="588FB81E" w14:textId="77777777" w:rsidTr="6A9A2D0D">
        <w:tc>
          <w:tcPr>
            <w:tcW w:w="15388" w:type="dxa"/>
            <w:gridSpan w:val="2"/>
          </w:tcPr>
          <w:p w14:paraId="15EA3D97" w14:textId="77777777" w:rsidR="002477F6" w:rsidRPr="005A4490" w:rsidRDefault="002477F6" w:rsidP="002477F6">
            <w:pPr>
              <w:pStyle w:val="ListParagraph"/>
              <w:numPr>
                <w:ilvl w:val="0"/>
                <w:numId w:val="8"/>
              </w:numPr>
              <w:spacing w:before="120" w:after="120"/>
              <w:ind w:left="714" w:hanging="357"/>
              <w:contextualSpacing w:val="0"/>
              <w:rPr>
                <w:rFonts w:ascii="Arial" w:eastAsiaTheme="minorEastAsia" w:hAnsi="Arial" w:cs="Arial"/>
              </w:rPr>
            </w:pPr>
            <w:r w:rsidRPr="00A215CF">
              <w:rPr>
                <w:rFonts w:ascii="Arial" w:eastAsia="Arial" w:hAnsi="Arial" w:cs="Arial"/>
                <w:b/>
                <w:bCs/>
                <w:color w:val="000000" w:themeColor="text1"/>
                <w:lang w:eastAsia="en-GB"/>
              </w:rPr>
              <w:t>ASC-005B</w:t>
            </w:r>
            <w:r>
              <w:rPr>
                <w:rFonts w:ascii="Arial" w:eastAsia="Arial" w:hAnsi="Arial" w:cs="Arial"/>
                <w:color w:val="000000" w:themeColor="text1"/>
                <w:lang w:eastAsia="en-GB"/>
              </w:rPr>
              <w:t xml:space="preserve"> - </w:t>
            </w:r>
            <w:r w:rsidRPr="005F71DC">
              <w:rPr>
                <w:rFonts w:ascii="Arial" w:hAnsi="Arial" w:cs="Arial"/>
              </w:rPr>
              <w:t xml:space="preserve">The </w:t>
            </w:r>
            <w:r>
              <w:rPr>
                <w:rFonts w:ascii="Arial" w:hAnsi="Arial" w:cs="Arial"/>
              </w:rPr>
              <w:t xml:space="preserve">2 nursing </w:t>
            </w:r>
            <w:r w:rsidRPr="005F71DC">
              <w:rPr>
                <w:rFonts w:ascii="Arial" w:hAnsi="Arial" w:cs="Arial"/>
              </w:rPr>
              <w:t xml:space="preserve">homes that require improvement are Grace Court and Elizabeth Court. Both the services are included on the Market Oversight Register which is reviewed as part of the quarterly Market Oversight Meetings. This position has not changed since Quarter 1 2023-24. </w:t>
            </w:r>
          </w:p>
          <w:p w14:paraId="564985A6" w14:textId="09DB64E5" w:rsidR="002477F6" w:rsidRDefault="002477F6" w:rsidP="002477F6">
            <w:pPr>
              <w:pStyle w:val="ListParagraph"/>
              <w:numPr>
                <w:ilvl w:val="0"/>
                <w:numId w:val="38"/>
              </w:numPr>
              <w:spacing w:before="120" w:after="120"/>
              <w:contextualSpacing w:val="0"/>
              <w:textAlignment w:val="baseline"/>
              <w:rPr>
                <w:rFonts w:ascii="Arial" w:eastAsia="Arial" w:hAnsi="Arial" w:cs="Arial"/>
                <w:color w:val="000000" w:themeColor="text1"/>
                <w:lang w:eastAsia="en-GB"/>
              </w:rPr>
            </w:pPr>
            <w:r w:rsidRPr="1BA8E7C9">
              <w:rPr>
                <w:rFonts w:ascii="Arial" w:eastAsia="Arial" w:hAnsi="Arial" w:cs="Arial"/>
                <w:b/>
                <w:color w:val="000000" w:themeColor="text1"/>
              </w:rPr>
              <w:t>ASC</w:t>
            </w:r>
            <w:r w:rsidR="001824E5">
              <w:rPr>
                <w:rFonts w:ascii="Arial" w:eastAsia="Arial" w:hAnsi="Arial" w:cs="Arial"/>
                <w:b/>
                <w:color w:val="000000" w:themeColor="text1"/>
              </w:rPr>
              <w:t>-</w:t>
            </w:r>
            <w:r w:rsidRPr="1BA8E7C9">
              <w:rPr>
                <w:rFonts w:ascii="Arial" w:eastAsia="Arial" w:hAnsi="Arial" w:cs="Arial"/>
                <w:b/>
                <w:color w:val="000000" w:themeColor="text1"/>
              </w:rPr>
              <w:t>006</w:t>
            </w:r>
            <w:r w:rsidRPr="78CA18B5">
              <w:rPr>
                <w:rFonts w:ascii="Arial" w:eastAsia="Arial" w:hAnsi="Arial" w:cs="Arial"/>
                <w:color w:val="000000" w:themeColor="text1"/>
              </w:rPr>
              <w:t xml:space="preserve"> </w:t>
            </w:r>
            <w:r>
              <w:rPr>
                <w:rFonts w:ascii="Arial" w:eastAsia="Arial" w:hAnsi="Arial" w:cs="Arial"/>
                <w:color w:val="000000" w:themeColor="text1"/>
              </w:rPr>
              <w:t>-</w:t>
            </w:r>
            <w:r w:rsidRPr="78CA18B5">
              <w:rPr>
                <w:rFonts w:ascii="Arial" w:eastAsia="Arial" w:hAnsi="Arial" w:cs="Arial"/>
                <w:color w:val="000000" w:themeColor="text1"/>
              </w:rPr>
              <w:t xml:space="preserve"> A direct payment review was completed in June 2024. The direct payments offer is being reinvigorated in line with the ambition expressed in the Adult Social Care Strategy. Re-training of all assessment staff is planned with and update of the guidance and website underway.</w:t>
            </w:r>
          </w:p>
          <w:p w14:paraId="48FE22F4" w14:textId="5056E531" w:rsidR="00C17201" w:rsidRPr="00A20403" w:rsidRDefault="002477F6" w:rsidP="00E857EB">
            <w:pPr>
              <w:pStyle w:val="ListParagraph"/>
              <w:numPr>
                <w:ilvl w:val="0"/>
                <w:numId w:val="38"/>
              </w:numPr>
              <w:spacing w:before="120" w:after="120"/>
              <w:contextualSpacing w:val="0"/>
              <w:textAlignment w:val="baseline"/>
              <w:rPr>
                <w:rFonts w:ascii="Arial" w:eastAsia="Arial" w:hAnsi="Arial" w:cs="Arial"/>
                <w:color w:val="000000" w:themeColor="text1"/>
                <w:lang w:eastAsia="en-GB"/>
              </w:rPr>
            </w:pPr>
            <w:r>
              <w:rPr>
                <w:rFonts w:ascii="Arial" w:eastAsia="Arial" w:hAnsi="Arial" w:cs="Arial"/>
                <w:b/>
                <w:color w:val="000000" w:themeColor="text1"/>
              </w:rPr>
              <w:t>ASC</w:t>
            </w:r>
            <w:r w:rsidRPr="00C84C2E">
              <w:rPr>
                <w:rFonts w:ascii="Arial" w:eastAsia="Arial" w:hAnsi="Arial" w:cs="Arial"/>
                <w:b/>
                <w:bCs/>
                <w:color w:val="000000" w:themeColor="text1"/>
                <w:lang w:eastAsia="en-GB"/>
              </w:rPr>
              <w:t>-013</w:t>
            </w:r>
            <w:r>
              <w:rPr>
                <w:rFonts w:ascii="Arial" w:eastAsia="Arial" w:hAnsi="Arial" w:cs="Arial"/>
                <w:color w:val="000000" w:themeColor="text1"/>
                <w:lang w:eastAsia="en-GB"/>
              </w:rPr>
              <w:t xml:space="preserve"> -  </w:t>
            </w:r>
            <w:r w:rsidR="00C6659C">
              <w:rPr>
                <w:rFonts w:ascii="Arial" w:eastAsia="Arial" w:hAnsi="Arial" w:cs="Arial"/>
                <w:color w:val="000000" w:themeColor="text1"/>
                <w:lang w:eastAsia="en-GB"/>
              </w:rPr>
              <w:t xml:space="preserve">Recent months have seen a large increase </w:t>
            </w:r>
            <w:r w:rsidR="00EB62D0">
              <w:rPr>
                <w:rFonts w:ascii="Arial" w:eastAsia="Arial" w:hAnsi="Arial" w:cs="Arial"/>
                <w:color w:val="000000" w:themeColor="text1"/>
                <w:lang w:eastAsia="en-GB"/>
              </w:rPr>
              <w:t>in safeguarding referrals</w:t>
            </w:r>
            <w:r w:rsidR="00613078">
              <w:rPr>
                <w:rFonts w:ascii="Arial" w:eastAsia="Arial" w:hAnsi="Arial" w:cs="Arial"/>
                <w:color w:val="000000" w:themeColor="text1"/>
                <w:lang w:eastAsia="en-GB"/>
              </w:rPr>
              <w:t xml:space="preserve">. The majority (91%) of </w:t>
            </w:r>
            <w:r w:rsidR="00613078" w:rsidRPr="006A757D">
              <w:rPr>
                <w:rFonts w:ascii="Arial" w:hAnsi="Arial" w:cs="Arial"/>
              </w:rPr>
              <w:t xml:space="preserve">initial </w:t>
            </w:r>
            <w:r w:rsidR="00613078">
              <w:rPr>
                <w:rFonts w:ascii="Arial" w:hAnsi="Arial" w:cs="Arial"/>
              </w:rPr>
              <w:t xml:space="preserve">safeguarding </w:t>
            </w:r>
            <w:r w:rsidR="00613078" w:rsidRPr="006A757D">
              <w:rPr>
                <w:rFonts w:ascii="Arial" w:hAnsi="Arial" w:cs="Arial"/>
              </w:rPr>
              <w:t xml:space="preserve">strategy discussions </w:t>
            </w:r>
            <w:r w:rsidR="00613078">
              <w:rPr>
                <w:rFonts w:ascii="Arial" w:hAnsi="Arial" w:cs="Arial"/>
              </w:rPr>
              <w:t>were undertaken within</w:t>
            </w:r>
            <w:r w:rsidR="00613078" w:rsidRPr="006A757D">
              <w:rPr>
                <w:rFonts w:ascii="Arial" w:hAnsi="Arial" w:cs="Arial"/>
              </w:rPr>
              <w:t xml:space="preserve"> 1 working day</w:t>
            </w:r>
            <w:r w:rsidR="00FC67FA">
              <w:rPr>
                <w:rFonts w:ascii="Arial" w:hAnsi="Arial" w:cs="Arial"/>
              </w:rPr>
              <w:t>, but performance has dipped</w:t>
            </w:r>
            <w:r w:rsidR="00023D62">
              <w:rPr>
                <w:rFonts w:ascii="Arial" w:hAnsi="Arial" w:cs="Arial"/>
              </w:rPr>
              <w:t xml:space="preserve">. The discussions require </w:t>
            </w:r>
            <w:r w:rsidR="00BE1BB6">
              <w:rPr>
                <w:rFonts w:ascii="Arial" w:hAnsi="Arial" w:cs="Arial"/>
              </w:rPr>
              <w:t xml:space="preserve">input from the various community teams and the slight dip in performance </w:t>
            </w:r>
            <w:r w:rsidR="007B12A9">
              <w:rPr>
                <w:rFonts w:ascii="Arial" w:hAnsi="Arial" w:cs="Arial"/>
              </w:rPr>
              <w:t>is accounted for due to recent capacity issues</w:t>
            </w:r>
            <w:r w:rsidR="00E201C6">
              <w:rPr>
                <w:rFonts w:ascii="Arial" w:hAnsi="Arial" w:cs="Arial"/>
              </w:rPr>
              <w:t xml:space="preserve">, largely sickness, within teams. Mitigating </w:t>
            </w:r>
            <w:r w:rsidR="00156221">
              <w:rPr>
                <w:rFonts w:ascii="Arial" w:hAnsi="Arial" w:cs="Arial"/>
              </w:rPr>
              <w:t xml:space="preserve">action </w:t>
            </w:r>
            <w:r w:rsidR="00E201C6">
              <w:rPr>
                <w:rFonts w:ascii="Arial" w:hAnsi="Arial" w:cs="Arial"/>
              </w:rPr>
              <w:t xml:space="preserve">has been taken and now going forward </w:t>
            </w:r>
            <w:r w:rsidR="00A50D1A">
              <w:rPr>
                <w:rFonts w:ascii="Arial" w:hAnsi="Arial" w:cs="Arial"/>
              </w:rPr>
              <w:t xml:space="preserve">specific timeslots have been booked twice daily </w:t>
            </w:r>
            <w:r w:rsidR="00156221">
              <w:rPr>
                <w:rFonts w:ascii="Arial" w:hAnsi="Arial" w:cs="Arial"/>
              </w:rPr>
              <w:t xml:space="preserve">to ensure </w:t>
            </w:r>
            <w:r w:rsidR="007A00E9">
              <w:rPr>
                <w:rFonts w:ascii="Arial" w:hAnsi="Arial" w:cs="Arial"/>
              </w:rPr>
              <w:t>timely strategy discussions take place. Performance will be closely monitored over th</w:t>
            </w:r>
            <w:r w:rsidR="004877CF">
              <w:rPr>
                <w:rFonts w:ascii="Arial" w:hAnsi="Arial" w:cs="Arial"/>
              </w:rPr>
              <w:t>e</w:t>
            </w:r>
            <w:r w:rsidR="007A00E9">
              <w:rPr>
                <w:rFonts w:ascii="Arial" w:hAnsi="Arial" w:cs="Arial"/>
              </w:rPr>
              <w:t xml:space="preserve"> coming months </w:t>
            </w:r>
            <w:r w:rsidR="00A20403">
              <w:rPr>
                <w:rFonts w:ascii="Arial" w:hAnsi="Arial" w:cs="Arial"/>
              </w:rPr>
              <w:t>to ensure an improved response</w:t>
            </w:r>
            <w:r w:rsidR="00C87072">
              <w:rPr>
                <w:rFonts w:ascii="Arial" w:hAnsi="Arial" w:cs="Arial"/>
              </w:rPr>
              <w:t xml:space="preserve"> takes place</w:t>
            </w:r>
            <w:r w:rsidR="00A20403">
              <w:rPr>
                <w:rFonts w:ascii="Arial" w:hAnsi="Arial" w:cs="Arial"/>
              </w:rPr>
              <w:t xml:space="preserve">. </w:t>
            </w:r>
          </w:p>
        </w:tc>
      </w:tr>
    </w:tbl>
    <w:p w14:paraId="11350AC9" w14:textId="77777777" w:rsidR="00992130" w:rsidRDefault="00992130" w:rsidP="00B0379D">
      <w:pPr>
        <w:spacing w:after="240" w:line="240" w:lineRule="auto"/>
        <w:jc w:val="both"/>
        <w:rPr>
          <w:rFonts w:ascii="Arial" w:hAnsi="Arial" w:cs="Arial"/>
          <w:b/>
          <w:color w:val="17B0DE"/>
          <w:sz w:val="32"/>
          <w:szCs w:val="32"/>
        </w:rPr>
      </w:pPr>
    </w:p>
    <w:p w14:paraId="598CAA19" w14:textId="77777777" w:rsidR="001322E9" w:rsidRDefault="001322E9" w:rsidP="00B0379D">
      <w:pPr>
        <w:spacing w:after="240" w:line="240" w:lineRule="auto"/>
        <w:jc w:val="both"/>
        <w:rPr>
          <w:rFonts w:ascii="Arial" w:hAnsi="Arial" w:cs="Arial"/>
          <w:b/>
          <w:color w:val="17B0DE"/>
          <w:sz w:val="32"/>
          <w:szCs w:val="32"/>
        </w:rPr>
      </w:pPr>
    </w:p>
    <w:p w14:paraId="69473889" w14:textId="77777777" w:rsidR="001322E9" w:rsidRDefault="001322E9" w:rsidP="00B0379D">
      <w:pPr>
        <w:spacing w:after="240" w:line="240" w:lineRule="auto"/>
        <w:jc w:val="both"/>
        <w:rPr>
          <w:rFonts w:ascii="Arial" w:hAnsi="Arial" w:cs="Arial"/>
          <w:b/>
          <w:color w:val="17B0DE"/>
          <w:sz w:val="32"/>
          <w:szCs w:val="32"/>
        </w:rPr>
      </w:pPr>
    </w:p>
    <w:p w14:paraId="6E27607C" w14:textId="3BFDC32B" w:rsidR="00B0379D" w:rsidRPr="00814AE0" w:rsidRDefault="00E75E6D" w:rsidP="00B0379D">
      <w:pPr>
        <w:spacing w:after="240" w:line="240" w:lineRule="auto"/>
        <w:jc w:val="both"/>
        <w:rPr>
          <w:rFonts w:ascii="Arial" w:hAnsi="Arial" w:cs="Arial"/>
          <w:b/>
          <w:color w:val="17B0DE"/>
          <w:sz w:val="32"/>
          <w:szCs w:val="32"/>
        </w:rPr>
      </w:pPr>
      <w:r w:rsidRPr="00814AE0">
        <w:rPr>
          <w:rFonts w:ascii="Arial" w:hAnsi="Arial" w:cs="Arial"/>
          <w:b/>
          <w:color w:val="17B0DE"/>
          <w:sz w:val="32"/>
          <w:szCs w:val="32"/>
        </w:rPr>
        <w:t>Outcome – People’s physical and mental wellbeing improves</w:t>
      </w:r>
    </w:p>
    <w:tbl>
      <w:tblPr>
        <w:tblStyle w:val="TableGrid"/>
        <w:tblW w:w="0" w:type="auto"/>
        <w:tblBorders>
          <w:top w:val="single" w:sz="4" w:space="0" w:color="17B0DE"/>
          <w:left w:val="single" w:sz="4" w:space="0" w:color="17B0DE"/>
          <w:bottom w:val="single" w:sz="4" w:space="0" w:color="17B0DE"/>
          <w:right w:val="single" w:sz="4" w:space="0" w:color="17B0DE"/>
          <w:insideH w:val="single" w:sz="4" w:space="0" w:color="17B0DE"/>
          <w:insideV w:val="single" w:sz="4" w:space="0" w:color="17B0DE"/>
        </w:tblBorders>
        <w:tblLook w:val="04A0" w:firstRow="1" w:lastRow="0" w:firstColumn="1" w:lastColumn="0" w:noHBand="0" w:noVBand="1"/>
      </w:tblPr>
      <w:tblGrid>
        <w:gridCol w:w="8359"/>
        <w:gridCol w:w="7029"/>
      </w:tblGrid>
      <w:tr w:rsidR="00970157" w14:paraId="0B72EF43" w14:textId="77777777" w:rsidTr="6A9A2D0D">
        <w:tc>
          <w:tcPr>
            <w:tcW w:w="8359" w:type="dxa"/>
            <w:shd w:val="clear" w:color="auto" w:fill="17B0DE"/>
          </w:tcPr>
          <w:p w14:paraId="77AD788B" w14:textId="77777777" w:rsidR="00B0379D" w:rsidRPr="00B64BF9" w:rsidRDefault="00E75E6D" w:rsidP="00B0379D">
            <w:pPr>
              <w:spacing w:after="120"/>
              <w:jc w:val="both"/>
              <w:rPr>
                <w:rFonts w:ascii="Arial" w:hAnsi="Arial" w:cs="Arial"/>
                <w:b/>
                <w:bCs/>
                <w:color w:val="FFFFFF" w:themeColor="background1"/>
              </w:rPr>
            </w:pPr>
            <w:r w:rsidRPr="00B64BF9">
              <w:rPr>
                <w:rFonts w:ascii="Arial" w:hAnsi="Arial" w:cs="Arial"/>
                <w:b/>
                <w:bCs/>
                <w:color w:val="FFFFFF" w:themeColor="background1"/>
              </w:rPr>
              <w:t>Current Performance</w:t>
            </w:r>
          </w:p>
        </w:tc>
        <w:tc>
          <w:tcPr>
            <w:tcW w:w="7029" w:type="dxa"/>
            <w:shd w:val="clear" w:color="auto" w:fill="17B0DE"/>
          </w:tcPr>
          <w:p w14:paraId="54F6644E" w14:textId="77777777" w:rsidR="00B0379D" w:rsidRPr="00B64BF9" w:rsidRDefault="00B0379D" w:rsidP="00B0379D">
            <w:pPr>
              <w:spacing w:after="120"/>
              <w:jc w:val="both"/>
              <w:rPr>
                <w:rFonts w:ascii="Arial" w:hAnsi="Arial" w:cs="Arial"/>
                <w:b/>
                <w:bCs/>
                <w:color w:val="FFFFFF" w:themeColor="background1"/>
              </w:rPr>
            </w:pPr>
          </w:p>
        </w:tc>
      </w:tr>
      <w:tr w:rsidR="00970157" w14:paraId="2BDF9C92" w14:textId="77777777" w:rsidTr="6A9A2D0D">
        <w:tc>
          <w:tcPr>
            <w:tcW w:w="15388" w:type="dxa"/>
            <w:gridSpan w:val="2"/>
          </w:tcPr>
          <w:p w14:paraId="5E07D519" w14:textId="77777777" w:rsidR="00CA7168" w:rsidRPr="006F37B5" w:rsidRDefault="00CA7168" w:rsidP="00CA7168">
            <w:pPr>
              <w:pStyle w:val="ListParagraph"/>
              <w:numPr>
                <w:ilvl w:val="0"/>
                <w:numId w:val="29"/>
              </w:numPr>
              <w:spacing w:before="120" w:after="120"/>
              <w:ind w:left="714" w:hanging="357"/>
              <w:contextualSpacing w:val="0"/>
              <w:rPr>
                <w:rFonts w:eastAsiaTheme="minorEastAsia"/>
              </w:rPr>
            </w:pPr>
            <w:r w:rsidRPr="00EA1F64">
              <w:rPr>
                <w:rFonts w:ascii="Arial" w:eastAsia="Arial" w:hAnsi="Arial" w:cs="Arial"/>
              </w:rPr>
              <w:t xml:space="preserve">There is limited data reported for this outcome during Quarter 1 as the majority of measures are reported annually. Performance however remains </w:t>
            </w:r>
            <w:r w:rsidRPr="006F37B5">
              <w:rPr>
                <w:rFonts w:ascii="Arial" w:eastAsia="Arial" w:hAnsi="Arial" w:cs="Arial"/>
              </w:rPr>
              <w:t>challenging in areas.</w:t>
            </w:r>
          </w:p>
          <w:p w14:paraId="6D8702FC" w14:textId="77777777" w:rsidR="00CA7168" w:rsidRPr="0098675E" w:rsidRDefault="00CA7168" w:rsidP="00CA7168">
            <w:pPr>
              <w:pStyle w:val="ListParagraph"/>
              <w:numPr>
                <w:ilvl w:val="0"/>
                <w:numId w:val="29"/>
              </w:numPr>
              <w:spacing w:before="120" w:after="120"/>
              <w:ind w:left="714" w:hanging="357"/>
              <w:contextualSpacing w:val="0"/>
              <w:rPr>
                <w:rFonts w:ascii="Arial" w:eastAsiaTheme="minorEastAsia" w:hAnsi="Arial" w:cs="Arial"/>
              </w:rPr>
            </w:pPr>
            <w:r w:rsidRPr="00EE4AE7">
              <w:rPr>
                <w:rFonts w:ascii="Arial" w:eastAsia="Arial" w:hAnsi="Arial" w:cs="Arial"/>
                <w:b/>
                <w:bCs/>
              </w:rPr>
              <w:t>PH-016</w:t>
            </w:r>
            <w:r w:rsidRPr="00EE4AE7">
              <w:rPr>
                <w:rFonts w:ascii="Arial" w:eastAsia="Arial" w:hAnsi="Arial" w:cs="Arial"/>
              </w:rPr>
              <w:t xml:space="preserve"> - </w:t>
            </w:r>
            <w:r w:rsidRPr="00EE4AE7">
              <w:rPr>
                <w:rFonts w:ascii="Arial" w:eastAsiaTheme="minorEastAsia" w:hAnsi="Arial" w:cs="Arial"/>
              </w:rPr>
              <w:t>The latest data from NHS colleagues for the</w:t>
            </w:r>
            <w:r w:rsidRPr="00EE4AE7">
              <w:rPr>
                <w:rStyle w:val="normaltextrun"/>
                <w:rFonts w:ascii="Arial" w:hAnsi="Arial" w:cs="Arial"/>
                <w:shd w:val="clear" w:color="auto" w:fill="FFFFFF"/>
              </w:rPr>
              <w:t xml:space="preserve"> rate of h</w:t>
            </w:r>
            <w:r w:rsidRPr="00EE4AE7">
              <w:rPr>
                <w:rFonts w:ascii="Arial" w:eastAsia="Arial" w:hAnsi="Arial" w:cs="Arial"/>
              </w:rPr>
              <w:t>ospital admissions for alcohol specific reasons</w:t>
            </w:r>
            <w:r w:rsidRPr="00EE4AE7">
              <w:rPr>
                <w:rStyle w:val="normaltextrun"/>
                <w:rFonts w:ascii="Arial" w:hAnsi="Arial" w:cs="Arial"/>
                <w:shd w:val="clear" w:color="auto" w:fill="FFFFFF"/>
              </w:rPr>
              <w:t xml:space="preserve"> in St Helens has been delayed and will be reported in Quarter 2. T</w:t>
            </w:r>
            <w:r w:rsidRPr="00EE4AE7">
              <w:rPr>
                <w:rStyle w:val="normaltextrun"/>
                <w:shd w:val="clear" w:color="auto" w:fill="FFFFFF"/>
              </w:rPr>
              <w:t xml:space="preserve">he </w:t>
            </w:r>
            <w:r w:rsidRPr="00EE4AE7">
              <w:rPr>
                <w:rFonts w:ascii="Arial" w:hAnsi="Arial" w:cs="Arial"/>
              </w:rPr>
              <w:t>most recent provisional local data for alcohol specific admission episodes for Quarter 4 2022-23 (a 12-month rolling rate) reveals that the rate is 1,062 admissions per 100,000 population. This is statistically significantly higher than the England rate of 581 per 100,000 and the North West rate of 753 per 100,000. St Helens ranks as 3rd highest in the North West and 12th highest in England.</w:t>
            </w:r>
          </w:p>
          <w:p w14:paraId="6F8A74C1" w14:textId="77777777" w:rsidR="00CA7168" w:rsidRPr="0098675E" w:rsidRDefault="00CA7168" w:rsidP="00CA7168">
            <w:pPr>
              <w:pStyle w:val="ListParagraph"/>
              <w:numPr>
                <w:ilvl w:val="0"/>
                <w:numId w:val="29"/>
              </w:numPr>
              <w:spacing w:before="120" w:after="120"/>
              <w:ind w:left="714" w:hanging="357"/>
              <w:contextualSpacing w:val="0"/>
              <w:rPr>
                <w:rFonts w:ascii="Arial" w:eastAsiaTheme="minorEastAsia" w:hAnsi="Arial" w:cs="Arial"/>
              </w:rPr>
            </w:pPr>
            <w:r w:rsidRPr="0098675E">
              <w:rPr>
                <w:rFonts w:ascii="Arial" w:eastAsia="Arial" w:hAnsi="Arial" w:cs="Arial"/>
                <w:b/>
                <w:bCs/>
              </w:rPr>
              <w:t xml:space="preserve">PH-017 - </w:t>
            </w:r>
            <w:r w:rsidRPr="0098675E">
              <w:rPr>
                <w:rFonts w:ascii="Arial" w:eastAsiaTheme="minorEastAsia" w:hAnsi="Arial" w:cs="Arial"/>
              </w:rPr>
              <w:t>The latest data from NHS colleagues for the</w:t>
            </w:r>
            <w:r w:rsidRPr="0098675E">
              <w:rPr>
                <w:rStyle w:val="normaltextrun"/>
                <w:rFonts w:ascii="Arial" w:hAnsi="Arial" w:cs="Arial"/>
                <w:shd w:val="clear" w:color="auto" w:fill="FFFFFF"/>
              </w:rPr>
              <w:t xml:space="preserve"> rate of h</w:t>
            </w:r>
            <w:r w:rsidRPr="0098675E">
              <w:rPr>
                <w:rFonts w:ascii="Arial" w:eastAsia="Arial" w:hAnsi="Arial" w:cs="Arial"/>
              </w:rPr>
              <w:t xml:space="preserve">ospital admissions for falls </w:t>
            </w:r>
            <w:r w:rsidRPr="0098675E">
              <w:rPr>
                <w:rStyle w:val="normaltextrun"/>
                <w:rFonts w:ascii="Arial" w:hAnsi="Arial" w:cs="Arial"/>
                <w:shd w:val="clear" w:color="auto" w:fill="FFFFFF"/>
              </w:rPr>
              <w:t xml:space="preserve">in St Helens has been delayed and will be reported in Quarter 2. </w:t>
            </w:r>
            <w:r w:rsidRPr="0098675E">
              <w:rPr>
                <w:rStyle w:val="normaltextrun"/>
                <w:rFonts w:ascii="Arial" w:hAnsi="Arial" w:cs="Arial"/>
                <w:color w:val="000000"/>
                <w:shd w:val="clear" w:color="auto" w:fill="FFFFFF"/>
              </w:rPr>
              <w:t xml:space="preserve">The last published verified published data for 2022-23 show that St Helens had a rate of 2464 emergency admissions for falls per 100,000 aged 65 plus, which equates to 905 admissions. St Helens has the 6th highest rate in the North West and 12th highest in England. </w:t>
            </w:r>
          </w:p>
          <w:p w14:paraId="2DAE1004" w14:textId="77777777" w:rsidR="00CA7168" w:rsidRPr="000371A0" w:rsidRDefault="00CA7168" w:rsidP="00CA7168">
            <w:pPr>
              <w:pStyle w:val="ListParagraph"/>
              <w:numPr>
                <w:ilvl w:val="0"/>
                <w:numId w:val="29"/>
              </w:numPr>
              <w:spacing w:before="120" w:after="120"/>
              <w:ind w:left="714" w:hanging="357"/>
              <w:contextualSpacing w:val="0"/>
              <w:rPr>
                <w:rFonts w:ascii="Arial" w:eastAsiaTheme="minorEastAsia" w:hAnsi="Arial" w:cs="Arial"/>
              </w:rPr>
            </w:pPr>
            <w:r w:rsidRPr="004A1D62">
              <w:rPr>
                <w:rFonts w:ascii="Arial" w:eastAsia="Arial" w:hAnsi="Arial" w:cs="Arial"/>
                <w:b/>
                <w:bCs/>
              </w:rPr>
              <w:t>PH-018</w:t>
            </w:r>
            <w:r w:rsidRPr="004A1D62">
              <w:rPr>
                <w:rFonts w:ascii="Arial" w:eastAsia="Arial" w:hAnsi="Arial" w:cs="Arial"/>
                <w:b/>
              </w:rPr>
              <w:t xml:space="preserve"> </w:t>
            </w:r>
            <w:r w:rsidRPr="004A1D62">
              <w:rPr>
                <w:rFonts w:ascii="Arial" w:eastAsia="Arial" w:hAnsi="Arial" w:cs="Arial"/>
                <w:b/>
                <w:bCs/>
              </w:rPr>
              <w:t>-</w:t>
            </w:r>
            <w:r w:rsidRPr="004A1D62">
              <w:rPr>
                <w:rFonts w:ascii="Arial" w:eastAsia="Arial" w:hAnsi="Arial" w:cs="Arial"/>
              </w:rPr>
              <w:t xml:space="preserve">  St Helens</w:t>
            </w:r>
            <w:r>
              <w:rPr>
                <w:rFonts w:ascii="Arial" w:eastAsia="Arial" w:hAnsi="Arial" w:cs="Arial"/>
              </w:rPr>
              <w:t>’</w:t>
            </w:r>
            <w:r w:rsidRPr="004A1D62">
              <w:rPr>
                <w:rFonts w:ascii="Arial" w:eastAsia="Arial" w:hAnsi="Arial" w:cs="Arial"/>
              </w:rPr>
              <w:t xml:space="preserve"> mortality rate due to suicide remains high. </w:t>
            </w:r>
            <w:r w:rsidRPr="004A1D62">
              <w:rPr>
                <w:rFonts w:ascii="Arial" w:hAnsi="Arial" w:cs="Arial"/>
              </w:rPr>
              <w:t xml:space="preserve">Provisional quarterly (3-year rolling rates for St. Helens using local data for the Quarter 1 2024 gives a rate of 18.1 per 100,000. The rate of 18.1 relates to 82 suicides over the 3 year period, and this is the highest number recorded in a number of years. The latest published data is for the period 2020-22. St Helens rate </w:t>
            </w:r>
            <w:r>
              <w:rPr>
                <w:rFonts w:ascii="Arial" w:hAnsi="Arial" w:cs="Arial"/>
              </w:rPr>
              <w:t>was</w:t>
            </w:r>
            <w:r w:rsidRPr="004A1D62">
              <w:rPr>
                <w:rFonts w:ascii="Arial" w:hAnsi="Arial" w:cs="Arial"/>
              </w:rPr>
              <w:t xml:space="preserve"> 15.2 per 100,000 (relating to 73 suicides). Comparable rates for England and the North West were 10.3 and 11.8 respectively. </w:t>
            </w:r>
          </w:p>
          <w:p w14:paraId="09A945B2" w14:textId="12C9CD4F" w:rsidR="00CA7168" w:rsidRPr="000371A0" w:rsidRDefault="00CA7168" w:rsidP="3A4C6B66">
            <w:pPr>
              <w:pStyle w:val="ListParagraph"/>
              <w:numPr>
                <w:ilvl w:val="0"/>
                <w:numId w:val="29"/>
              </w:numPr>
              <w:spacing w:before="120" w:after="120"/>
              <w:ind w:left="714" w:hanging="357"/>
              <w:rPr>
                <w:rFonts w:ascii="Arial" w:eastAsiaTheme="minorEastAsia" w:hAnsi="Arial" w:cs="Arial"/>
              </w:rPr>
            </w:pPr>
            <w:r w:rsidRPr="005F644D">
              <w:rPr>
                <w:rFonts w:ascii="Arial" w:eastAsia="Arial" w:hAnsi="Arial" w:cs="Arial"/>
                <w:b/>
                <w:bCs/>
              </w:rPr>
              <w:t>PH-021 / PH-022</w:t>
            </w:r>
            <w:r w:rsidRPr="005F644D">
              <w:rPr>
                <w:rFonts w:ascii="Arial" w:eastAsia="Arial" w:hAnsi="Arial" w:cs="Arial"/>
              </w:rPr>
              <w:t xml:space="preserve"> </w:t>
            </w:r>
            <w:r>
              <w:rPr>
                <w:rFonts w:ascii="Arial" w:eastAsia="Arial" w:hAnsi="Arial" w:cs="Arial"/>
              </w:rPr>
              <w:t>–</w:t>
            </w:r>
            <w:r w:rsidRPr="005F644D">
              <w:rPr>
                <w:rFonts w:ascii="Arial" w:eastAsia="Arial" w:hAnsi="Arial" w:cs="Arial"/>
              </w:rPr>
              <w:t xml:space="preserve"> </w:t>
            </w:r>
            <w:r>
              <w:rPr>
                <w:rFonts w:ascii="Arial" w:eastAsia="Arial" w:hAnsi="Arial" w:cs="Arial"/>
              </w:rPr>
              <w:t>The latest available data shows that t</w:t>
            </w:r>
            <w:r w:rsidRPr="005F644D">
              <w:rPr>
                <w:rFonts w:ascii="Arial" w:eastAsiaTheme="minorEastAsia" w:hAnsi="Arial" w:cs="Arial"/>
              </w:rPr>
              <w:t xml:space="preserve">he trend of opiate drug users successfully completing treatment in St Helens without </w:t>
            </w:r>
            <w:r w:rsidRPr="005F644D">
              <w:rPr>
                <w:rFonts w:ascii="Arial" w:hAnsi="Arial" w:cs="Arial"/>
              </w:rPr>
              <w:t>re-presenting has improved since last reported</w:t>
            </w:r>
            <w:r>
              <w:rPr>
                <w:rFonts w:ascii="Arial" w:hAnsi="Arial" w:cs="Arial"/>
              </w:rPr>
              <w:t xml:space="preserve"> but is slightly below the annual target</w:t>
            </w:r>
            <w:r w:rsidRPr="005F644D">
              <w:rPr>
                <w:rFonts w:ascii="Arial" w:hAnsi="Arial" w:cs="Arial"/>
              </w:rPr>
              <w:t>. The 2023-24 Quarter 4 data showed that 5.6% of opiate users successfully completed treatment without readmission within 6 months</w:t>
            </w:r>
            <w:r>
              <w:rPr>
                <w:rFonts w:ascii="Arial" w:hAnsi="Arial" w:cs="Arial"/>
              </w:rPr>
              <w:t>.</w:t>
            </w:r>
            <w:r w:rsidRPr="005F644D">
              <w:rPr>
                <w:rFonts w:ascii="Arial" w:hAnsi="Arial" w:cs="Arial"/>
              </w:rPr>
              <w:t xml:space="preserve"> The latest data is an improvement on the previous quarter’s figure of 5.3%, but a reduction on the Quarter 4 figure of 6.2% in the previous year. The latest nationally published verified annual data is for the period 2022 and shows 4.8% of opiate users successfully completed treatment without re-presenting within 6 months, compared to 5.0% nationally.</w:t>
            </w:r>
          </w:p>
          <w:p w14:paraId="3DE361C8" w14:textId="77777777" w:rsidR="00CA7168" w:rsidRPr="000371A0" w:rsidRDefault="00CA7168" w:rsidP="00CA7168">
            <w:pPr>
              <w:pStyle w:val="ListParagraph"/>
              <w:spacing w:before="120" w:after="120"/>
              <w:ind w:left="714"/>
              <w:contextualSpacing w:val="0"/>
              <w:rPr>
                <w:rFonts w:ascii="Arial" w:eastAsiaTheme="minorEastAsia" w:hAnsi="Arial" w:cs="Arial"/>
              </w:rPr>
            </w:pPr>
            <w:r w:rsidRPr="005F644D">
              <w:rPr>
                <w:rFonts w:ascii="Arial" w:eastAsiaTheme="minorEastAsia" w:hAnsi="Arial" w:cs="Arial"/>
              </w:rPr>
              <w:t xml:space="preserve">The trend of non-opiate drug users successfully completing treatment in St Helens without </w:t>
            </w:r>
            <w:r w:rsidRPr="005F644D">
              <w:rPr>
                <w:rFonts w:ascii="Arial" w:hAnsi="Arial" w:cs="Arial"/>
              </w:rPr>
              <w:t>re-presenting has remained stable since last reporte</w:t>
            </w:r>
            <w:r>
              <w:rPr>
                <w:rFonts w:ascii="Arial" w:hAnsi="Arial" w:cs="Arial"/>
              </w:rPr>
              <w:t>d but is also slightly below the annual target</w:t>
            </w:r>
            <w:r w:rsidRPr="005F644D">
              <w:rPr>
                <w:rFonts w:ascii="Arial" w:hAnsi="Arial" w:cs="Arial"/>
              </w:rPr>
              <w:t xml:space="preserve">. The 2023-24 Quarter 4 data showed that 32.4% of non-opiate users successfully completed treatment without readmission within 6 months, which was marginally lower than the previous quarter’s figure of 32.7%. The Quarter 4 figure for 2023-24 was 31.6%. The latest nationally published verified annual data is for the period 2022 and shows 29.7% of non-opiate users successfully completed treatment without re-presenting within 6 months, compared to 31.4% nationally. </w:t>
            </w:r>
          </w:p>
          <w:p w14:paraId="75EC6248" w14:textId="77777777" w:rsidR="001322E9" w:rsidRPr="001322E9" w:rsidRDefault="00CA7168" w:rsidP="00CA7168">
            <w:pPr>
              <w:pStyle w:val="ListParagraph"/>
              <w:numPr>
                <w:ilvl w:val="0"/>
                <w:numId w:val="29"/>
              </w:numPr>
              <w:spacing w:before="120" w:after="120"/>
              <w:contextualSpacing w:val="0"/>
            </w:pPr>
            <w:r w:rsidRPr="000371A0">
              <w:rPr>
                <w:rFonts w:ascii="Arial" w:eastAsiaTheme="minorEastAsia" w:hAnsi="Arial" w:cs="Arial"/>
                <w:b/>
                <w:bCs/>
              </w:rPr>
              <w:t>PH- 023</w:t>
            </w:r>
            <w:r w:rsidRPr="000371A0">
              <w:rPr>
                <w:rFonts w:ascii="Arial" w:eastAsiaTheme="minorEastAsia" w:hAnsi="Arial" w:cs="Arial"/>
              </w:rPr>
              <w:t xml:space="preserve"> – The Quarter 1 2024-25 provisional quarterly rolling annual data for the under-75 mortality rate from CVD showed a rate of </w:t>
            </w:r>
            <w:r w:rsidRPr="000371A0">
              <w:rPr>
                <w:rFonts w:ascii="Arial" w:hAnsi="Arial" w:cs="Arial"/>
              </w:rPr>
              <w:t>114 premature deaths per 100,000 (relating to 194 deaths). The provisional Quarter 1 data has not met the target of 100 deaths per 100,000 and appears to show an increase in CVD related mortality. The latest nationally verified data was for the period 2022 and showed St Helens rate of under-75 mortality due to all cardiovascular diseases is 104 per 100,000 population. This compares to a North West average of 97.2 and an England average of 77.8.</w:t>
            </w:r>
            <w:r w:rsidRPr="000371A0">
              <w:rPr>
                <w:rFonts w:ascii="Arial" w:eastAsia="Arial" w:hAnsi="Arial" w:cs="Arial"/>
                <w:color w:val="000000" w:themeColor="text1"/>
              </w:rPr>
              <w:t xml:space="preserve"> </w:t>
            </w:r>
          </w:p>
          <w:p w14:paraId="1D1B2460" w14:textId="77777777" w:rsidR="001322E9" w:rsidRDefault="001322E9" w:rsidP="001322E9">
            <w:pPr>
              <w:spacing w:before="120" w:after="120"/>
              <w:rPr>
                <w:rFonts w:ascii="Arial" w:eastAsia="Arial" w:hAnsi="Arial" w:cs="Arial"/>
                <w:color w:val="000000" w:themeColor="text1"/>
              </w:rPr>
            </w:pPr>
          </w:p>
          <w:p w14:paraId="780D28B5" w14:textId="092CF762" w:rsidR="00234B04" w:rsidRPr="00954494" w:rsidRDefault="00CA7168" w:rsidP="001322E9">
            <w:pPr>
              <w:spacing w:before="120" w:after="120"/>
            </w:pPr>
            <w:r w:rsidRPr="001322E9">
              <w:rPr>
                <w:rFonts w:ascii="Arial" w:eastAsia="Arial" w:hAnsi="Arial" w:cs="Arial"/>
                <w:color w:val="000000" w:themeColor="text1"/>
              </w:rPr>
              <w:t xml:space="preserve"> </w:t>
            </w:r>
          </w:p>
        </w:tc>
      </w:tr>
      <w:tr w:rsidR="00970157" w14:paraId="066E4DBB" w14:textId="77777777" w:rsidTr="6A9A2D0D">
        <w:tc>
          <w:tcPr>
            <w:tcW w:w="15388" w:type="dxa"/>
            <w:gridSpan w:val="2"/>
            <w:shd w:val="clear" w:color="auto" w:fill="17B0DE"/>
          </w:tcPr>
          <w:p w14:paraId="3C864769" w14:textId="77777777" w:rsidR="00B0379D" w:rsidRDefault="00E75E6D" w:rsidP="00B0379D">
            <w:pPr>
              <w:spacing w:after="120"/>
              <w:jc w:val="both"/>
              <w:rPr>
                <w:rFonts w:ascii="Arial" w:hAnsi="Arial" w:cs="Arial"/>
                <w:color w:val="000000" w:themeColor="text1"/>
              </w:rPr>
            </w:pPr>
            <w:r w:rsidRPr="00B64BF9">
              <w:rPr>
                <w:rFonts w:ascii="Arial" w:hAnsi="Arial" w:cs="Arial"/>
                <w:b/>
                <w:bCs/>
                <w:color w:val="FFFFFF" w:themeColor="background1"/>
              </w:rPr>
              <w:t>Action for Improvement</w:t>
            </w:r>
          </w:p>
        </w:tc>
      </w:tr>
      <w:tr w:rsidR="00970157" w14:paraId="0CC4C30E" w14:textId="77777777" w:rsidTr="6A9A2D0D">
        <w:tc>
          <w:tcPr>
            <w:tcW w:w="15388" w:type="dxa"/>
            <w:gridSpan w:val="2"/>
            <w:shd w:val="clear" w:color="auto" w:fill="FFFFFF" w:themeFill="background1"/>
          </w:tcPr>
          <w:p w14:paraId="06797891" w14:textId="77777777" w:rsidR="00BB6E94" w:rsidRPr="009447C8" w:rsidRDefault="00BB6E94" w:rsidP="00BB6E94">
            <w:pPr>
              <w:pStyle w:val="ListParagraph"/>
              <w:numPr>
                <w:ilvl w:val="0"/>
                <w:numId w:val="39"/>
              </w:numPr>
              <w:spacing w:before="120" w:after="120"/>
              <w:ind w:left="714" w:hanging="357"/>
              <w:contextualSpacing w:val="0"/>
              <w:rPr>
                <w:rFonts w:ascii="Arial" w:eastAsia="Arial" w:hAnsi="Arial" w:cs="Arial"/>
              </w:rPr>
            </w:pPr>
            <w:r w:rsidRPr="6AF520B6">
              <w:rPr>
                <w:rFonts w:ascii="Arial" w:eastAsia="Arial" w:hAnsi="Arial" w:cs="Arial"/>
                <w:b/>
                <w:bCs/>
              </w:rPr>
              <w:t xml:space="preserve">PH-016 - </w:t>
            </w:r>
            <w:r w:rsidRPr="6AF520B6">
              <w:rPr>
                <w:rFonts w:ascii="Arial" w:eastAsia="Arial" w:hAnsi="Arial" w:cs="Arial"/>
              </w:rPr>
              <w:t>The data continue</w:t>
            </w:r>
            <w:r>
              <w:rPr>
                <w:rFonts w:ascii="Arial" w:eastAsia="Arial" w:hAnsi="Arial" w:cs="Arial"/>
              </w:rPr>
              <w:t>s</w:t>
            </w:r>
            <w:r w:rsidRPr="6AF520B6">
              <w:rPr>
                <w:rFonts w:ascii="Arial" w:eastAsia="Arial" w:hAnsi="Arial" w:cs="Arial"/>
              </w:rPr>
              <w:t xml:space="preserve"> along a fairly flat and stable trend, but admissions are still high.  These alcohol specific admissions represent quite sick people with existing conditions and poor health generally</w:t>
            </w:r>
            <w:r w:rsidRPr="5D4F87BC">
              <w:rPr>
                <w:rFonts w:ascii="Arial" w:eastAsia="Arial" w:hAnsi="Arial" w:cs="Arial"/>
              </w:rPr>
              <w:t>; conditions</w:t>
            </w:r>
            <w:r w:rsidRPr="6AF520B6">
              <w:rPr>
                <w:rFonts w:ascii="Arial" w:eastAsia="Arial" w:hAnsi="Arial" w:cs="Arial"/>
              </w:rPr>
              <w:t xml:space="preserve"> include mental and behavioural disorders due to alcohol, alcoholic liver disease and alcohol poisonings. The drugs and alcohol services have received investment linked to the national drugs strategy to increase capacity to help more people </w:t>
            </w:r>
            <w:r w:rsidRPr="4B9779D7">
              <w:rPr>
                <w:rFonts w:ascii="Arial" w:eastAsia="Arial" w:hAnsi="Arial" w:cs="Arial"/>
              </w:rPr>
              <w:t xml:space="preserve">who are </w:t>
            </w:r>
            <w:r w:rsidRPr="6AF520B6">
              <w:rPr>
                <w:rFonts w:ascii="Arial" w:eastAsia="Arial" w:hAnsi="Arial" w:cs="Arial"/>
              </w:rPr>
              <w:t>drinking harmfully in a community setting. The community service works closely with the Alcohol Care Team in the hospital setting to ensure that more people access support and treatment in the community to reduce the need to receive hospital care, as far as possible. However</w:t>
            </w:r>
            <w:r w:rsidRPr="4E411411">
              <w:rPr>
                <w:rFonts w:ascii="Arial" w:eastAsia="Arial" w:hAnsi="Arial" w:cs="Arial"/>
              </w:rPr>
              <w:t>,</w:t>
            </w:r>
            <w:r w:rsidRPr="6AF520B6">
              <w:rPr>
                <w:rFonts w:ascii="Arial" w:eastAsia="Arial" w:hAnsi="Arial" w:cs="Arial"/>
              </w:rPr>
              <w:t xml:space="preserve"> it is </w:t>
            </w:r>
            <w:r w:rsidRPr="4E411411">
              <w:rPr>
                <w:rFonts w:ascii="Arial" w:eastAsia="Arial" w:hAnsi="Arial" w:cs="Arial"/>
              </w:rPr>
              <w:t>important</w:t>
            </w:r>
            <w:r w:rsidRPr="6AF520B6">
              <w:rPr>
                <w:rFonts w:ascii="Arial" w:eastAsia="Arial" w:hAnsi="Arial" w:cs="Arial"/>
              </w:rPr>
              <w:t xml:space="preserve"> to recognise that this cohort of people are already experiencing significant ill health </w:t>
            </w:r>
            <w:bookmarkStart w:id="16" w:name="_Int_lfY499Ne"/>
            <w:r w:rsidRPr="6AF520B6">
              <w:rPr>
                <w:rFonts w:ascii="Arial" w:eastAsia="Arial" w:hAnsi="Arial" w:cs="Arial"/>
              </w:rPr>
              <w:t>as a result of</w:t>
            </w:r>
            <w:bookmarkEnd w:id="16"/>
            <w:r w:rsidRPr="6AF520B6">
              <w:rPr>
                <w:rFonts w:ascii="Arial" w:eastAsia="Arial" w:hAnsi="Arial" w:cs="Arial"/>
              </w:rPr>
              <w:t xml:space="preserve"> alcohol consumption and that many do already need hospital care. It may take some time before the impact of the preventive work to reduce harm in the community results in numbers falling in the hospital setting.</w:t>
            </w:r>
          </w:p>
          <w:p w14:paraId="7D12FB5C" w14:textId="77777777" w:rsidR="00BB6E94" w:rsidRPr="002947BA" w:rsidRDefault="00BB6E94" w:rsidP="00BB6E94">
            <w:pPr>
              <w:pStyle w:val="ListParagraph"/>
              <w:numPr>
                <w:ilvl w:val="0"/>
                <w:numId w:val="39"/>
              </w:numPr>
              <w:spacing w:before="120" w:after="120"/>
              <w:ind w:left="714" w:hanging="357"/>
              <w:contextualSpacing w:val="0"/>
              <w:rPr>
                <w:rFonts w:ascii="Arial" w:eastAsia="Arial" w:hAnsi="Arial" w:cs="Arial"/>
              </w:rPr>
            </w:pPr>
            <w:r w:rsidRPr="2DB0F75E">
              <w:rPr>
                <w:rFonts w:ascii="Arial" w:eastAsia="Arial" w:hAnsi="Arial" w:cs="Arial"/>
                <w:b/>
                <w:bCs/>
              </w:rPr>
              <w:t>PH-017 -</w:t>
            </w:r>
            <w:r w:rsidRPr="2DB0F75E">
              <w:rPr>
                <w:rFonts w:ascii="Arial" w:eastAsia="Arial" w:hAnsi="Arial" w:cs="Arial"/>
              </w:rPr>
              <w:t xml:space="preserve"> </w:t>
            </w:r>
            <w:r w:rsidRPr="2DB0F75E">
              <w:rPr>
                <w:rStyle w:val="normaltextrun"/>
                <w:rFonts w:ascii="Arial" w:hAnsi="Arial" w:cs="Arial"/>
                <w:shd w:val="clear" w:color="auto" w:fill="FFFFFF"/>
              </w:rPr>
              <w:t xml:space="preserve">Injuries from falls can be serious or even fatal. Although falls in the over 65s was on a generally downward trajectory since 2011-12, we are seeing a recent increase in the number of falls in 2023-24 (although still not as high as 2011-12).  Our Community Falls Prevention Service is still undergoing a tender process, it was not possible to select a provider in two previous competitive tender exercises. Market testing exercises were carried out in 2023 and 2024 to help reshape the model, with the clinical element and the strength-based exercise support being separated out and strengthened. The Falls Prevention partnership will be re-established once the tender is complete to support partners to </w:t>
            </w:r>
            <w:r w:rsidRPr="2DB0F75E">
              <w:rPr>
                <w:rStyle w:val="normaltextrun"/>
                <w:rFonts w:ascii="Arial" w:hAnsi="Arial" w:cs="Arial"/>
              </w:rPr>
              <w:t>share learning and best practice.</w:t>
            </w:r>
          </w:p>
          <w:p w14:paraId="5C41EA76" w14:textId="77777777" w:rsidR="00BB6E94" w:rsidRPr="009447C8" w:rsidRDefault="00BB6E94" w:rsidP="00BB6E94">
            <w:pPr>
              <w:pStyle w:val="ListParagraph"/>
              <w:numPr>
                <w:ilvl w:val="0"/>
                <w:numId w:val="39"/>
              </w:numPr>
              <w:spacing w:before="120" w:after="120"/>
              <w:ind w:left="714" w:hanging="357"/>
              <w:contextualSpacing w:val="0"/>
              <w:rPr>
                <w:rFonts w:ascii="Arial" w:eastAsia="Arial" w:hAnsi="Arial" w:cs="Arial"/>
              </w:rPr>
            </w:pPr>
            <w:r w:rsidRPr="43786C9E">
              <w:rPr>
                <w:rFonts w:ascii="Arial" w:eastAsia="Arial" w:hAnsi="Arial" w:cs="Arial"/>
                <w:b/>
                <w:bCs/>
              </w:rPr>
              <w:t>PH-018 -</w:t>
            </w:r>
            <w:r w:rsidRPr="43786C9E">
              <w:rPr>
                <w:rFonts w:ascii="Arial" w:eastAsia="Arial" w:hAnsi="Arial" w:cs="Arial"/>
              </w:rPr>
              <w:t xml:space="preserve"> Suicide Prevention remains one of our top priorities in the Council and across the Integrated Care Partnership Board. Local rates have unfortunately started to rise again given the current challenging environment that people are living in. The local multi agency strategy and action plan, which aligns with the ambitions of a new Cheshire &amp; Merseyside Suicide Prevention strategy was launched in September 2023 and its multi</w:t>
            </w:r>
            <w:r w:rsidRPr="58D854E4">
              <w:rPr>
                <w:rFonts w:ascii="Arial" w:eastAsia="Arial" w:hAnsi="Arial" w:cs="Arial"/>
              </w:rPr>
              <w:t>-</w:t>
            </w:r>
            <w:r w:rsidRPr="43786C9E">
              <w:rPr>
                <w:rFonts w:ascii="Arial" w:eastAsia="Arial" w:hAnsi="Arial" w:cs="Arial"/>
              </w:rPr>
              <w:t>agency actions are being implemented by the partners of the Community of Practice.  The details of the strategy, its action plan and our local partnership have been shared in previous performance reports. The launch included an ongoing 3 point pledge which represents something that we are asking everyone to do to help prevent suicides: 1) Undertake the Zero Suicide Alliance 20 minute training to know how to have a conversation if someone is feeling suicidal, 2) Download the StayAlive app to keep safe anyone experiencing suicidal thoughts and 3) Check in with at least 3 people to see how they are doing, especially if you think they may be having a tough time right now.  Additionally</w:t>
            </w:r>
            <w:r w:rsidRPr="3D132C7C">
              <w:rPr>
                <w:rFonts w:ascii="Arial" w:eastAsia="Arial" w:hAnsi="Arial" w:cs="Arial"/>
              </w:rPr>
              <w:t>,</w:t>
            </w:r>
            <w:r w:rsidRPr="43786C9E">
              <w:rPr>
                <w:rFonts w:ascii="Arial" w:eastAsia="Arial" w:hAnsi="Arial" w:cs="Arial"/>
              </w:rPr>
              <w:t xml:space="preserve"> a local suicide audit is underway to understand in detail the situations and lives of local people who have been lost to suicide. The aim of this work is to identify any further learning for partners and to identify any areas of practice that can be improved.</w:t>
            </w:r>
          </w:p>
          <w:p w14:paraId="67CC9C63" w14:textId="77777777" w:rsidR="00BB6E94" w:rsidRPr="009447C8" w:rsidRDefault="00BB6E94" w:rsidP="00BB6E94">
            <w:pPr>
              <w:pStyle w:val="ListParagraph"/>
              <w:numPr>
                <w:ilvl w:val="0"/>
                <w:numId w:val="39"/>
              </w:numPr>
              <w:spacing w:before="120" w:after="120"/>
              <w:ind w:left="714" w:hanging="357"/>
              <w:contextualSpacing w:val="0"/>
              <w:rPr>
                <w:rFonts w:ascii="Arial" w:eastAsia="Arial" w:hAnsi="Arial" w:cs="Arial"/>
              </w:rPr>
            </w:pPr>
            <w:r w:rsidRPr="18E25B1B">
              <w:rPr>
                <w:rFonts w:ascii="Arial" w:eastAsia="Arial" w:hAnsi="Arial" w:cs="Arial"/>
                <w:b/>
                <w:bCs/>
              </w:rPr>
              <w:t>PH-021 -</w:t>
            </w:r>
            <w:r w:rsidRPr="18E25B1B">
              <w:rPr>
                <w:rFonts w:ascii="Arial" w:eastAsia="Arial" w:hAnsi="Arial" w:cs="Arial"/>
              </w:rPr>
              <w:t xml:space="preserve"> Successful completion of treatment is generally very good in St Helens and we have an excellent service in place provided by CGL (Change Grow Live</w:t>
            </w:r>
            <w:r w:rsidRPr="09AD86AE">
              <w:rPr>
                <w:rFonts w:ascii="Arial" w:eastAsia="Arial" w:hAnsi="Arial" w:cs="Arial"/>
              </w:rPr>
              <w:t>).</w:t>
            </w:r>
            <w:r w:rsidRPr="18E25B1B">
              <w:rPr>
                <w:rFonts w:ascii="Arial" w:eastAsia="Arial" w:hAnsi="Arial" w:cs="Arial"/>
              </w:rPr>
              <w:t xml:space="preserve"> After a short downward trend in quarter 1 (caused by a very small number of people re-presenting to service after completing their treatment), the successful completion rate continues to be better than that of England. The service performs consistently better than other services nationally.  Our community service </w:t>
            </w:r>
            <w:r w:rsidRPr="09AD86AE">
              <w:rPr>
                <w:rFonts w:ascii="Arial" w:eastAsia="Arial" w:hAnsi="Arial" w:cs="Arial"/>
              </w:rPr>
              <w:t>understands</w:t>
            </w:r>
            <w:r w:rsidRPr="18E25B1B">
              <w:rPr>
                <w:rFonts w:ascii="Arial" w:eastAsia="Arial" w:hAnsi="Arial" w:cs="Arial"/>
              </w:rPr>
              <w:t xml:space="preserve"> the recent fluctuation and explain that they will always work with people who re-present at service after completing their treatment - making sure they are stabilised with a view to becoming abstinent </w:t>
            </w:r>
            <w:bookmarkStart w:id="17" w:name="_Int_iy5PutCw"/>
            <w:r w:rsidRPr="18E25B1B">
              <w:rPr>
                <w:rFonts w:ascii="Arial" w:eastAsia="Arial" w:hAnsi="Arial" w:cs="Arial"/>
              </w:rPr>
              <w:t>at a later date</w:t>
            </w:r>
            <w:bookmarkEnd w:id="17"/>
            <w:r w:rsidRPr="18E25B1B">
              <w:rPr>
                <w:rFonts w:ascii="Arial" w:eastAsia="Arial" w:hAnsi="Arial" w:cs="Arial"/>
              </w:rPr>
              <w:t xml:space="preserve"> when they are fully ready. The service will always work with people to reduce their risk of harm. We are </w:t>
            </w:r>
            <w:r w:rsidRPr="17837D56">
              <w:rPr>
                <w:rFonts w:ascii="Arial" w:eastAsia="Arial" w:hAnsi="Arial" w:cs="Arial"/>
              </w:rPr>
              <w:t>currently</w:t>
            </w:r>
            <w:r w:rsidRPr="18E25B1B">
              <w:rPr>
                <w:rFonts w:ascii="Arial" w:eastAsia="Arial" w:hAnsi="Arial" w:cs="Arial"/>
              </w:rPr>
              <w:t xml:space="preserve"> aware of the threat of nitazines or synthetic opioids which have been highlighted nationally and people are safer in-service than not. Every re-presentation to service is treated as a priority incident by the service.</w:t>
            </w:r>
          </w:p>
          <w:p w14:paraId="2F9874E8" w14:textId="77777777" w:rsidR="00BB6E94" w:rsidRDefault="00BB6E94" w:rsidP="00BB6E94">
            <w:pPr>
              <w:pStyle w:val="ListParagraph"/>
              <w:numPr>
                <w:ilvl w:val="0"/>
                <w:numId w:val="39"/>
              </w:numPr>
              <w:spacing w:before="120" w:after="120"/>
              <w:ind w:left="714" w:hanging="357"/>
              <w:contextualSpacing w:val="0"/>
              <w:rPr>
                <w:rFonts w:ascii="Arial" w:eastAsia="Arial" w:hAnsi="Arial" w:cs="Arial"/>
              </w:rPr>
            </w:pPr>
            <w:r w:rsidRPr="1CDBD8CE">
              <w:rPr>
                <w:rFonts w:ascii="Arial" w:eastAsia="Arial" w:hAnsi="Arial" w:cs="Arial"/>
                <w:b/>
                <w:bCs/>
              </w:rPr>
              <w:t>PH-022</w:t>
            </w:r>
            <w:r w:rsidRPr="1CDBD8CE">
              <w:rPr>
                <w:rFonts w:ascii="Arial" w:eastAsia="Arial" w:hAnsi="Arial" w:cs="Arial"/>
              </w:rPr>
              <w:t xml:space="preserve"> - Successful completion of treatment for </w:t>
            </w:r>
            <w:r w:rsidRPr="3A3C50FF">
              <w:rPr>
                <w:rFonts w:ascii="Arial" w:eastAsia="Arial" w:hAnsi="Arial" w:cs="Arial"/>
              </w:rPr>
              <w:t>non-opiate</w:t>
            </w:r>
            <w:r w:rsidRPr="1CDBD8CE">
              <w:rPr>
                <w:rFonts w:ascii="Arial" w:eastAsia="Arial" w:hAnsi="Arial" w:cs="Arial"/>
              </w:rPr>
              <w:t xml:space="preserve"> users in St Helens is better than that seen in national figures. The overall downward trend that is seen nationally is affected by an overall increase in the numbers of people with non-opiate needs now accessing the services they need through the additional work and capacity relating to the national drugs strategy. It is important to remember that any dip in the rates of successful completions will represent people returning to service within 6 months after their treatment is complete. These people will still require support from the service and will always be welcomed back and restabilised with a view to abstinence when they </w:t>
            </w:r>
            <w:r w:rsidRPr="2A71C749">
              <w:rPr>
                <w:rFonts w:ascii="Arial" w:eastAsia="Arial" w:hAnsi="Arial" w:cs="Arial"/>
              </w:rPr>
              <w:t>are</w:t>
            </w:r>
            <w:r w:rsidRPr="1CDBD8CE">
              <w:rPr>
                <w:rFonts w:ascii="Arial" w:eastAsia="Arial" w:hAnsi="Arial" w:cs="Arial"/>
              </w:rPr>
              <w:t xml:space="preserve"> ready.</w:t>
            </w:r>
          </w:p>
          <w:p w14:paraId="19668338" w14:textId="7FAF8A84" w:rsidR="00B0379D" w:rsidRPr="00FA1490" w:rsidRDefault="00BB6E94" w:rsidP="00BB6E94">
            <w:pPr>
              <w:pStyle w:val="ListParagraph"/>
              <w:numPr>
                <w:ilvl w:val="0"/>
                <w:numId w:val="39"/>
              </w:numPr>
              <w:spacing w:before="120" w:after="120"/>
              <w:ind w:left="714" w:hanging="357"/>
              <w:contextualSpacing w:val="0"/>
              <w:rPr>
                <w:rStyle w:val="normaltextrun"/>
                <w:rFonts w:ascii="Arial" w:eastAsia="Arial" w:hAnsi="Arial" w:cs="Arial"/>
              </w:rPr>
            </w:pPr>
            <w:r w:rsidRPr="00596530">
              <w:rPr>
                <w:rFonts w:ascii="Arial" w:eastAsia="Arial" w:hAnsi="Arial" w:cs="Arial"/>
                <w:b/>
              </w:rPr>
              <w:t>PH-023</w:t>
            </w:r>
            <w:r w:rsidRPr="00596530">
              <w:rPr>
                <w:rFonts w:ascii="Arial" w:eastAsia="Arial" w:hAnsi="Arial" w:cs="Arial"/>
              </w:rPr>
              <w:t xml:space="preserve"> - T</w:t>
            </w:r>
            <w:r w:rsidRPr="00596530">
              <w:rPr>
                <w:rStyle w:val="normaltextrun"/>
                <w:rFonts w:ascii="Arial" w:hAnsi="Arial" w:cs="Arial"/>
                <w:shd w:val="clear" w:color="auto" w:fill="FFFFFF"/>
              </w:rPr>
              <w:t>he general trend has shown CVD mortality to be increasing and above the North West and National Averages. As such, CVD prevention remains a priority and work is on-going to increase the number of blood pressure checks being completed within various settings across the borough through the health and wellbeing champions project and a project with the voluntary sector.  The NHS Health Check programme is currently being reviewed and revised to ensure it continues to be effective and that we are targeting those most at risk.  We are also piloting doing some blood pressure checks with fans attending Saints games to target some men who may be less likely to attend health checks in GP practices.</w:t>
            </w:r>
            <w:r w:rsidR="4B434290" w:rsidRPr="00FA1490">
              <w:rPr>
                <w:rStyle w:val="normaltextrun"/>
                <w:rFonts w:ascii="Arial" w:hAnsi="Arial" w:cs="Arial"/>
                <w:shd w:val="clear" w:color="auto" w:fill="FFFFFF"/>
              </w:rPr>
              <w:t xml:space="preserve"> </w:t>
            </w:r>
          </w:p>
        </w:tc>
      </w:tr>
    </w:tbl>
    <w:p w14:paraId="737B9D0A" w14:textId="77777777" w:rsidR="00B0379D" w:rsidRDefault="00B0379D" w:rsidP="00B0379D">
      <w:pPr>
        <w:spacing w:after="120" w:line="240" w:lineRule="auto"/>
        <w:ind w:left="3"/>
        <w:jc w:val="both"/>
        <w:rPr>
          <w:rFonts w:ascii="Arial" w:eastAsiaTheme="majorEastAsia" w:hAnsi="Arial" w:cs="Arial"/>
        </w:rPr>
      </w:pPr>
    </w:p>
    <w:p w14:paraId="6844883C" w14:textId="77777777" w:rsidR="00B0379D" w:rsidRPr="006F5A8E" w:rsidRDefault="00E75E6D" w:rsidP="00B0379D">
      <w:pPr>
        <w:spacing w:after="120" w:line="240" w:lineRule="auto"/>
        <w:jc w:val="both"/>
        <w:rPr>
          <w:rFonts w:ascii="Arial" w:hAnsi="Arial" w:cs="Arial"/>
        </w:rPr>
      </w:pPr>
      <w:r>
        <w:rPr>
          <w:rFonts w:ascii="Arial" w:hAnsi="Arial" w:cs="Arial"/>
        </w:rPr>
        <w:t>For more information about individual performance indicators that support the achievement of these outcomes please see the scorecard.</w:t>
      </w:r>
    </w:p>
    <w:p w14:paraId="282B4C86" w14:textId="77777777" w:rsidR="00B0379D" w:rsidRPr="003340DC" w:rsidRDefault="00B0379D" w:rsidP="00B0379D">
      <w:pPr>
        <w:pStyle w:val="ListBullet"/>
        <w:numPr>
          <w:ilvl w:val="0"/>
          <w:numId w:val="0"/>
        </w:numPr>
        <w:jc w:val="both"/>
        <w:rPr>
          <w:rStyle w:val="normaltextrun"/>
          <w:rFonts w:ascii="Arial" w:hAnsi="Arial" w:cs="Arial"/>
          <w:color w:val="17B0DE"/>
        </w:rPr>
        <w:sectPr w:rsidR="00B0379D" w:rsidRPr="003340DC" w:rsidSect="00EC2ED3">
          <w:pgSz w:w="16838" w:h="11906" w:orient="landscape"/>
          <w:pgMar w:top="720" w:right="720" w:bottom="720" w:left="720" w:header="708" w:footer="708" w:gutter="0"/>
          <w:cols w:space="708"/>
          <w:docGrid w:linePitch="360"/>
        </w:sectPr>
      </w:pPr>
    </w:p>
    <w:p w14:paraId="20238BA5" w14:textId="77777777" w:rsidR="00B0379D" w:rsidRDefault="00B0379D" w:rsidP="00B0379D">
      <w:pPr>
        <w:pStyle w:val="paragraph"/>
        <w:spacing w:before="0" w:beforeAutospacing="0" w:after="0" w:afterAutospacing="0"/>
        <w:textAlignment w:val="baseline"/>
        <w:rPr>
          <w:rStyle w:val="normaltextrun"/>
          <w:rFonts w:ascii="Arial" w:hAnsi="Arial" w:cs="Arial"/>
          <w:sz w:val="22"/>
          <w:szCs w:val="22"/>
        </w:rPr>
      </w:pPr>
    </w:p>
    <w:p w14:paraId="0EB1000D" w14:textId="77777777" w:rsidR="00B0379D" w:rsidRPr="00CA58E1" w:rsidRDefault="00E75E6D" w:rsidP="00B0379D">
      <w:pPr>
        <w:pStyle w:val="Heading2"/>
        <w:rPr>
          <w:b/>
          <w:sz w:val="32"/>
          <w:szCs w:val="32"/>
        </w:rPr>
      </w:pPr>
      <w:bookmarkStart w:id="18" w:name="_Toc174698100"/>
      <w:r w:rsidRPr="00CA58E1">
        <w:rPr>
          <w:rStyle w:val="normaltextrun"/>
          <w:b/>
          <w:color w:val="9136AF"/>
          <w:sz w:val="32"/>
          <w:szCs w:val="32"/>
        </w:rPr>
        <w:t>Priority 3 - Create safe and strong communities and neighbourhoods for all</w:t>
      </w:r>
      <w:bookmarkEnd w:id="18"/>
      <w:r w:rsidRPr="00CA58E1">
        <w:rPr>
          <w:rStyle w:val="eop"/>
          <w:b/>
          <w:color w:val="9136AF"/>
          <w:sz w:val="32"/>
          <w:szCs w:val="32"/>
        </w:rPr>
        <w:t> </w:t>
      </w:r>
    </w:p>
    <w:p w14:paraId="375BB4A9" w14:textId="77777777" w:rsidR="00B0379D" w:rsidRDefault="00E75E6D" w:rsidP="00B0379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2E8B3D" w14:textId="77777777" w:rsidR="00B0379D" w:rsidRPr="005B7130" w:rsidRDefault="00E75E6D" w:rsidP="00B0379D">
      <w:pPr>
        <w:pStyle w:val="paragraph"/>
        <w:spacing w:before="0" w:beforeAutospacing="0" w:after="0" w:afterAutospacing="0"/>
        <w:textAlignment w:val="baseline"/>
        <w:rPr>
          <w:rStyle w:val="eop"/>
          <w:rFonts w:ascii="Arial" w:hAnsi="Arial" w:cs="Arial"/>
          <w:color w:val="9136AF"/>
        </w:rPr>
      </w:pPr>
      <w:r w:rsidRPr="005B7130">
        <w:rPr>
          <w:rStyle w:val="normaltextrun"/>
          <w:rFonts w:ascii="Arial" w:hAnsi="Arial" w:cs="Arial"/>
          <w:b/>
          <w:color w:val="9136AF"/>
        </w:rPr>
        <w:t>Outcomes</w:t>
      </w:r>
    </w:p>
    <w:p w14:paraId="18A086D1" w14:textId="77777777" w:rsidR="00B0379D" w:rsidRPr="002E7A57" w:rsidRDefault="00E75E6D" w:rsidP="00B0379D">
      <w:pPr>
        <w:pStyle w:val="paragraph"/>
        <w:spacing w:before="0" w:beforeAutospacing="0" w:after="0" w:afterAutospacing="0"/>
        <w:textAlignment w:val="baseline"/>
        <w:rPr>
          <w:rFonts w:ascii="Segoe UI" w:hAnsi="Segoe UI" w:cs="Segoe UI"/>
          <w:color w:val="2F5496"/>
          <w:sz w:val="22"/>
          <w:szCs w:val="22"/>
        </w:rPr>
      </w:pPr>
      <w:r w:rsidRPr="00DE7848">
        <w:rPr>
          <w:rStyle w:val="eop"/>
          <w:b/>
          <w:noProof/>
          <w:color w:val="9136AF"/>
        </w:rPr>
        <w:drawing>
          <wp:anchor distT="0" distB="0" distL="114300" distR="114300" simplePos="0" relativeHeight="251658246" behindDoc="1" locked="0" layoutInCell="1" allowOverlap="1" wp14:anchorId="56C4D723" wp14:editId="587E5007">
            <wp:simplePos x="0" y="0"/>
            <wp:positionH relativeFrom="column">
              <wp:posOffset>5219369</wp:posOffset>
            </wp:positionH>
            <wp:positionV relativeFrom="paragraph">
              <wp:posOffset>11706</wp:posOffset>
            </wp:positionV>
            <wp:extent cx="1223010" cy="1136015"/>
            <wp:effectExtent l="0" t="0" r="0" b="6985"/>
            <wp:wrapTight wrapText="bothSides">
              <wp:wrapPolygon edited="0">
                <wp:start x="2692" y="0"/>
                <wp:lineTo x="1682" y="1449"/>
                <wp:lineTo x="0" y="6882"/>
                <wp:lineTo x="0" y="14126"/>
                <wp:lineTo x="1346" y="21371"/>
                <wp:lineTo x="19850" y="21371"/>
                <wp:lineTo x="21196" y="14126"/>
                <wp:lineTo x="21196" y="6882"/>
                <wp:lineTo x="19514" y="1449"/>
                <wp:lineTo x="18505" y="0"/>
                <wp:lineTo x="2692" y="0"/>
              </wp:wrapPolygon>
            </wp:wrapTight>
            <wp:docPr id="1889083205" name="Picture 52" descr="P11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3205" name="Picture 1889083205" descr="P1180#y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22301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0C9BA" w14:textId="77777777" w:rsidR="00B0379D" w:rsidRDefault="00E75E6D" w:rsidP="00726825">
      <w:pPr>
        <w:pStyle w:val="paragraph"/>
        <w:numPr>
          <w:ilvl w:val="0"/>
          <w:numId w:val="21"/>
        </w:numPr>
        <w:spacing w:before="0" w:beforeAutospacing="0" w:after="120" w:afterAutospacing="0"/>
        <w:ind w:left="714" w:hanging="357"/>
        <w:rPr>
          <w:rFonts w:ascii="Arial" w:eastAsia="Arial" w:hAnsi="Arial" w:cs="Arial"/>
          <w:color w:val="000000" w:themeColor="text1"/>
          <w:sz w:val="22"/>
          <w:szCs w:val="22"/>
        </w:rPr>
      </w:pPr>
      <w:r w:rsidRPr="4276CE28">
        <w:rPr>
          <w:rStyle w:val="eop"/>
          <w:rFonts w:ascii="Arial" w:eastAsia="Arial" w:hAnsi="Arial" w:cs="Arial"/>
          <w:color w:val="000000" w:themeColor="text1"/>
          <w:sz w:val="22"/>
          <w:szCs w:val="22"/>
        </w:rPr>
        <w:t xml:space="preserve">Our communities and neighbourhoods are safe, strong, and caring.  </w:t>
      </w:r>
    </w:p>
    <w:p w14:paraId="5927E18D" w14:textId="77777777" w:rsidR="00B0379D" w:rsidRDefault="00E75E6D" w:rsidP="00726825">
      <w:pPr>
        <w:pStyle w:val="paragraph"/>
        <w:numPr>
          <w:ilvl w:val="0"/>
          <w:numId w:val="21"/>
        </w:numPr>
        <w:spacing w:before="0" w:beforeAutospacing="0" w:after="120" w:afterAutospacing="0"/>
        <w:ind w:left="714" w:hanging="357"/>
        <w:rPr>
          <w:rFonts w:ascii="Arial" w:eastAsia="Arial" w:hAnsi="Arial" w:cs="Arial"/>
          <w:sz w:val="22"/>
          <w:szCs w:val="22"/>
        </w:rPr>
      </w:pPr>
      <w:r w:rsidRPr="4276CE28">
        <w:rPr>
          <w:rStyle w:val="eop"/>
          <w:rFonts w:ascii="Arial" w:eastAsia="Arial" w:hAnsi="Arial" w:cs="Arial"/>
          <w:sz w:val="22"/>
          <w:szCs w:val="22"/>
        </w:rPr>
        <w:t>Our voluntary and community groups are better supported to make a difference.</w:t>
      </w:r>
    </w:p>
    <w:p w14:paraId="6A04B729" w14:textId="77777777" w:rsidR="00B0379D" w:rsidRDefault="00E75E6D" w:rsidP="00726825">
      <w:pPr>
        <w:pStyle w:val="paragraph"/>
        <w:numPr>
          <w:ilvl w:val="0"/>
          <w:numId w:val="21"/>
        </w:numPr>
        <w:spacing w:before="0" w:beforeAutospacing="0" w:after="240" w:afterAutospacing="0"/>
        <w:ind w:left="714" w:hanging="357"/>
        <w:rPr>
          <w:rStyle w:val="eop"/>
          <w:rFonts w:ascii="Arial" w:eastAsia="Arial" w:hAnsi="Arial" w:cs="Arial"/>
          <w:sz w:val="22"/>
          <w:szCs w:val="22"/>
        </w:rPr>
      </w:pPr>
      <w:r w:rsidRPr="4276CE28">
        <w:rPr>
          <w:rStyle w:val="eop"/>
          <w:rFonts w:ascii="Arial" w:eastAsia="Arial" w:hAnsi="Arial" w:cs="Arial"/>
          <w:sz w:val="22"/>
          <w:szCs w:val="22"/>
        </w:rPr>
        <w:t>Our neighbourhoods provide the right homes for all.</w:t>
      </w:r>
    </w:p>
    <w:p w14:paraId="51F39109" w14:textId="77777777" w:rsidR="00B0379D" w:rsidRPr="006744E4" w:rsidRDefault="00E75E6D" w:rsidP="00B0379D">
      <w:pPr>
        <w:pStyle w:val="ListBullet"/>
        <w:numPr>
          <w:ilvl w:val="0"/>
          <w:numId w:val="0"/>
        </w:numPr>
        <w:spacing w:after="240" w:line="240" w:lineRule="auto"/>
        <w:contextualSpacing w:val="0"/>
        <w:rPr>
          <w:rStyle w:val="normaltextrun"/>
          <w:rFonts w:ascii="Arial" w:hAnsi="Arial" w:cs="Arial"/>
          <w:b/>
          <w:bCs/>
          <w:color w:val="9136AF"/>
          <w:sz w:val="24"/>
          <w:szCs w:val="24"/>
        </w:rPr>
      </w:pPr>
      <w:r w:rsidRPr="006744E4">
        <w:rPr>
          <w:rStyle w:val="normaltextrun"/>
          <w:rFonts w:ascii="Arial" w:hAnsi="Arial" w:cs="Arial"/>
          <w:b/>
          <w:bCs/>
          <w:color w:val="9136AF"/>
          <w:sz w:val="24"/>
          <w:szCs w:val="24"/>
        </w:rPr>
        <w:t>Overview of priority performance</w:t>
      </w:r>
    </w:p>
    <w:p w14:paraId="080FEAC1" w14:textId="11DE5BEF" w:rsidR="00B0379D" w:rsidRPr="00586FDF" w:rsidRDefault="00E75E6D" w:rsidP="00B0379D">
      <w:pPr>
        <w:spacing w:after="240" w:line="240" w:lineRule="auto"/>
        <w:jc w:val="both"/>
        <w:rPr>
          <w:rFonts w:ascii="Arial" w:hAnsi="Arial" w:cs="Arial"/>
          <w:color w:val="FF0000"/>
        </w:rPr>
      </w:pPr>
      <w:r w:rsidRPr="00B8AFBC">
        <w:rPr>
          <w:rFonts w:ascii="Arial" w:hAnsi="Arial" w:cs="Arial"/>
        </w:rPr>
        <w:t xml:space="preserve">The tables below show provide an overview of performance at </w:t>
      </w:r>
      <w:r w:rsidR="008F0D3C" w:rsidRPr="00B8AFBC">
        <w:rPr>
          <w:rFonts w:ascii="Arial" w:hAnsi="Arial" w:cs="Arial"/>
        </w:rPr>
        <w:t>Q</w:t>
      </w:r>
      <w:r w:rsidR="00FC00BF">
        <w:rPr>
          <w:rFonts w:ascii="Arial" w:hAnsi="Arial" w:cs="Arial"/>
        </w:rPr>
        <w:t>uarter</w:t>
      </w:r>
      <w:r w:rsidR="008F0D3C" w:rsidRPr="00B8AFBC">
        <w:rPr>
          <w:rFonts w:ascii="Arial" w:hAnsi="Arial" w:cs="Arial"/>
        </w:rPr>
        <w:t>1 202</w:t>
      </w:r>
      <w:r w:rsidR="00BE7ECD">
        <w:rPr>
          <w:rFonts w:ascii="Arial" w:hAnsi="Arial" w:cs="Arial"/>
        </w:rPr>
        <w:t>4</w:t>
      </w:r>
      <w:r w:rsidR="006F6B04">
        <w:rPr>
          <w:rFonts w:ascii="Arial" w:hAnsi="Arial" w:cs="Arial"/>
        </w:rPr>
        <w:t>-</w:t>
      </w:r>
      <w:r w:rsidR="006072AE">
        <w:rPr>
          <w:rFonts w:ascii="Arial" w:hAnsi="Arial" w:cs="Arial"/>
        </w:rPr>
        <w:t>2</w:t>
      </w:r>
      <w:r w:rsidR="00BE7ECD">
        <w:rPr>
          <w:rFonts w:ascii="Arial" w:hAnsi="Arial" w:cs="Arial"/>
        </w:rPr>
        <w:t>5</w:t>
      </w:r>
      <w:r w:rsidRPr="00B8AFBC">
        <w:rPr>
          <w:rFonts w:ascii="Arial" w:hAnsi="Arial" w:cs="Arial"/>
        </w:rPr>
        <w:t xml:space="preserve"> for the indicators reported. </w:t>
      </w:r>
    </w:p>
    <w:p w14:paraId="65AD917A" w14:textId="77777777" w:rsidR="00B0379D" w:rsidRPr="00A86ECC" w:rsidRDefault="00E75E6D" w:rsidP="00B0379D">
      <w:pPr>
        <w:spacing w:after="120" w:line="240" w:lineRule="auto"/>
        <w:jc w:val="both"/>
        <w:rPr>
          <w:rFonts w:ascii="Arial" w:hAnsi="Arial" w:cs="Arial"/>
          <w:b/>
          <w:bCs/>
          <w:color w:val="9136AF"/>
        </w:rPr>
      </w:pPr>
      <w:r w:rsidRPr="00A86ECC">
        <w:rPr>
          <w:rFonts w:ascii="Arial" w:hAnsi="Arial" w:cs="Arial"/>
          <w:b/>
          <w:bCs/>
          <w:color w:val="9136AF"/>
        </w:rPr>
        <w:t>Performance Against Target</w:t>
      </w:r>
    </w:p>
    <w:tbl>
      <w:tblPr>
        <w:tblStyle w:val="TableGrid"/>
        <w:tblW w:w="0" w:type="auto"/>
        <w:tblBorders>
          <w:top w:val="single" w:sz="4" w:space="0" w:color="9136AF"/>
          <w:left w:val="single" w:sz="4" w:space="0" w:color="9136AF"/>
          <w:bottom w:val="single" w:sz="4" w:space="0" w:color="9136AF"/>
          <w:right w:val="single" w:sz="4" w:space="0" w:color="9136AF"/>
          <w:insideH w:val="single" w:sz="4" w:space="0" w:color="9136AF"/>
          <w:insideV w:val="single" w:sz="4" w:space="0" w:color="9136AF"/>
        </w:tblBorders>
        <w:tblLayout w:type="fixed"/>
        <w:tblLook w:val="04A0" w:firstRow="1" w:lastRow="0" w:firstColumn="1" w:lastColumn="0" w:noHBand="0" w:noVBand="1"/>
      </w:tblPr>
      <w:tblGrid>
        <w:gridCol w:w="2122"/>
        <w:gridCol w:w="2551"/>
        <w:gridCol w:w="2552"/>
        <w:gridCol w:w="2551"/>
      </w:tblGrid>
      <w:tr w:rsidR="00970157" w14:paraId="5F8540E9" w14:textId="77777777" w:rsidTr="00B8AFBC">
        <w:tc>
          <w:tcPr>
            <w:tcW w:w="2122" w:type="dxa"/>
            <w:shd w:val="clear" w:color="auto" w:fill="9136AF"/>
          </w:tcPr>
          <w:p w14:paraId="4EB2EB55"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9136AF"/>
          </w:tcPr>
          <w:p w14:paraId="40FAF8F1"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9136AF"/>
          </w:tcPr>
          <w:p w14:paraId="772CFFF4"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9136AF"/>
          </w:tcPr>
          <w:p w14:paraId="14641BA5"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57C52673" w14:textId="77777777" w:rsidTr="00B8AFBC">
        <w:tc>
          <w:tcPr>
            <w:tcW w:w="2122" w:type="dxa"/>
            <w:shd w:val="clear" w:color="auto" w:fill="FFFFFF" w:themeFill="background1"/>
            <w:vAlign w:val="center"/>
          </w:tcPr>
          <w:p w14:paraId="16181EC9" w14:textId="5EF8E1F9" w:rsidR="00B0379D" w:rsidRPr="00213F1A" w:rsidRDefault="00E75E6D" w:rsidP="00B8AFBC">
            <w:pPr>
              <w:spacing w:before="40" w:after="120"/>
              <w:jc w:val="center"/>
              <w:rPr>
                <w:rFonts w:ascii="Arial" w:eastAsia="Arial" w:hAnsi="Arial" w:cs="Arial"/>
              </w:rPr>
            </w:pPr>
            <w:r w:rsidRPr="00213F1A">
              <w:rPr>
                <w:rFonts w:ascii="Arial" w:eastAsia="Arial" w:hAnsi="Arial" w:cs="Arial"/>
              </w:rPr>
              <w:t>1</w:t>
            </w:r>
            <w:r w:rsidR="00892FA8" w:rsidRPr="00213F1A">
              <w:rPr>
                <w:rFonts w:ascii="Arial" w:eastAsia="Arial" w:hAnsi="Arial" w:cs="Arial"/>
              </w:rPr>
              <w:t>4</w:t>
            </w:r>
          </w:p>
        </w:tc>
        <w:tc>
          <w:tcPr>
            <w:tcW w:w="2551" w:type="dxa"/>
            <w:shd w:val="clear" w:color="auto" w:fill="FFFFFF" w:themeFill="background1"/>
            <w:vAlign w:val="center"/>
          </w:tcPr>
          <w:p w14:paraId="3661CD54" w14:textId="3FB27FF0" w:rsidR="00B0379D" w:rsidRPr="00213F1A" w:rsidRDefault="00213F1A" w:rsidP="00B8AFBC">
            <w:pPr>
              <w:spacing w:before="40" w:after="120"/>
              <w:jc w:val="center"/>
              <w:rPr>
                <w:rFonts w:ascii="Arial" w:eastAsia="Arial" w:hAnsi="Arial" w:cs="Arial"/>
              </w:rPr>
            </w:pPr>
            <w:r w:rsidRPr="00213F1A">
              <w:rPr>
                <w:rFonts w:ascii="Arial" w:eastAsia="Arial" w:hAnsi="Arial" w:cs="Arial"/>
              </w:rPr>
              <w:t>71</w:t>
            </w:r>
            <w:r w:rsidR="00E75E6D" w:rsidRPr="00213F1A">
              <w:rPr>
                <w:rFonts w:ascii="Arial" w:eastAsia="Arial" w:hAnsi="Arial" w:cs="Arial"/>
              </w:rPr>
              <w:t>% (</w:t>
            </w:r>
            <w:r w:rsidR="00DB12B9" w:rsidRPr="00213F1A">
              <w:rPr>
                <w:rFonts w:ascii="Arial" w:eastAsia="Arial" w:hAnsi="Arial" w:cs="Arial"/>
              </w:rPr>
              <w:t>10</w:t>
            </w:r>
            <w:r w:rsidR="00E75E6D" w:rsidRPr="00213F1A">
              <w:rPr>
                <w:rFonts w:ascii="Arial" w:eastAsia="Arial" w:hAnsi="Arial" w:cs="Arial"/>
              </w:rPr>
              <w:t>)</w:t>
            </w:r>
          </w:p>
        </w:tc>
        <w:tc>
          <w:tcPr>
            <w:tcW w:w="2552" w:type="dxa"/>
            <w:shd w:val="clear" w:color="auto" w:fill="FFFFFF" w:themeFill="background1"/>
            <w:vAlign w:val="center"/>
          </w:tcPr>
          <w:p w14:paraId="610ECDDB" w14:textId="447C7BF3" w:rsidR="00B0379D" w:rsidRPr="00213F1A" w:rsidRDefault="00213F1A" w:rsidP="00B8AFBC">
            <w:pPr>
              <w:spacing w:before="40" w:after="120"/>
              <w:jc w:val="center"/>
              <w:rPr>
                <w:rFonts w:ascii="Arial" w:eastAsia="Arial" w:hAnsi="Arial" w:cs="Arial"/>
              </w:rPr>
            </w:pPr>
            <w:r w:rsidRPr="00213F1A">
              <w:rPr>
                <w:rFonts w:ascii="Arial" w:eastAsia="Arial" w:hAnsi="Arial" w:cs="Arial"/>
              </w:rPr>
              <w:t>0</w:t>
            </w:r>
            <w:r w:rsidR="00E75E6D" w:rsidRPr="00213F1A">
              <w:rPr>
                <w:rFonts w:ascii="Arial" w:eastAsia="Arial" w:hAnsi="Arial" w:cs="Arial"/>
              </w:rPr>
              <w:t>% (</w:t>
            </w:r>
            <w:r w:rsidR="00DB12B9" w:rsidRPr="00213F1A">
              <w:rPr>
                <w:rFonts w:ascii="Arial" w:eastAsia="Arial" w:hAnsi="Arial" w:cs="Arial"/>
              </w:rPr>
              <w:t>0</w:t>
            </w:r>
            <w:r w:rsidR="00E75E6D" w:rsidRPr="00213F1A">
              <w:rPr>
                <w:rFonts w:ascii="Arial" w:eastAsia="Arial" w:hAnsi="Arial" w:cs="Arial"/>
              </w:rPr>
              <w:t>)</w:t>
            </w:r>
          </w:p>
        </w:tc>
        <w:tc>
          <w:tcPr>
            <w:tcW w:w="2551" w:type="dxa"/>
            <w:shd w:val="clear" w:color="auto" w:fill="FFFFFF" w:themeFill="background1"/>
            <w:vAlign w:val="center"/>
          </w:tcPr>
          <w:p w14:paraId="0FFC2932" w14:textId="6A2CC294" w:rsidR="00B0379D" w:rsidRPr="00213F1A" w:rsidRDefault="00D8178F" w:rsidP="00B8AFBC">
            <w:pPr>
              <w:spacing w:before="40" w:after="120"/>
              <w:jc w:val="center"/>
              <w:rPr>
                <w:rFonts w:ascii="Arial" w:eastAsia="Arial" w:hAnsi="Arial" w:cs="Arial"/>
              </w:rPr>
            </w:pPr>
            <w:r w:rsidRPr="00213F1A">
              <w:rPr>
                <w:rFonts w:ascii="Arial" w:eastAsia="Arial" w:hAnsi="Arial" w:cs="Arial"/>
              </w:rPr>
              <w:t>29</w:t>
            </w:r>
            <w:r w:rsidR="00E75E6D" w:rsidRPr="00213F1A">
              <w:rPr>
                <w:rFonts w:ascii="Arial" w:eastAsia="Arial" w:hAnsi="Arial" w:cs="Arial"/>
              </w:rPr>
              <w:t>% (</w:t>
            </w:r>
            <w:r w:rsidR="00DB12B9" w:rsidRPr="00213F1A">
              <w:rPr>
                <w:rFonts w:ascii="Arial" w:eastAsia="Arial" w:hAnsi="Arial" w:cs="Arial"/>
              </w:rPr>
              <w:t>4</w:t>
            </w:r>
            <w:r w:rsidR="00E75E6D" w:rsidRPr="00213F1A">
              <w:rPr>
                <w:rFonts w:ascii="Arial" w:eastAsia="Arial" w:hAnsi="Arial" w:cs="Arial"/>
              </w:rPr>
              <w:t>)</w:t>
            </w:r>
          </w:p>
        </w:tc>
      </w:tr>
    </w:tbl>
    <w:p w14:paraId="64A2E7E6" w14:textId="5AB4F42A" w:rsidR="77310A43" w:rsidRDefault="77310A43"/>
    <w:p w14:paraId="4160E7F6" w14:textId="77777777" w:rsidR="00B0379D" w:rsidRDefault="00B0379D" w:rsidP="00B0379D">
      <w:pPr>
        <w:spacing w:after="120" w:line="240" w:lineRule="auto"/>
        <w:jc w:val="both"/>
        <w:rPr>
          <w:rFonts w:ascii="Arial" w:hAnsi="Arial" w:cs="Arial"/>
          <w:b/>
          <w:bCs/>
          <w:color w:val="ED712C"/>
          <w:sz w:val="24"/>
          <w:szCs w:val="24"/>
        </w:rPr>
      </w:pPr>
    </w:p>
    <w:p w14:paraId="3DAFAE92" w14:textId="77777777" w:rsidR="00B0379D" w:rsidRPr="00A86ECC" w:rsidRDefault="00E75E6D" w:rsidP="00B0379D">
      <w:pPr>
        <w:rPr>
          <w:b/>
          <w:bCs/>
          <w:color w:val="9136AF"/>
        </w:rPr>
      </w:pPr>
      <w:r w:rsidRPr="00814AE0">
        <w:rPr>
          <w:rFonts w:ascii="Arial" w:hAnsi="Arial" w:cs="Arial"/>
          <w:b/>
          <w:color w:val="9136AF"/>
        </w:rPr>
        <w:t>The Performance Trend</w:t>
      </w:r>
    </w:p>
    <w:tbl>
      <w:tblPr>
        <w:tblStyle w:val="TableGrid"/>
        <w:tblW w:w="0" w:type="auto"/>
        <w:tblBorders>
          <w:top w:val="single" w:sz="4" w:space="0" w:color="9136AF"/>
          <w:left w:val="single" w:sz="4" w:space="0" w:color="9136AF"/>
          <w:bottom w:val="single" w:sz="4" w:space="0" w:color="9136AF"/>
          <w:right w:val="single" w:sz="4" w:space="0" w:color="9136AF"/>
          <w:insideH w:val="single" w:sz="4" w:space="0" w:color="9136AF"/>
          <w:insideV w:val="single" w:sz="4" w:space="0" w:color="9136AF"/>
        </w:tblBorders>
        <w:tblLayout w:type="fixed"/>
        <w:tblLook w:val="04A0" w:firstRow="1" w:lastRow="0" w:firstColumn="1" w:lastColumn="0" w:noHBand="0" w:noVBand="1"/>
      </w:tblPr>
      <w:tblGrid>
        <w:gridCol w:w="2122"/>
        <w:gridCol w:w="2551"/>
        <w:gridCol w:w="2552"/>
        <w:gridCol w:w="2551"/>
      </w:tblGrid>
      <w:tr w:rsidR="00970157" w14:paraId="53032BA2" w14:textId="77777777" w:rsidTr="00B8AFBC">
        <w:tc>
          <w:tcPr>
            <w:tcW w:w="2122" w:type="dxa"/>
            <w:shd w:val="clear" w:color="auto" w:fill="9136AF"/>
          </w:tcPr>
          <w:p w14:paraId="17C8E797"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2551" w:type="dxa"/>
            <w:shd w:val="clear" w:color="auto" w:fill="9136AF"/>
          </w:tcPr>
          <w:p w14:paraId="11694973"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improved on last year</w:t>
            </w:r>
          </w:p>
        </w:tc>
        <w:tc>
          <w:tcPr>
            <w:tcW w:w="2552" w:type="dxa"/>
            <w:shd w:val="clear" w:color="auto" w:fill="9136AF"/>
          </w:tcPr>
          <w:p w14:paraId="0F338018"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worse than last year</w:t>
            </w:r>
          </w:p>
        </w:tc>
        <w:tc>
          <w:tcPr>
            <w:tcW w:w="2551" w:type="dxa"/>
            <w:shd w:val="clear" w:color="auto" w:fill="9136AF"/>
          </w:tcPr>
          <w:p w14:paraId="45C5DEDA" w14:textId="77777777" w:rsidR="00B0379D" w:rsidRPr="006017E9" w:rsidRDefault="00E75E6D" w:rsidP="00B0379D">
            <w:pPr>
              <w:spacing w:before="40" w:after="120"/>
              <w:rPr>
                <w:rFonts w:ascii="Arial" w:eastAsia="Arial" w:hAnsi="Arial" w:cs="Arial"/>
                <w:color w:val="FFFFFF" w:themeColor="background1"/>
              </w:rPr>
            </w:pPr>
            <w:r w:rsidRPr="006017E9">
              <w:rPr>
                <w:rFonts w:ascii="Arial" w:eastAsia="Arial" w:hAnsi="Arial" w:cs="Arial"/>
                <w:b/>
                <w:bCs/>
                <w:color w:val="FFFFFF" w:themeColor="background1"/>
              </w:rPr>
              <w:t>% the same as last year</w:t>
            </w:r>
          </w:p>
        </w:tc>
      </w:tr>
      <w:tr w:rsidR="0091207D" w14:paraId="57357FA9" w14:textId="77777777" w:rsidTr="00B8AFBC">
        <w:tc>
          <w:tcPr>
            <w:tcW w:w="2122" w:type="dxa"/>
            <w:shd w:val="clear" w:color="auto" w:fill="FFFFFF" w:themeFill="background1"/>
            <w:vAlign w:val="center"/>
          </w:tcPr>
          <w:p w14:paraId="3BADC8E8" w14:textId="45E85F4B" w:rsidR="0091207D" w:rsidRPr="00BE7ECD" w:rsidRDefault="0091207D" w:rsidP="0091207D">
            <w:pPr>
              <w:spacing w:before="40" w:after="120"/>
              <w:jc w:val="center"/>
              <w:rPr>
                <w:rFonts w:ascii="Arial" w:eastAsia="Arial" w:hAnsi="Arial" w:cs="Arial"/>
                <w:color w:val="FF0000"/>
              </w:rPr>
            </w:pPr>
            <w:r w:rsidRPr="00213F1A">
              <w:rPr>
                <w:rFonts w:ascii="Arial" w:eastAsia="Arial" w:hAnsi="Arial" w:cs="Arial"/>
              </w:rPr>
              <w:t>14</w:t>
            </w:r>
          </w:p>
        </w:tc>
        <w:tc>
          <w:tcPr>
            <w:tcW w:w="2551" w:type="dxa"/>
            <w:shd w:val="clear" w:color="auto" w:fill="FFFFFF" w:themeFill="background1"/>
            <w:vAlign w:val="center"/>
          </w:tcPr>
          <w:p w14:paraId="15014B12" w14:textId="7E9C8D1E" w:rsidR="0091207D" w:rsidRPr="00BE7ECD" w:rsidRDefault="0091207D" w:rsidP="0091207D">
            <w:pPr>
              <w:spacing w:before="40" w:after="120"/>
              <w:jc w:val="center"/>
              <w:rPr>
                <w:rFonts w:ascii="Arial" w:eastAsia="Arial" w:hAnsi="Arial" w:cs="Arial"/>
                <w:color w:val="FF0000"/>
              </w:rPr>
            </w:pPr>
            <w:r w:rsidRPr="00213F1A">
              <w:rPr>
                <w:rFonts w:ascii="Arial" w:eastAsia="Arial" w:hAnsi="Arial" w:cs="Arial"/>
              </w:rPr>
              <w:t>71% (10)</w:t>
            </w:r>
          </w:p>
        </w:tc>
        <w:tc>
          <w:tcPr>
            <w:tcW w:w="2552" w:type="dxa"/>
            <w:shd w:val="clear" w:color="auto" w:fill="FFFFFF" w:themeFill="background1"/>
            <w:vAlign w:val="center"/>
          </w:tcPr>
          <w:p w14:paraId="6DA99C65" w14:textId="116AF774" w:rsidR="0091207D" w:rsidRPr="00BE7ECD" w:rsidRDefault="00925DE1" w:rsidP="0091207D">
            <w:pPr>
              <w:spacing w:before="40" w:after="120"/>
              <w:jc w:val="center"/>
              <w:rPr>
                <w:rFonts w:ascii="Arial" w:eastAsia="Arial" w:hAnsi="Arial" w:cs="Arial"/>
                <w:color w:val="FF0000"/>
              </w:rPr>
            </w:pPr>
            <w:r>
              <w:rPr>
                <w:rFonts w:ascii="Arial" w:eastAsia="Arial" w:hAnsi="Arial" w:cs="Arial"/>
              </w:rPr>
              <w:t>29</w:t>
            </w:r>
            <w:r w:rsidR="0091207D" w:rsidRPr="00213F1A">
              <w:rPr>
                <w:rFonts w:ascii="Arial" w:eastAsia="Arial" w:hAnsi="Arial" w:cs="Arial"/>
              </w:rPr>
              <w:t>% (</w:t>
            </w:r>
            <w:r>
              <w:rPr>
                <w:rFonts w:ascii="Arial" w:eastAsia="Arial" w:hAnsi="Arial" w:cs="Arial"/>
              </w:rPr>
              <w:t>4</w:t>
            </w:r>
            <w:r w:rsidR="0091207D" w:rsidRPr="00213F1A">
              <w:rPr>
                <w:rFonts w:ascii="Arial" w:eastAsia="Arial" w:hAnsi="Arial" w:cs="Arial"/>
              </w:rPr>
              <w:t>)</w:t>
            </w:r>
          </w:p>
        </w:tc>
        <w:tc>
          <w:tcPr>
            <w:tcW w:w="2551" w:type="dxa"/>
            <w:shd w:val="clear" w:color="auto" w:fill="FFFFFF" w:themeFill="background1"/>
            <w:vAlign w:val="center"/>
          </w:tcPr>
          <w:p w14:paraId="1EE1CB00" w14:textId="0F1CDCF0" w:rsidR="0091207D" w:rsidRPr="00BE7ECD" w:rsidRDefault="00925DE1" w:rsidP="0091207D">
            <w:pPr>
              <w:spacing w:before="40" w:after="120"/>
              <w:jc w:val="center"/>
              <w:rPr>
                <w:rFonts w:ascii="Arial" w:eastAsia="Arial" w:hAnsi="Arial" w:cs="Arial"/>
                <w:color w:val="FF0000"/>
              </w:rPr>
            </w:pPr>
            <w:r>
              <w:rPr>
                <w:rFonts w:ascii="Arial" w:eastAsia="Arial" w:hAnsi="Arial" w:cs="Arial"/>
              </w:rPr>
              <w:t>0</w:t>
            </w:r>
            <w:r w:rsidR="0091207D" w:rsidRPr="00213F1A">
              <w:rPr>
                <w:rFonts w:ascii="Arial" w:eastAsia="Arial" w:hAnsi="Arial" w:cs="Arial"/>
              </w:rPr>
              <w:t>% (</w:t>
            </w:r>
            <w:r>
              <w:rPr>
                <w:rFonts w:ascii="Arial" w:eastAsia="Arial" w:hAnsi="Arial" w:cs="Arial"/>
              </w:rPr>
              <w:t>0</w:t>
            </w:r>
            <w:r w:rsidR="0091207D" w:rsidRPr="00213F1A">
              <w:rPr>
                <w:rFonts w:ascii="Arial" w:eastAsia="Arial" w:hAnsi="Arial" w:cs="Arial"/>
              </w:rPr>
              <w:t>)</w:t>
            </w:r>
          </w:p>
        </w:tc>
      </w:tr>
    </w:tbl>
    <w:p w14:paraId="56E18E71" w14:textId="022FC8E9" w:rsidR="77310A43" w:rsidRDefault="77310A43"/>
    <w:p w14:paraId="3A6F6D3B" w14:textId="77777777" w:rsidR="00B0379D" w:rsidRDefault="00B0379D" w:rsidP="00B0379D">
      <w:pPr>
        <w:spacing w:after="120" w:line="240" w:lineRule="auto"/>
        <w:jc w:val="both"/>
        <w:rPr>
          <w:rFonts w:ascii="Arial" w:hAnsi="Arial" w:cs="Arial"/>
          <w:b/>
          <w:bCs/>
          <w:color w:val="ED712C"/>
          <w:sz w:val="24"/>
          <w:szCs w:val="24"/>
        </w:rPr>
      </w:pPr>
    </w:p>
    <w:p w14:paraId="5FBE4D6B" w14:textId="77777777" w:rsidR="00B0379D" w:rsidRPr="00A86ECC" w:rsidRDefault="00E75E6D" w:rsidP="00B0379D">
      <w:pPr>
        <w:spacing w:after="120" w:line="240" w:lineRule="auto"/>
        <w:jc w:val="both"/>
        <w:rPr>
          <w:rFonts w:ascii="Arial" w:hAnsi="Arial" w:cs="Arial"/>
          <w:b/>
          <w:bCs/>
          <w:color w:val="9136AF"/>
        </w:rPr>
      </w:pPr>
      <w:r w:rsidRPr="00A86ECC">
        <w:rPr>
          <w:rFonts w:ascii="Arial" w:hAnsi="Arial" w:cs="Arial"/>
          <w:b/>
          <w:bCs/>
          <w:color w:val="9136AF"/>
        </w:rPr>
        <w:t>Inter Authority Comparison</w:t>
      </w:r>
    </w:p>
    <w:tbl>
      <w:tblPr>
        <w:tblStyle w:val="TableGrid"/>
        <w:tblW w:w="0" w:type="auto"/>
        <w:tblBorders>
          <w:top w:val="single" w:sz="4" w:space="0" w:color="9136AF"/>
          <w:left w:val="single" w:sz="4" w:space="0" w:color="9136AF"/>
          <w:bottom w:val="single" w:sz="4" w:space="0" w:color="9136AF"/>
          <w:right w:val="single" w:sz="4" w:space="0" w:color="9136AF"/>
          <w:insideH w:val="single" w:sz="4" w:space="0" w:color="9136AF"/>
          <w:insideV w:val="single" w:sz="4" w:space="0" w:color="9136AF"/>
        </w:tblBorders>
        <w:tblLayout w:type="fixed"/>
        <w:tblLook w:val="04A0" w:firstRow="1" w:lastRow="0" w:firstColumn="1" w:lastColumn="0" w:noHBand="0" w:noVBand="1"/>
      </w:tblPr>
      <w:tblGrid>
        <w:gridCol w:w="1838"/>
        <w:gridCol w:w="1985"/>
        <w:gridCol w:w="1984"/>
        <w:gridCol w:w="1985"/>
        <w:gridCol w:w="1984"/>
      </w:tblGrid>
      <w:tr w:rsidR="00970157" w14:paraId="3186AF92" w14:textId="77777777" w:rsidTr="00B8AFBC">
        <w:trPr>
          <w:tblHeader/>
        </w:trPr>
        <w:tc>
          <w:tcPr>
            <w:tcW w:w="1838" w:type="dxa"/>
            <w:shd w:val="clear" w:color="auto" w:fill="9136AF"/>
          </w:tcPr>
          <w:p w14:paraId="22ACEBAC"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9136AF"/>
          </w:tcPr>
          <w:p w14:paraId="5ED9EB3E"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9136AF"/>
          </w:tcPr>
          <w:p w14:paraId="6922877B"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9136AF"/>
          </w:tcPr>
          <w:p w14:paraId="6CB47157"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9136AF"/>
          </w:tcPr>
          <w:p w14:paraId="616D19E1"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15EF9F3D" w14:textId="77777777" w:rsidTr="00B8AFBC">
        <w:tc>
          <w:tcPr>
            <w:tcW w:w="1838" w:type="dxa"/>
            <w:shd w:val="clear" w:color="auto" w:fill="FFFFFF" w:themeFill="background1"/>
            <w:vAlign w:val="center"/>
          </w:tcPr>
          <w:p w14:paraId="170A3DEC" w14:textId="77777777" w:rsidR="00B0379D" w:rsidRPr="0091207D" w:rsidRDefault="00E75E6D" w:rsidP="00B8AFBC">
            <w:pPr>
              <w:spacing w:before="40" w:after="40" w:line="259" w:lineRule="auto"/>
              <w:jc w:val="center"/>
              <w:rPr>
                <w:rFonts w:ascii="Arial" w:eastAsia="Arial" w:hAnsi="Arial" w:cs="Arial"/>
              </w:rPr>
            </w:pPr>
            <w:r w:rsidRPr="0091207D">
              <w:rPr>
                <w:rFonts w:ascii="Arial" w:eastAsia="Arial" w:hAnsi="Arial" w:cs="Arial"/>
              </w:rPr>
              <w:t>0</w:t>
            </w:r>
          </w:p>
        </w:tc>
        <w:tc>
          <w:tcPr>
            <w:tcW w:w="1985" w:type="dxa"/>
            <w:shd w:val="clear" w:color="auto" w:fill="FFFFFF" w:themeFill="background1"/>
            <w:vAlign w:val="center"/>
          </w:tcPr>
          <w:p w14:paraId="7EF63DF4" w14:textId="77777777" w:rsidR="00B0379D" w:rsidRPr="0091207D" w:rsidRDefault="00E75E6D" w:rsidP="00B8AFBC">
            <w:pPr>
              <w:spacing w:before="40" w:after="40" w:line="259" w:lineRule="auto"/>
              <w:jc w:val="center"/>
              <w:rPr>
                <w:rFonts w:ascii="Arial" w:eastAsia="Arial" w:hAnsi="Arial" w:cs="Arial"/>
              </w:rPr>
            </w:pPr>
            <w:r w:rsidRPr="0091207D">
              <w:rPr>
                <w:rFonts w:ascii="Arial" w:eastAsia="Arial" w:hAnsi="Arial" w:cs="Arial"/>
              </w:rPr>
              <w:t>0% (0)</w:t>
            </w:r>
          </w:p>
        </w:tc>
        <w:tc>
          <w:tcPr>
            <w:tcW w:w="1984" w:type="dxa"/>
            <w:shd w:val="clear" w:color="auto" w:fill="FFFFFF" w:themeFill="background1"/>
            <w:vAlign w:val="center"/>
          </w:tcPr>
          <w:p w14:paraId="47B3B4D3" w14:textId="77777777" w:rsidR="00B0379D" w:rsidRPr="0091207D" w:rsidRDefault="00E75E6D" w:rsidP="00B8AFBC">
            <w:pPr>
              <w:spacing w:before="40" w:after="40" w:line="259" w:lineRule="auto"/>
              <w:jc w:val="center"/>
              <w:rPr>
                <w:rFonts w:ascii="Arial" w:eastAsia="Arial" w:hAnsi="Arial" w:cs="Arial"/>
              </w:rPr>
            </w:pPr>
            <w:r w:rsidRPr="0091207D">
              <w:rPr>
                <w:rFonts w:ascii="Arial" w:eastAsia="Arial" w:hAnsi="Arial" w:cs="Arial"/>
              </w:rPr>
              <w:t>0% (0)</w:t>
            </w:r>
          </w:p>
        </w:tc>
        <w:tc>
          <w:tcPr>
            <w:tcW w:w="1985" w:type="dxa"/>
            <w:shd w:val="clear" w:color="auto" w:fill="FFFFFF" w:themeFill="background1"/>
            <w:vAlign w:val="center"/>
          </w:tcPr>
          <w:p w14:paraId="542CCDCE" w14:textId="77777777" w:rsidR="00B0379D" w:rsidRPr="0091207D" w:rsidRDefault="00E75E6D" w:rsidP="00B8AFBC">
            <w:pPr>
              <w:spacing w:before="40" w:after="40" w:line="259" w:lineRule="auto"/>
              <w:jc w:val="center"/>
              <w:rPr>
                <w:rFonts w:ascii="Arial" w:eastAsia="Arial" w:hAnsi="Arial" w:cs="Arial"/>
              </w:rPr>
            </w:pPr>
            <w:r w:rsidRPr="0091207D">
              <w:rPr>
                <w:rFonts w:ascii="Arial" w:eastAsia="Arial" w:hAnsi="Arial" w:cs="Arial"/>
              </w:rPr>
              <w:t>0% (0)</w:t>
            </w:r>
          </w:p>
        </w:tc>
        <w:tc>
          <w:tcPr>
            <w:tcW w:w="1984" w:type="dxa"/>
            <w:shd w:val="clear" w:color="auto" w:fill="FFFFFF" w:themeFill="background1"/>
            <w:vAlign w:val="center"/>
          </w:tcPr>
          <w:p w14:paraId="55E038CB" w14:textId="77777777" w:rsidR="00B0379D" w:rsidRPr="0091207D" w:rsidRDefault="00E75E6D" w:rsidP="00B8AFBC">
            <w:pPr>
              <w:spacing w:before="40" w:after="40" w:line="259" w:lineRule="auto"/>
              <w:jc w:val="center"/>
              <w:rPr>
                <w:rFonts w:ascii="Arial" w:eastAsia="Arial" w:hAnsi="Arial" w:cs="Arial"/>
              </w:rPr>
            </w:pPr>
            <w:r w:rsidRPr="0091207D">
              <w:rPr>
                <w:rFonts w:ascii="Arial" w:eastAsia="Arial" w:hAnsi="Arial" w:cs="Arial"/>
              </w:rPr>
              <w:t>0% (0)</w:t>
            </w:r>
          </w:p>
        </w:tc>
      </w:tr>
    </w:tbl>
    <w:p w14:paraId="25DAF17E" w14:textId="7D8CD175" w:rsidR="77310A43" w:rsidRDefault="77310A43"/>
    <w:p w14:paraId="24BC9252" w14:textId="77777777" w:rsidR="00B0379D" w:rsidRDefault="00B0379D" w:rsidP="00B0379D">
      <w:pPr>
        <w:spacing w:after="240" w:line="240" w:lineRule="auto"/>
        <w:jc w:val="both"/>
        <w:rPr>
          <w:rFonts w:ascii="Arial" w:hAnsi="Arial" w:cs="Arial"/>
          <w:b/>
          <w:bCs/>
          <w:color w:val="ED712C"/>
          <w:sz w:val="24"/>
          <w:szCs w:val="24"/>
        </w:rPr>
      </w:pPr>
    </w:p>
    <w:p w14:paraId="71461F3D" w14:textId="77777777" w:rsidR="00B0379D" w:rsidRDefault="00B0379D" w:rsidP="00B0379D">
      <w:pPr>
        <w:pStyle w:val="paragraph"/>
        <w:spacing w:before="0" w:beforeAutospacing="0" w:after="120" w:afterAutospacing="0"/>
        <w:textAlignment w:val="baseline"/>
        <w:rPr>
          <w:rStyle w:val="normaltextrun"/>
          <w:rFonts w:ascii="Arial" w:hAnsi="Arial" w:cs="Arial"/>
          <w:b/>
          <w:bCs/>
          <w:color w:val="9136AF"/>
          <w:sz w:val="22"/>
          <w:szCs w:val="22"/>
        </w:rPr>
      </w:pPr>
    </w:p>
    <w:p w14:paraId="2A2963FE" w14:textId="77777777" w:rsidR="00B0379D" w:rsidRDefault="00B0379D" w:rsidP="00B0379D">
      <w:pPr>
        <w:pStyle w:val="paragraph"/>
        <w:spacing w:before="0" w:beforeAutospacing="0" w:after="120" w:afterAutospacing="0"/>
        <w:textAlignment w:val="baseline"/>
        <w:rPr>
          <w:rStyle w:val="normaltextrun"/>
          <w:rFonts w:ascii="Arial" w:hAnsi="Arial" w:cs="Arial"/>
          <w:b/>
          <w:bCs/>
          <w:color w:val="9136AF"/>
          <w:sz w:val="22"/>
          <w:szCs w:val="22"/>
        </w:rPr>
      </w:pPr>
    </w:p>
    <w:p w14:paraId="10EDD26E" w14:textId="77777777" w:rsidR="00B0379D" w:rsidRDefault="00B0379D" w:rsidP="00B0379D">
      <w:pPr>
        <w:pStyle w:val="paragraph"/>
        <w:spacing w:before="0" w:beforeAutospacing="0" w:after="120" w:afterAutospacing="0"/>
        <w:textAlignment w:val="baseline"/>
        <w:rPr>
          <w:rStyle w:val="normaltextrun"/>
          <w:rFonts w:ascii="Arial" w:hAnsi="Arial" w:cs="Arial"/>
          <w:b/>
          <w:bCs/>
          <w:color w:val="9136AF"/>
          <w:sz w:val="22"/>
          <w:szCs w:val="22"/>
        </w:rPr>
      </w:pPr>
    </w:p>
    <w:p w14:paraId="0EAE808F" w14:textId="77777777" w:rsidR="00B0379D" w:rsidRDefault="00B0379D" w:rsidP="00B0379D">
      <w:pPr>
        <w:pStyle w:val="paragraph"/>
        <w:spacing w:before="0" w:beforeAutospacing="0" w:after="120" w:afterAutospacing="0"/>
        <w:textAlignment w:val="baseline"/>
        <w:rPr>
          <w:rStyle w:val="normaltextrun"/>
          <w:rFonts w:ascii="Arial" w:hAnsi="Arial" w:cs="Arial"/>
          <w:b/>
          <w:bCs/>
          <w:color w:val="9136AF"/>
          <w:sz w:val="22"/>
          <w:szCs w:val="22"/>
        </w:rPr>
      </w:pPr>
    </w:p>
    <w:p w14:paraId="5786A313" w14:textId="77777777" w:rsidR="00B0379D" w:rsidRDefault="00B0379D" w:rsidP="00B0379D">
      <w:pPr>
        <w:pStyle w:val="paragraph"/>
        <w:spacing w:before="0" w:beforeAutospacing="0" w:after="120" w:afterAutospacing="0"/>
        <w:textAlignment w:val="baseline"/>
        <w:rPr>
          <w:rStyle w:val="normaltextrun"/>
          <w:rFonts w:ascii="Arial" w:hAnsi="Arial" w:cs="Arial"/>
          <w:b/>
          <w:bCs/>
          <w:color w:val="9136AF"/>
          <w:sz w:val="22"/>
          <w:szCs w:val="22"/>
        </w:rPr>
        <w:sectPr w:rsidR="00B0379D" w:rsidSect="00EC2ED3">
          <w:headerReference w:type="default" r:id="rId32"/>
          <w:footerReference w:type="default" r:id="rId33"/>
          <w:pgSz w:w="11906" w:h="16838"/>
          <w:pgMar w:top="720" w:right="720" w:bottom="720" w:left="720" w:header="708" w:footer="708" w:gutter="0"/>
          <w:cols w:space="708"/>
          <w:docGrid w:linePitch="360"/>
        </w:sectPr>
      </w:pPr>
    </w:p>
    <w:p w14:paraId="632AE16C" w14:textId="77777777" w:rsidR="00B0379D" w:rsidRDefault="00B0379D" w:rsidP="00B0379D">
      <w:pPr>
        <w:spacing w:after="120" w:line="240" w:lineRule="auto"/>
        <w:rPr>
          <w:rFonts w:ascii="Arial" w:hAnsi="Arial" w:cs="Arial"/>
          <w:b/>
          <w:color w:val="9136AF"/>
        </w:rPr>
      </w:pPr>
    </w:p>
    <w:p w14:paraId="7F16DE0C" w14:textId="77777777" w:rsidR="00B0379D" w:rsidRPr="00D23B44" w:rsidRDefault="00E75E6D" w:rsidP="00B0379D">
      <w:pPr>
        <w:spacing w:after="120" w:line="240" w:lineRule="auto"/>
        <w:rPr>
          <w:rFonts w:ascii="Arial" w:hAnsi="Arial" w:cs="Arial"/>
          <w:b/>
          <w:color w:val="9136AF"/>
          <w:sz w:val="32"/>
          <w:szCs w:val="32"/>
        </w:rPr>
      </w:pPr>
      <w:r w:rsidRPr="00D23B44">
        <w:rPr>
          <w:rFonts w:ascii="Arial" w:hAnsi="Arial" w:cs="Arial"/>
          <w:b/>
          <w:color w:val="9136AF"/>
          <w:sz w:val="32"/>
          <w:szCs w:val="32"/>
        </w:rPr>
        <w:t>Priority 3 - Create safe and strong communities and neighbourhoods for all</w:t>
      </w:r>
    </w:p>
    <w:p w14:paraId="2B516F31" w14:textId="77777777" w:rsidR="00B0379D" w:rsidRPr="00D23B44" w:rsidRDefault="00E75E6D" w:rsidP="00B0379D">
      <w:pPr>
        <w:spacing w:after="120" w:line="240" w:lineRule="auto"/>
        <w:rPr>
          <w:rFonts w:ascii="Arial" w:hAnsi="Arial" w:cs="Arial"/>
          <w:b/>
          <w:color w:val="9136AF"/>
          <w:sz w:val="32"/>
          <w:szCs w:val="32"/>
        </w:rPr>
      </w:pPr>
      <w:r w:rsidRPr="4276CE28">
        <w:rPr>
          <w:rFonts w:ascii="Arial" w:hAnsi="Arial" w:cs="Arial"/>
          <w:b/>
          <w:bCs/>
          <w:color w:val="9136AF"/>
          <w:sz w:val="32"/>
          <w:szCs w:val="32"/>
        </w:rPr>
        <w:t>Tier 1</w:t>
      </w:r>
    </w:p>
    <w:tbl>
      <w:tblPr>
        <w:tblW w:w="0" w:type="auto"/>
        <w:tblLook w:val="04A0" w:firstRow="1" w:lastRow="0" w:firstColumn="1" w:lastColumn="0" w:noHBand="0" w:noVBand="1"/>
      </w:tblPr>
      <w:tblGrid>
        <w:gridCol w:w="2509"/>
        <w:gridCol w:w="755"/>
        <w:gridCol w:w="3217"/>
        <w:gridCol w:w="1379"/>
        <w:gridCol w:w="1146"/>
        <w:gridCol w:w="1034"/>
        <w:gridCol w:w="912"/>
        <w:gridCol w:w="950"/>
        <w:gridCol w:w="1084"/>
        <w:gridCol w:w="772"/>
        <w:gridCol w:w="1630"/>
      </w:tblGrid>
      <w:tr w:rsidR="00BD451D" w:rsidRPr="002121EE" w14:paraId="6DC8312B" w14:textId="77777777" w:rsidTr="00BD451D">
        <w:trPr>
          <w:trHeight w:val="435"/>
          <w:tblHeader/>
        </w:trPr>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noWrap/>
            <w:vAlign w:val="center"/>
            <w:hideMark/>
          </w:tcPr>
          <w:p w14:paraId="750FB0B9"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Outcome</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noWrap/>
            <w:vAlign w:val="center"/>
            <w:hideMark/>
          </w:tcPr>
          <w:p w14:paraId="75FB9EC4"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Ref</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5106C541"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Performance Indicator</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0BCA38CA"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Reporting Frequency</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67F15F9E"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9136AF"/>
              <w:left w:val="single" w:sz="4" w:space="0" w:color="9136AF"/>
              <w:bottom w:val="single" w:sz="4" w:space="0" w:color="9136AF"/>
              <w:right w:val="nil"/>
            </w:tcBorders>
            <w:shd w:val="clear" w:color="000000" w:fill="9136AF"/>
            <w:vAlign w:val="center"/>
            <w:hideMark/>
          </w:tcPr>
          <w:p w14:paraId="31EE201E"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23/24 Outturn</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1752F212"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24/25 Target</w:t>
            </w:r>
          </w:p>
        </w:tc>
        <w:tc>
          <w:tcPr>
            <w:tcW w:w="950" w:type="dxa"/>
            <w:tcBorders>
              <w:top w:val="single" w:sz="4" w:space="0" w:color="9136AF"/>
              <w:left w:val="nil"/>
              <w:bottom w:val="single" w:sz="4" w:space="0" w:color="9136AF"/>
              <w:right w:val="single" w:sz="4" w:space="0" w:color="9136AF"/>
            </w:tcBorders>
            <w:shd w:val="clear" w:color="000000" w:fill="9136AF"/>
            <w:vAlign w:val="center"/>
            <w:hideMark/>
          </w:tcPr>
          <w:p w14:paraId="57259200"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Q1</w:t>
            </w:r>
          </w:p>
        </w:tc>
        <w:tc>
          <w:tcPr>
            <w:tcW w:w="1084"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6D5A8C28"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45BFC54E"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Trend</w:t>
            </w:r>
          </w:p>
        </w:tc>
        <w:tc>
          <w:tcPr>
            <w:tcW w:w="0" w:type="auto"/>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6990A99F"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Comparative Performance</w:t>
            </w:r>
          </w:p>
        </w:tc>
      </w:tr>
      <w:tr w:rsidR="00BD451D" w:rsidRPr="002121EE" w14:paraId="1B2F988B" w14:textId="77777777" w:rsidTr="00BD451D">
        <w:trPr>
          <w:trHeight w:val="583"/>
        </w:trPr>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34133ADA"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60C59D54"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18317B15"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3D4B86C2"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157D87D0"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nil"/>
            </w:tcBorders>
            <w:vAlign w:val="center"/>
            <w:hideMark/>
          </w:tcPr>
          <w:p w14:paraId="0BCFE70B"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41DF587A"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950" w:type="dxa"/>
            <w:tcBorders>
              <w:top w:val="nil"/>
              <w:left w:val="nil"/>
              <w:bottom w:val="single" w:sz="4" w:space="0" w:color="9136AF"/>
              <w:right w:val="single" w:sz="4" w:space="0" w:color="9136AF"/>
            </w:tcBorders>
            <w:shd w:val="clear" w:color="000000" w:fill="9136AF"/>
            <w:vAlign w:val="center"/>
            <w:hideMark/>
          </w:tcPr>
          <w:p w14:paraId="5A6615AF" w14:textId="77777777" w:rsidR="00BD451D" w:rsidRPr="002121EE" w:rsidRDefault="00BD451D" w:rsidP="002121EE">
            <w:pPr>
              <w:spacing w:after="0" w:line="240" w:lineRule="auto"/>
              <w:jc w:val="center"/>
              <w:rPr>
                <w:rFonts w:ascii="Arial" w:eastAsia="Times New Roman" w:hAnsi="Arial" w:cs="Arial"/>
                <w:b/>
                <w:bCs/>
                <w:color w:val="FFFFFF"/>
                <w:sz w:val="20"/>
                <w:szCs w:val="20"/>
                <w:lang w:eastAsia="en-GB"/>
              </w:rPr>
            </w:pPr>
            <w:r w:rsidRPr="002121EE">
              <w:rPr>
                <w:rFonts w:ascii="Arial" w:eastAsia="Times New Roman" w:hAnsi="Arial" w:cs="Arial"/>
                <w:b/>
                <w:bCs/>
                <w:color w:val="FFFFFF"/>
                <w:sz w:val="20"/>
                <w:szCs w:val="20"/>
                <w:lang w:eastAsia="en-GB"/>
              </w:rPr>
              <w:t>June</w:t>
            </w:r>
          </w:p>
        </w:tc>
        <w:tc>
          <w:tcPr>
            <w:tcW w:w="1084" w:type="dxa"/>
            <w:vMerge/>
            <w:tcBorders>
              <w:top w:val="single" w:sz="4" w:space="0" w:color="9136AF"/>
              <w:left w:val="single" w:sz="4" w:space="0" w:color="9136AF"/>
              <w:bottom w:val="single" w:sz="4" w:space="0" w:color="9136AF"/>
              <w:right w:val="single" w:sz="4" w:space="0" w:color="9136AF"/>
            </w:tcBorders>
            <w:vAlign w:val="center"/>
            <w:hideMark/>
          </w:tcPr>
          <w:p w14:paraId="49888401"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153CFD0C"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9136AF"/>
              <w:left w:val="single" w:sz="4" w:space="0" w:color="9136AF"/>
              <w:bottom w:val="single" w:sz="4" w:space="0" w:color="9136AF"/>
              <w:right w:val="single" w:sz="4" w:space="0" w:color="9136AF"/>
            </w:tcBorders>
            <w:vAlign w:val="center"/>
            <w:hideMark/>
          </w:tcPr>
          <w:p w14:paraId="0E3B7CCE" w14:textId="77777777" w:rsidR="00BD451D" w:rsidRPr="002121EE" w:rsidRDefault="00BD451D" w:rsidP="002121EE">
            <w:pPr>
              <w:spacing w:after="0" w:line="240" w:lineRule="auto"/>
              <w:rPr>
                <w:rFonts w:ascii="Arial" w:eastAsia="Times New Roman" w:hAnsi="Arial" w:cs="Arial"/>
                <w:b/>
                <w:bCs/>
                <w:color w:val="FFFFFF"/>
                <w:sz w:val="20"/>
                <w:szCs w:val="20"/>
                <w:lang w:eastAsia="en-GB"/>
              </w:rPr>
            </w:pPr>
          </w:p>
        </w:tc>
      </w:tr>
      <w:tr w:rsidR="00BD451D" w:rsidRPr="002121EE" w14:paraId="7D6F4298" w14:textId="77777777" w:rsidTr="00BD451D">
        <w:trPr>
          <w:trHeight w:val="1380"/>
        </w:trPr>
        <w:tc>
          <w:tcPr>
            <w:tcW w:w="0" w:type="auto"/>
            <w:vMerge w:val="restart"/>
            <w:tcBorders>
              <w:top w:val="nil"/>
              <w:left w:val="single" w:sz="4" w:space="0" w:color="9136AF"/>
              <w:bottom w:val="single" w:sz="4" w:space="0" w:color="9136AF"/>
              <w:right w:val="single" w:sz="4" w:space="0" w:color="9136AF"/>
            </w:tcBorders>
            <w:shd w:val="clear" w:color="000000" w:fill="E7CDEF"/>
            <w:vAlign w:val="center"/>
            <w:hideMark/>
          </w:tcPr>
          <w:p w14:paraId="0BFBDEB2" w14:textId="77777777" w:rsidR="00BD451D" w:rsidRPr="002121EE" w:rsidRDefault="00BD451D" w:rsidP="002121EE">
            <w:pPr>
              <w:spacing w:after="0" w:line="240" w:lineRule="auto"/>
              <w:jc w:val="center"/>
              <w:rPr>
                <w:rFonts w:ascii="Arial" w:eastAsia="Times New Roman" w:hAnsi="Arial" w:cs="Arial"/>
                <w:b/>
                <w:bCs/>
                <w:sz w:val="20"/>
                <w:szCs w:val="20"/>
                <w:lang w:eastAsia="en-GB"/>
              </w:rPr>
            </w:pPr>
            <w:r w:rsidRPr="002121EE">
              <w:rPr>
                <w:rFonts w:ascii="Arial" w:eastAsia="Times New Roman" w:hAnsi="Arial" w:cs="Arial"/>
                <w:b/>
                <w:bCs/>
                <w:sz w:val="20"/>
                <w:szCs w:val="20"/>
                <w:lang w:eastAsia="en-GB"/>
              </w:rPr>
              <w:t>Our communities and neighbourhoods are safe, strong and caring</w:t>
            </w:r>
          </w:p>
        </w:tc>
        <w:tc>
          <w:tcPr>
            <w:tcW w:w="0" w:type="auto"/>
            <w:tcBorders>
              <w:top w:val="nil"/>
              <w:left w:val="nil"/>
              <w:bottom w:val="single" w:sz="4" w:space="0" w:color="9136AF"/>
              <w:right w:val="single" w:sz="4" w:space="0" w:color="9136AF"/>
            </w:tcBorders>
            <w:shd w:val="clear" w:color="auto" w:fill="auto"/>
            <w:vAlign w:val="center"/>
            <w:hideMark/>
          </w:tcPr>
          <w:p w14:paraId="589B101B"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SC-001</w:t>
            </w:r>
          </w:p>
        </w:tc>
        <w:tc>
          <w:tcPr>
            <w:tcW w:w="0" w:type="auto"/>
            <w:tcBorders>
              <w:top w:val="nil"/>
              <w:left w:val="nil"/>
              <w:bottom w:val="single" w:sz="4" w:space="0" w:color="9136AF"/>
              <w:right w:val="single" w:sz="4" w:space="0" w:color="9136AF"/>
            </w:tcBorders>
            <w:shd w:val="clear" w:color="auto" w:fill="auto"/>
            <w:vAlign w:val="center"/>
            <w:hideMark/>
          </w:tcPr>
          <w:p w14:paraId="4FC5B38D"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Number of serious violence offences per 1,000 population</w:t>
            </w:r>
          </w:p>
        </w:tc>
        <w:tc>
          <w:tcPr>
            <w:tcW w:w="0" w:type="auto"/>
            <w:tcBorders>
              <w:top w:val="nil"/>
              <w:left w:val="nil"/>
              <w:bottom w:val="single" w:sz="4" w:space="0" w:color="9136AF"/>
              <w:right w:val="single" w:sz="4" w:space="0" w:color="9136AF"/>
            </w:tcBorders>
            <w:shd w:val="clear" w:color="auto" w:fill="auto"/>
            <w:vAlign w:val="center"/>
            <w:hideMark/>
          </w:tcPr>
          <w:p w14:paraId="6E85F698"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vAlign w:val="center"/>
            <w:hideMark/>
          </w:tcPr>
          <w:p w14:paraId="24522546"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Lower</w:t>
            </w:r>
          </w:p>
        </w:tc>
        <w:tc>
          <w:tcPr>
            <w:tcW w:w="0" w:type="auto"/>
            <w:tcBorders>
              <w:top w:val="nil"/>
              <w:left w:val="nil"/>
              <w:bottom w:val="single" w:sz="4" w:space="0" w:color="9136AF"/>
              <w:right w:val="single" w:sz="4" w:space="0" w:color="9136AF"/>
            </w:tcBorders>
            <w:shd w:val="clear" w:color="000000" w:fill="92D050"/>
            <w:vAlign w:val="center"/>
            <w:hideMark/>
          </w:tcPr>
          <w:p w14:paraId="7E6CB23C"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1.07</w:t>
            </w:r>
          </w:p>
        </w:tc>
        <w:tc>
          <w:tcPr>
            <w:tcW w:w="0" w:type="auto"/>
            <w:tcBorders>
              <w:top w:val="nil"/>
              <w:left w:val="nil"/>
              <w:bottom w:val="single" w:sz="4" w:space="0" w:color="9136AF"/>
              <w:right w:val="single" w:sz="4" w:space="0" w:color="9136AF"/>
            </w:tcBorders>
            <w:shd w:val="clear" w:color="000000" w:fill="FFFFFF"/>
            <w:noWrap/>
            <w:vAlign w:val="center"/>
            <w:hideMark/>
          </w:tcPr>
          <w:p w14:paraId="2AFEB6C3"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1.03</w:t>
            </w:r>
          </w:p>
        </w:tc>
        <w:tc>
          <w:tcPr>
            <w:tcW w:w="950"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4DFDF155"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0.24</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49993264" w14:textId="77777777" w:rsidR="00BD451D" w:rsidRPr="002121EE" w:rsidRDefault="00BD451D" w:rsidP="002121EE">
            <w:pPr>
              <w:spacing w:after="0" w:line="240" w:lineRule="auto"/>
              <w:jc w:val="center"/>
              <w:rPr>
                <w:rFonts w:ascii="Arial" w:eastAsia="Times New Roman" w:hAnsi="Arial" w:cs="Arial"/>
                <w:color w:val="00B050"/>
                <w:sz w:val="20"/>
                <w:szCs w:val="20"/>
                <w:lang w:eastAsia="en-GB"/>
              </w:rPr>
            </w:pPr>
            <w:r w:rsidRPr="002121EE">
              <w:rPr>
                <w:rFonts w:ascii="Arial" w:eastAsia="Times New Roman" w:hAnsi="Arial" w:cs="Arial"/>
                <w:color w:val="00B050"/>
                <w:sz w:val="20"/>
                <w:szCs w:val="20"/>
                <w:lang w:eastAsia="en-GB"/>
              </w:rPr>
              <w:t>4%</w:t>
            </w:r>
          </w:p>
        </w:tc>
        <w:tc>
          <w:tcPr>
            <w:tcW w:w="0" w:type="auto"/>
            <w:tcBorders>
              <w:top w:val="nil"/>
              <w:left w:val="nil"/>
              <w:bottom w:val="single" w:sz="4" w:space="0" w:color="9136AF"/>
              <w:right w:val="single" w:sz="4" w:space="0" w:color="9136AF"/>
            </w:tcBorders>
            <w:shd w:val="clear" w:color="000000" w:fill="FFFFFF"/>
            <w:noWrap/>
            <w:vAlign w:val="center"/>
            <w:hideMark/>
          </w:tcPr>
          <w:p w14:paraId="152EF994" w14:textId="6713671F"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7" behindDoc="0" locked="0" layoutInCell="1" allowOverlap="1" wp14:anchorId="74D9CBC9" wp14:editId="5ECC412A">
                  <wp:simplePos x="0" y="0"/>
                  <wp:positionH relativeFrom="column">
                    <wp:posOffset>61595</wp:posOffset>
                  </wp:positionH>
                  <wp:positionV relativeFrom="paragraph">
                    <wp:posOffset>-8890</wp:posOffset>
                  </wp:positionV>
                  <wp:extent cx="279400" cy="254000"/>
                  <wp:effectExtent l="0" t="0" r="0" b="0"/>
                  <wp:wrapNone/>
                  <wp:docPr id="16" name="Picture 53" descr="P1268C22T24#y1">
                    <a:extLst xmlns:a="http://schemas.openxmlformats.org/drawingml/2006/main">
                      <a:ext uri="{FF2B5EF4-FFF2-40B4-BE49-F238E27FC236}">
                        <a16:creationId xmlns:a16="http://schemas.microsoft.com/office/drawing/2014/main" id="{81FB1201-38B6-4C42-9B33-D1F1228D4FF9}"/>
                      </a:ext>
                      <a:ext uri="{147F2762-F138-4A5C-976F-8EAC2B608ADB}">
                        <a16:predDERef xmlns:a16="http://schemas.microsoft.com/office/drawing/2014/main" pred="{F79756CA-F096-42A2-8C1F-89D8320CA0DD}"/>
                      </a:ext>
                    </a:extLst>
                  </wp:docPr>
                  <wp:cNvGraphicFramePr/>
                  <a:graphic xmlns:a="http://schemas.openxmlformats.org/drawingml/2006/main">
                    <a:graphicData uri="http://schemas.openxmlformats.org/drawingml/2006/picture">
                      <pic:pic xmlns:pic="http://schemas.openxmlformats.org/drawingml/2006/picture">
                        <pic:nvPicPr>
                          <pic:cNvPr id="16" name="Picture 47" descr="P1268C22T24#y1">
                            <a:extLst>
                              <a:ext uri="{FF2B5EF4-FFF2-40B4-BE49-F238E27FC236}">
                                <a16:creationId xmlns:a16="http://schemas.microsoft.com/office/drawing/2014/main" id="{81FB1201-38B6-4C42-9B33-D1F1228D4FF9}"/>
                              </a:ext>
                              <a:ext uri="{147F2762-F138-4A5C-976F-8EAC2B608ADB}">
                                <a16:predDERef xmlns:a16="http://schemas.microsoft.com/office/drawing/2014/main" pred="{F79756CA-F096-42A2-8C1F-89D8320CA0D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39BC0742" w14:textId="6463E34A"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6FEA9AD8" w14:textId="77777777" w:rsidTr="00BD451D">
        <w:trPr>
          <w:trHeight w:val="1380"/>
        </w:trPr>
        <w:tc>
          <w:tcPr>
            <w:tcW w:w="0" w:type="auto"/>
            <w:vMerge/>
            <w:tcBorders>
              <w:top w:val="nil"/>
              <w:left w:val="single" w:sz="4" w:space="0" w:color="9136AF"/>
              <w:bottom w:val="single" w:sz="4" w:space="0" w:color="9136AF"/>
              <w:right w:val="single" w:sz="4" w:space="0" w:color="9136AF"/>
            </w:tcBorders>
            <w:vAlign w:val="center"/>
            <w:hideMark/>
          </w:tcPr>
          <w:p w14:paraId="305AB655"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2311B120"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SC-002</w:t>
            </w:r>
          </w:p>
        </w:tc>
        <w:tc>
          <w:tcPr>
            <w:tcW w:w="0" w:type="auto"/>
            <w:tcBorders>
              <w:top w:val="nil"/>
              <w:left w:val="nil"/>
              <w:bottom w:val="single" w:sz="4" w:space="0" w:color="9136AF"/>
              <w:right w:val="single" w:sz="4" w:space="0" w:color="9136AF"/>
            </w:tcBorders>
            <w:shd w:val="clear" w:color="auto" w:fill="auto"/>
            <w:vAlign w:val="center"/>
            <w:hideMark/>
          </w:tcPr>
          <w:p w14:paraId="78C4CEB8"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Percentage rate in repeat victimisation for those domestic violence cases being managed by a MARAC</w:t>
            </w:r>
          </w:p>
        </w:tc>
        <w:tc>
          <w:tcPr>
            <w:tcW w:w="0" w:type="auto"/>
            <w:tcBorders>
              <w:top w:val="nil"/>
              <w:left w:val="nil"/>
              <w:bottom w:val="single" w:sz="4" w:space="0" w:color="9136AF"/>
              <w:right w:val="single" w:sz="4" w:space="0" w:color="9136AF"/>
            </w:tcBorders>
            <w:shd w:val="clear" w:color="auto" w:fill="auto"/>
            <w:vAlign w:val="center"/>
            <w:hideMark/>
          </w:tcPr>
          <w:p w14:paraId="313B6E98"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vAlign w:val="center"/>
            <w:hideMark/>
          </w:tcPr>
          <w:p w14:paraId="500E7989"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Lower</w:t>
            </w:r>
          </w:p>
        </w:tc>
        <w:tc>
          <w:tcPr>
            <w:tcW w:w="0" w:type="auto"/>
            <w:tcBorders>
              <w:top w:val="nil"/>
              <w:left w:val="nil"/>
              <w:bottom w:val="single" w:sz="4" w:space="0" w:color="9136AF"/>
              <w:right w:val="single" w:sz="4" w:space="0" w:color="9136AF"/>
            </w:tcBorders>
            <w:shd w:val="clear" w:color="000000" w:fill="92D050"/>
            <w:vAlign w:val="center"/>
            <w:hideMark/>
          </w:tcPr>
          <w:p w14:paraId="56595F13"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31.2%</w:t>
            </w:r>
          </w:p>
        </w:tc>
        <w:tc>
          <w:tcPr>
            <w:tcW w:w="0" w:type="auto"/>
            <w:tcBorders>
              <w:top w:val="nil"/>
              <w:left w:val="nil"/>
              <w:bottom w:val="single" w:sz="4" w:space="0" w:color="9136AF"/>
              <w:right w:val="single" w:sz="4" w:space="0" w:color="9136AF"/>
            </w:tcBorders>
            <w:shd w:val="clear" w:color="000000" w:fill="FFFFFF"/>
            <w:noWrap/>
            <w:vAlign w:val="center"/>
            <w:hideMark/>
          </w:tcPr>
          <w:p w14:paraId="3DA141BB"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31%</w:t>
            </w:r>
          </w:p>
        </w:tc>
        <w:tc>
          <w:tcPr>
            <w:tcW w:w="950"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78D9338E"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26.9</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58DA1BCC" w14:textId="77777777" w:rsidR="00BD451D" w:rsidRPr="002121EE" w:rsidRDefault="00BD451D" w:rsidP="002121EE">
            <w:pPr>
              <w:spacing w:after="0" w:line="240" w:lineRule="auto"/>
              <w:jc w:val="center"/>
              <w:rPr>
                <w:rFonts w:ascii="Arial" w:eastAsia="Times New Roman" w:hAnsi="Arial" w:cs="Arial"/>
                <w:color w:val="00B050"/>
                <w:sz w:val="20"/>
                <w:szCs w:val="20"/>
                <w:lang w:eastAsia="en-GB"/>
              </w:rPr>
            </w:pPr>
            <w:r w:rsidRPr="002121EE">
              <w:rPr>
                <w:rFonts w:ascii="Arial" w:eastAsia="Times New Roman" w:hAnsi="Arial" w:cs="Arial"/>
                <w:color w:val="00B050"/>
                <w:sz w:val="20"/>
                <w:szCs w:val="20"/>
                <w:lang w:eastAsia="en-GB"/>
              </w:rPr>
              <w:t>13.23%</w:t>
            </w:r>
          </w:p>
        </w:tc>
        <w:tc>
          <w:tcPr>
            <w:tcW w:w="0" w:type="auto"/>
            <w:tcBorders>
              <w:top w:val="nil"/>
              <w:left w:val="nil"/>
              <w:bottom w:val="single" w:sz="4" w:space="0" w:color="9136AF"/>
              <w:right w:val="single" w:sz="4" w:space="0" w:color="9136AF"/>
            </w:tcBorders>
            <w:shd w:val="clear" w:color="000000" w:fill="FFFFFF"/>
            <w:noWrap/>
            <w:vAlign w:val="bottom"/>
            <w:hideMark/>
          </w:tcPr>
          <w:p w14:paraId="426958B2" w14:textId="5B6D26BD" w:rsidR="00BD451D" w:rsidRPr="002121EE" w:rsidRDefault="00BD451D" w:rsidP="002121EE">
            <w:pPr>
              <w:spacing w:after="0" w:line="240" w:lineRule="auto"/>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3" behindDoc="0" locked="0" layoutInCell="1" allowOverlap="1" wp14:anchorId="626BCE43" wp14:editId="380B0922">
                  <wp:simplePos x="0" y="0"/>
                  <wp:positionH relativeFrom="column">
                    <wp:posOffset>60960</wp:posOffset>
                  </wp:positionH>
                  <wp:positionV relativeFrom="paragraph">
                    <wp:posOffset>-566420</wp:posOffset>
                  </wp:positionV>
                  <wp:extent cx="273050" cy="254000"/>
                  <wp:effectExtent l="0" t="0" r="0" b="0"/>
                  <wp:wrapNone/>
                  <wp:docPr id="1199481369" name="Picture 54" descr="P1280C32T24#y1">
                    <a:extLst xmlns:a="http://schemas.openxmlformats.org/drawingml/2006/main">
                      <a:ext uri="{FF2B5EF4-FFF2-40B4-BE49-F238E27FC236}">
                        <a16:creationId xmlns:a16="http://schemas.microsoft.com/office/drawing/2014/main" id="{86FCB9C0-73E4-4E5A-89AE-44440F2F07CB}"/>
                      </a:ext>
                      <a:ext uri="{147F2762-F138-4A5C-976F-8EAC2B608ADB}">
                        <a16:predDERef xmlns:a16="http://schemas.microsoft.com/office/drawing/2014/main" pred="{F79756CA-F096-42A2-8C1F-89D8320CA0DD}"/>
                      </a:ext>
                    </a:extLst>
                  </wp:docPr>
                  <wp:cNvGraphicFramePr/>
                  <a:graphic xmlns:a="http://schemas.openxmlformats.org/drawingml/2006/main">
                    <a:graphicData uri="http://schemas.openxmlformats.org/drawingml/2006/picture">
                      <pic:pic xmlns:pic="http://schemas.openxmlformats.org/drawingml/2006/picture">
                        <pic:nvPicPr>
                          <pic:cNvPr id="1199481369" name="Picture 46" descr="P1280C32T24#y1">
                            <a:extLst>
                              <a:ext uri="{FF2B5EF4-FFF2-40B4-BE49-F238E27FC236}">
                                <a16:creationId xmlns:a16="http://schemas.microsoft.com/office/drawing/2014/main" id="{86FCB9C0-73E4-4E5A-89AE-44440F2F07CB}"/>
                              </a:ext>
                              <a:ext uri="{147F2762-F138-4A5C-976F-8EAC2B608ADB}">
                                <a16:predDERef xmlns:a16="http://schemas.microsoft.com/office/drawing/2014/main" pred="{F79756CA-F096-42A2-8C1F-89D8320CA0D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0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68787342" w14:textId="259B8C96"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47CBC562" w14:textId="77777777" w:rsidTr="00BD451D">
        <w:trPr>
          <w:trHeight w:val="1065"/>
        </w:trPr>
        <w:tc>
          <w:tcPr>
            <w:tcW w:w="0" w:type="auto"/>
            <w:vMerge/>
            <w:tcBorders>
              <w:top w:val="nil"/>
              <w:left w:val="single" w:sz="4" w:space="0" w:color="9136AF"/>
              <w:bottom w:val="single" w:sz="4" w:space="0" w:color="9136AF"/>
              <w:right w:val="single" w:sz="4" w:space="0" w:color="9136AF"/>
            </w:tcBorders>
            <w:vAlign w:val="center"/>
            <w:hideMark/>
          </w:tcPr>
          <w:p w14:paraId="16433194"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2AD1BDD4"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SC-005</w:t>
            </w:r>
          </w:p>
        </w:tc>
        <w:tc>
          <w:tcPr>
            <w:tcW w:w="0" w:type="auto"/>
            <w:tcBorders>
              <w:top w:val="nil"/>
              <w:left w:val="nil"/>
              <w:bottom w:val="single" w:sz="4" w:space="0" w:color="9136AF"/>
              <w:right w:val="single" w:sz="4" w:space="0" w:color="9136AF"/>
            </w:tcBorders>
            <w:shd w:val="clear" w:color="auto" w:fill="auto"/>
            <w:vAlign w:val="center"/>
            <w:hideMark/>
          </w:tcPr>
          <w:p w14:paraId="4B6C374C"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The number of anti -social behaviour (ASB) related complaints received and resolved by the council as a percentage of all ASB complaints</w:t>
            </w:r>
          </w:p>
        </w:tc>
        <w:tc>
          <w:tcPr>
            <w:tcW w:w="0" w:type="auto"/>
            <w:tcBorders>
              <w:top w:val="nil"/>
              <w:left w:val="nil"/>
              <w:bottom w:val="single" w:sz="4" w:space="0" w:color="9136AF"/>
              <w:right w:val="single" w:sz="4" w:space="0" w:color="9136AF"/>
            </w:tcBorders>
            <w:shd w:val="clear" w:color="auto" w:fill="auto"/>
            <w:vAlign w:val="center"/>
            <w:hideMark/>
          </w:tcPr>
          <w:p w14:paraId="11922AD1"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vAlign w:val="center"/>
            <w:hideMark/>
          </w:tcPr>
          <w:p w14:paraId="2F813CFD"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Higher</w:t>
            </w:r>
          </w:p>
        </w:tc>
        <w:tc>
          <w:tcPr>
            <w:tcW w:w="0" w:type="auto"/>
            <w:tcBorders>
              <w:top w:val="nil"/>
              <w:left w:val="nil"/>
              <w:bottom w:val="single" w:sz="4" w:space="0" w:color="9136AF"/>
              <w:right w:val="single" w:sz="4" w:space="0" w:color="9136AF"/>
            </w:tcBorders>
            <w:shd w:val="clear" w:color="000000" w:fill="92D050"/>
            <w:vAlign w:val="center"/>
            <w:hideMark/>
          </w:tcPr>
          <w:p w14:paraId="0C0D7E12"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100%</w:t>
            </w:r>
          </w:p>
        </w:tc>
        <w:tc>
          <w:tcPr>
            <w:tcW w:w="0" w:type="auto"/>
            <w:tcBorders>
              <w:top w:val="nil"/>
              <w:left w:val="nil"/>
              <w:bottom w:val="single" w:sz="4" w:space="0" w:color="9136AF"/>
              <w:right w:val="single" w:sz="4" w:space="0" w:color="9136AF"/>
            </w:tcBorders>
            <w:shd w:val="clear" w:color="000000" w:fill="FFFFFF"/>
            <w:noWrap/>
            <w:vAlign w:val="center"/>
            <w:hideMark/>
          </w:tcPr>
          <w:p w14:paraId="7CAA28F0"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97.5%</w:t>
            </w:r>
          </w:p>
        </w:tc>
        <w:tc>
          <w:tcPr>
            <w:tcW w:w="950"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1BA51A93"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100</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1FFBC5BA" w14:textId="77777777" w:rsidR="00BD451D" w:rsidRPr="002121EE" w:rsidRDefault="00BD451D" w:rsidP="002121EE">
            <w:pPr>
              <w:spacing w:after="0" w:line="240" w:lineRule="auto"/>
              <w:jc w:val="center"/>
              <w:rPr>
                <w:rFonts w:ascii="Arial" w:eastAsia="Times New Roman" w:hAnsi="Arial" w:cs="Arial"/>
                <w:color w:val="00B050"/>
                <w:sz w:val="20"/>
                <w:szCs w:val="20"/>
                <w:lang w:eastAsia="en-GB"/>
              </w:rPr>
            </w:pPr>
            <w:r w:rsidRPr="002121EE">
              <w:rPr>
                <w:rFonts w:ascii="Arial" w:eastAsia="Times New Roman" w:hAnsi="Arial" w:cs="Arial"/>
                <w:color w:val="00B050"/>
                <w:sz w:val="20"/>
                <w:szCs w:val="20"/>
                <w:lang w:eastAsia="en-GB"/>
              </w:rPr>
              <w:t>2.56%</w:t>
            </w:r>
          </w:p>
        </w:tc>
        <w:tc>
          <w:tcPr>
            <w:tcW w:w="0" w:type="auto"/>
            <w:tcBorders>
              <w:top w:val="nil"/>
              <w:left w:val="nil"/>
              <w:bottom w:val="single" w:sz="4" w:space="0" w:color="9136AF"/>
              <w:right w:val="single" w:sz="4" w:space="0" w:color="9136AF"/>
            </w:tcBorders>
            <w:shd w:val="clear" w:color="000000" w:fill="FFFFFF"/>
            <w:noWrap/>
            <w:vAlign w:val="center"/>
            <w:hideMark/>
          </w:tcPr>
          <w:p w14:paraId="18DD3DC0" w14:textId="5074F77A"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5" behindDoc="0" locked="0" layoutInCell="1" allowOverlap="1" wp14:anchorId="5CD4BE13" wp14:editId="79510276">
                  <wp:simplePos x="0" y="0"/>
                  <wp:positionH relativeFrom="column">
                    <wp:posOffset>74930</wp:posOffset>
                  </wp:positionH>
                  <wp:positionV relativeFrom="paragraph">
                    <wp:posOffset>-15240</wp:posOffset>
                  </wp:positionV>
                  <wp:extent cx="292100" cy="260350"/>
                  <wp:effectExtent l="0" t="0" r="0" b="6350"/>
                  <wp:wrapNone/>
                  <wp:docPr id="51" name="Picture 55" descr="P1292C42T24#y1">
                    <a:extLst xmlns:a="http://schemas.openxmlformats.org/drawingml/2006/main">
                      <a:ext uri="{FF2B5EF4-FFF2-40B4-BE49-F238E27FC236}">
                        <a16:creationId xmlns:a16="http://schemas.microsoft.com/office/drawing/2014/main" id="{ECEB0485-25AE-4509-A79C-3616EA2FCF84}"/>
                      </a:ext>
                      <a:ext uri="{147F2762-F138-4A5C-976F-8EAC2B608ADB}">
                        <a16:predDERef xmlns:a16="http://schemas.microsoft.com/office/drawing/2014/main" pred="{9633D6D2-A65D-4D11-A29B-402298F3AC5B}"/>
                      </a:ext>
                    </a:extLst>
                  </wp:docPr>
                  <wp:cNvGraphicFramePr/>
                  <a:graphic xmlns:a="http://schemas.openxmlformats.org/drawingml/2006/main">
                    <a:graphicData uri="http://schemas.openxmlformats.org/drawingml/2006/picture">
                      <pic:pic xmlns:pic="http://schemas.openxmlformats.org/drawingml/2006/picture">
                        <pic:nvPicPr>
                          <pic:cNvPr id="51" name="Picture 45" descr="P1292C42T24#y1">
                            <a:extLst>
                              <a:ext uri="{FF2B5EF4-FFF2-40B4-BE49-F238E27FC236}">
                                <a16:creationId xmlns:a16="http://schemas.microsoft.com/office/drawing/2014/main" id="{ECEB0485-25AE-4509-A79C-3616EA2FCF84}"/>
                              </a:ext>
                              <a:ext uri="{147F2762-F138-4A5C-976F-8EAC2B608ADB}">
                                <a16:predDERef xmlns:a16="http://schemas.microsoft.com/office/drawing/2014/main" pred="{9633D6D2-A65D-4D11-A29B-402298F3AC5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005E96CC"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22458499" w14:textId="77777777" w:rsidTr="00BD451D">
        <w:trPr>
          <w:trHeight w:val="1065"/>
        </w:trPr>
        <w:tc>
          <w:tcPr>
            <w:tcW w:w="0" w:type="auto"/>
            <w:vMerge w:val="restart"/>
            <w:tcBorders>
              <w:top w:val="nil"/>
              <w:left w:val="single" w:sz="4" w:space="0" w:color="9136AF"/>
              <w:bottom w:val="single" w:sz="4" w:space="0" w:color="9136AF"/>
              <w:right w:val="single" w:sz="4" w:space="0" w:color="9136AF"/>
            </w:tcBorders>
            <w:shd w:val="clear" w:color="000000" w:fill="E7CDEF"/>
            <w:vAlign w:val="center"/>
            <w:hideMark/>
          </w:tcPr>
          <w:p w14:paraId="6F60200F" w14:textId="77777777" w:rsidR="00BD451D" w:rsidRPr="002121EE" w:rsidRDefault="00BD451D" w:rsidP="002121EE">
            <w:pPr>
              <w:spacing w:after="0" w:line="240" w:lineRule="auto"/>
              <w:jc w:val="center"/>
              <w:rPr>
                <w:rFonts w:ascii="Arial" w:eastAsia="Times New Roman" w:hAnsi="Arial" w:cs="Arial"/>
                <w:b/>
                <w:bCs/>
                <w:sz w:val="20"/>
                <w:szCs w:val="20"/>
                <w:lang w:eastAsia="en-GB"/>
              </w:rPr>
            </w:pPr>
            <w:r w:rsidRPr="002121EE">
              <w:rPr>
                <w:rFonts w:ascii="Arial" w:eastAsia="Times New Roman" w:hAnsi="Arial" w:cs="Arial"/>
                <w:b/>
                <w:bCs/>
                <w:sz w:val="20"/>
                <w:szCs w:val="20"/>
                <w:lang w:eastAsia="en-GB"/>
              </w:rPr>
              <w:t>Our neighbourhoods provide the right homes for all</w:t>
            </w:r>
          </w:p>
        </w:tc>
        <w:tc>
          <w:tcPr>
            <w:tcW w:w="0" w:type="auto"/>
            <w:tcBorders>
              <w:top w:val="nil"/>
              <w:left w:val="nil"/>
              <w:bottom w:val="single" w:sz="4" w:space="0" w:color="9136AF"/>
              <w:right w:val="single" w:sz="4" w:space="0" w:color="9136AF"/>
            </w:tcBorders>
            <w:shd w:val="clear" w:color="auto" w:fill="auto"/>
            <w:vAlign w:val="center"/>
            <w:hideMark/>
          </w:tcPr>
          <w:p w14:paraId="55BAD769"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HS-001</w:t>
            </w:r>
          </w:p>
        </w:tc>
        <w:tc>
          <w:tcPr>
            <w:tcW w:w="0" w:type="auto"/>
            <w:tcBorders>
              <w:top w:val="nil"/>
              <w:left w:val="nil"/>
              <w:bottom w:val="single" w:sz="4" w:space="0" w:color="9136AF"/>
              <w:right w:val="single" w:sz="4" w:space="0" w:color="9136AF"/>
            </w:tcBorders>
            <w:shd w:val="clear" w:color="auto" w:fill="auto"/>
            <w:vAlign w:val="center"/>
            <w:hideMark/>
          </w:tcPr>
          <w:p w14:paraId="7BE6A9A3"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Number of households who are being assessed as being owed the full housing duty (where homelessness has not been prevented or relieved).</w:t>
            </w:r>
          </w:p>
        </w:tc>
        <w:tc>
          <w:tcPr>
            <w:tcW w:w="0" w:type="auto"/>
            <w:tcBorders>
              <w:top w:val="nil"/>
              <w:left w:val="nil"/>
              <w:bottom w:val="single" w:sz="4" w:space="0" w:color="9136AF"/>
              <w:right w:val="single" w:sz="4" w:space="0" w:color="9136AF"/>
            </w:tcBorders>
            <w:shd w:val="clear" w:color="auto" w:fill="auto"/>
            <w:vAlign w:val="center"/>
            <w:hideMark/>
          </w:tcPr>
          <w:p w14:paraId="5B06D1E4"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noWrap/>
            <w:vAlign w:val="center"/>
            <w:hideMark/>
          </w:tcPr>
          <w:p w14:paraId="2FAF0573"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Lower</w:t>
            </w:r>
          </w:p>
        </w:tc>
        <w:tc>
          <w:tcPr>
            <w:tcW w:w="0" w:type="auto"/>
            <w:tcBorders>
              <w:top w:val="nil"/>
              <w:left w:val="nil"/>
              <w:bottom w:val="single" w:sz="4" w:space="0" w:color="9136AF"/>
              <w:right w:val="single" w:sz="4" w:space="0" w:color="9136AF"/>
            </w:tcBorders>
            <w:shd w:val="clear" w:color="000000" w:fill="FF0000"/>
            <w:vAlign w:val="center"/>
            <w:hideMark/>
          </w:tcPr>
          <w:p w14:paraId="6870DCA6"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140</w:t>
            </w:r>
          </w:p>
        </w:tc>
        <w:tc>
          <w:tcPr>
            <w:tcW w:w="0" w:type="auto"/>
            <w:tcBorders>
              <w:top w:val="nil"/>
              <w:left w:val="nil"/>
              <w:bottom w:val="single" w:sz="4" w:space="0" w:color="9136AF"/>
              <w:right w:val="single" w:sz="4" w:space="0" w:color="9136AF"/>
            </w:tcBorders>
            <w:shd w:val="clear" w:color="000000" w:fill="FFFFFF"/>
            <w:noWrap/>
            <w:vAlign w:val="center"/>
            <w:hideMark/>
          </w:tcPr>
          <w:p w14:paraId="4CCDBE45"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135</w:t>
            </w:r>
          </w:p>
        </w:tc>
        <w:tc>
          <w:tcPr>
            <w:tcW w:w="950"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5A2181B8"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28</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3780BAB9" w14:textId="77777777" w:rsidR="00BD451D" w:rsidRPr="002121EE" w:rsidRDefault="00BD451D" w:rsidP="002121EE">
            <w:pPr>
              <w:spacing w:after="0" w:line="240" w:lineRule="auto"/>
              <w:jc w:val="center"/>
              <w:rPr>
                <w:rFonts w:ascii="Arial" w:eastAsia="Times New Roman" w:hAnsi="Arial" w:cs="Arial"/>
                <w:color w:val="00B050"/>
                <w:sz w:val="20"/>
                <w:szCs w:val="20"/>
                <w:lang w:eastAsia="en-GB"/>
              </w:rPr>
            </w:pPr>
            <w:r w:rsidRPr="002121EE">
              <w:rPr>
                <w:rFonts w:ascii="Arial" w:eastAsia="Times New Roman" w:hAnsi="Arial" w:cs="Arial"/>
                <w:color w:val="00B050"/>
                <w:sz w:val="20"/>
                <w:szCs w:val="20"/>
                <w:lang w:eastAsia="en-GB"/>
              </w:rPr>
              <w:t>15.1%</w:t>
            </w:r>
          </w:p>
        </w:tc>
        <w:tc>
          <w:tcPr>
            <w:tcW w:w="0" w:type="auto"/>
            <w:tcBorders>
              <w:top w:val="nil"/>
              <w:left w:val="nil"/>
              <w:bottom w:val="single" w:sz="4" w:space="0" w:color="9136AF"/>
              <w:right w:val="single" w:sz="4" w:space="0" w:color="9136AF"/>
            </w:tcBorders>
            <w:shd w:val="clear" w:color="000000" w:fill="FFFFFF"/>
            <w:noWrap/>
            <w:vAlign w:val="bottom"/>
            <w:hideMark/>
          </w:tcPr>
          <w:p w14:paraId="60881921" w14:textId="7EA7D0B7" w:rsidR="00BD451D" w:rsidRPr="002121EE" w:rsidRDefault="00BD451D" w:rsidP="002121EE">
            <w:pPr>
              <w:spacing w:after="0" w:line="240" w:lineRule="auto"/>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4" behindDoc="0" locked="0" layoutInCell="1" allowOverlap="1" wp14:anchorId="688CC1A8" wp14:editId="3004DBFB">
                  <wp:simplePos x="0" y="0"/>
                  <wp:positionH relativeFrom="column">
                    <wp:posOffset>62230</wp:posOffset>
                  </wp:positionH>
                  <wp:positionV relativeFrom="paragraph">
                    <wp:posOffset>-490220</wp:posOffset>
                  </wp:positionV>
                  <wp:extent cx="317500" cy="254000"/>
                  <wp:effectExtent l="0" t="0" r="6350" b="0"/>
                  <wp:wrapNone/>
                  <wp:docPr id="965607953" name="Picture 56" descr="P1304C53T24#y1">
                    <a:extLst xmlns:a="http://schemas.openxmlformats.org/drawingml/2006/main">
                      <a:ext uri="{FF2B5EF4-FFF2-40B4-BE49-F238E27FC236}">
                        <a16:creationId xmlns:a16="http://schemas.microsoft.com/office/drawing/2014/main" id="{7E5A22E0-F540-4E6D-83CD-2E2A1522BBAF}"/>
                      </a:ext>
                      <a:ext uri="{147F2762-F138-4A5C-976F-8EAC2B608ADB}">
                        <a16:predDERef xmlns:a16="http://schemas.microsoft.com/office/drawing/2014/main" pred="{563B0DEE-4560-4D48-AAE0-F2C0BE1E7546}"/>
                      </a:ext>
                    </a:extLst>
                  </wp:docPr>
                  <wp:cNvGraphicFramePr/>
                  <a:graphic xmlns:a="http://schemas.openxmlformats.org/drawingml/2006/main">
                    <a:graphicData uri="http://schemas.openxmlformats.org/drawingml/2006/picture">
                      <pic:pic xmlns:pic="http://schemas.openxmlformats.org/drawingml/2006/picture">
                        <pic:nvPicPr>
                          <pic:cNvPr id="965607953" name="Picture 44" descr="P1304C53T24#y1">
                            <a:extLst>
                              <a:ext uri="{FF2B5EF4-FFF2-40B4-BE49-F238E27FC236}">
                                <a16:creationId xmlns:a16="http://schemas.microsoft.com/office/drawing/2014/main" id="{7E5A22E0-F540-4E6D-83CD-2E2A1522BBAF}"/>
                              </a:ext>
                              <a:ext uri="{147F2762-F138-4A5C-976F-8EAC2B608ADB}">
                                <a16:predDERef xmlns:a16="http://schemas.microsoft.com/office/drawing/2014/main" pred="{563B0DEE-4560-4D48-AAE0-F2C0BE1E754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064BBAAF" w14:textId="57A561DA"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58A3C436" w14:textId="77777777" w:rsidTr="00BD451D">
        <w:trPr>
          <w:trHeight w:val="1065"/>
        </w:trPr>
        <w:tc>
          <w:tcPr>
            <w:tcW w:w="0" w:type="auto"/>
            <w:vMerge/>
            <w:tcBorders>
              <w:top w:val="nil"/>
              <w:left w:val="single" w:sz="4" w:space="0" w:color="9136AF"/>
              <w:bottom w:val="single" w:sz="4" w:space="0" w:color="9136AF"/>
              <w:right w:val="single" w:sz="4" w:space="0" w:color="9136AF"/>
            </w:tcBorders>
            <w:vAlign w:val="center"/>
            <w:hideMark/>
          </w:tcPr>
          <w:p w14:paraId="5FFC9DD3"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793F82FD"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HS-002A</w:t>
            </w:r>
          </w:p>
        </w:tc>
        <w:tc>
          <w:tcPr>
            <w:tcW w:w="0" w:type="auto"/>
            <w:tcBorders>
              <w:top w:val="nil"/>
              <w:left w:val="nil"/>
              <w:bottom w:val="single" w:sz="4" w:space="0" w:color="9136AF"/>
              <w:right w:val="single" w:sz="4" w:space="0" w:color="9136AF"/>
            </w:tcBorders>
            <w:shd w:val="clear" w:color="auto" w:fill="auto"/>
            <w:vAlign w:val="center"/>
            <w:hideMark/>
          </w:tcPr>
          <w:p w14:paraId="14910DDD"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Total number of unique individuals verified as rough sleeping</w:t>
            </w:r>
          </w:p>
        </w:tc>
        <w:tc>
          <w:tcPr>
            <w:tcW w:w="0" w:type="auto"/>
            <w:tcBorders>
              <w:top w:val="nil"/>
              <w:left w:val="nil"/>
              <w:bottom w:val="single" w:sz="4" w:space="0" w:color="9136AF"/>
              <w:right w:val="single" w:sz="4" w:space="0" w:color="9136AF"/>
            </w:tcBorders>
            <w:shd w:val="clear" w:color="auto" w:fill="auto"/>
            <w:vAlign w:val="center"/>
            <w:hideMark/>
          </w:tcPr>
          <w:p w14:paraId="1BCD84C5"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noWrap/>
            <w:vAlign w:val="center"/>
            <w:hideMark/>
          </w:tcPr>
          <w:p w14:paraId="366B36DC"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Lower</w:t>
            </w:r>
          </w:p>
        </w:tc>
        <w:tc>
          <w:tcPr>
            <w:tcW w:w="0" w:type="auto"/>
            <w:tcBorders>
              <w:top w:val="nil"/>
              <w:left w:val="nil"/>
              <w:bottom w:val="single" w:sz="4" w:space="0" w:color="9136AF"/>
              <w:right w:val="single" w:sz="4" w:space="0" w:color="9136AF"/>
            </w:tcBorders>
            <w:shd w:val="clear" w:color="000000" w:fill="FF0000"/>
            <w:vAlign w:val="center"/>
            <w:hideMark/>
          </w:tcPr>
          <w:p w14:paraId="4A245FBA"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197</w:t>
            </w:r>
          </w:p>
        </w:tc>
        <w:tc>
          <w:tcPr>
            <w:tcW w:w="0" w:type="auto"/>
            <w:tcBorders>
              <w:top w:val="nil"/>
              <w:left w:val="nil"/>
              <w:bottom w:val="single" w:sz="4" w:space="0" w:color="9136AF"/>
              <w:right w:val="single" w:sz="4" w:space="0" w:color="9136AF"/>
            </w:tcBorders>
            <w:shd w:val="clear" w:color="000000" w:fill="FFFFFF"/>
            <w:noWrap/>
            <w:vAlign w:val="center"/>
            <w:hideMark/>
          </w:tcPr>
          <w:p w14:paraId="7079392F"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170</w:t>
            </w:r>
          </w:p>
        </w:tc>
        <w:tc>
          <w:tcPr>
            <w:tcW w:w="950" w:type="dxa"/>
            <w:tcBorders>
              <w:top w:val="single" w:sz="4" w:space="0" w:color="9136AF"/>
              <w:left w:val="single" w:sz="4" w:space="0" w:color="9136AF"/>
              <w:bottom w:val="single" w:sz="4" w:space="0" w:color="9136AF"/>
              <w:right w:val="single" w:sz="4" w:space="0" w:color="9136AF"/>
            </w:tcBorders>
            <w:shd w:val="clear" w:color="000000" w:fill="FF0000"/>
            <w:vAlign w:val="center"/>
            <w:hideMark/>
          </w:tcPr>
          <w:p w14:paraId="4021B718"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100</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2581FC51" w14:textId="77777777" w:rsidR="00BD451D" w:rsidRPr="002121EE" w:rsidRDefault="00BD451D" w:rsidP="002121EE">
            <w:pPr>
              <w:spacing w:after="0" w:line="240" w:lineRule="auto"/>
              <w:jc w:val="center"/>
              <w:rPr>
                <w:rFonts w:ascii="Arial" w:eastAsia="Times New Roman" w:hAnsi="Arial" w:cs="Arial"/>
                <w:color w:val="FF0000"/>
                <w:sz w:val="20"/>
                <w:szCs w:val="20"/>
                <w:lang w:eastAsia="en-GB"/>
              </w:rPr>
            </w:pPr>
            <w:r w:rsidRPr="002121EE">
              <w:rPr>
                <w:rFonts w:ascii="Arial" w:eastAsia="Times New Roman" w:hAnsi="Arial" w:cs="Arial"/>
                <w:color w:val="FF0000"/>
                <w:sz w:val="20"/>
                <w:szCs w:val="20"/>
                <w:lang w:eastAsia="en-GB"/>
              </w:rPr>
              <w:t>-150%</w:t>
            </w:r>
          </w:p>
        </w:tc>
        <w:tc>
          <w:tcPr>
            <w:tcW w:w="0" w:type="auto"/>
            <w:tcBorders>
              <w:top w:val="nil"/>
              <w:left w:val="nil"/>
              <w:bottom w:val="single" w:sz="4" w:space="0" w:color="9136AF"/>
              <w:right w:val="single" w:sz="4" w:space="0" w:color="9136AF"/>
            </w:tcBorders>
            <w:shd w:val="clear" w:color="000000" w:fill="FFFFFF"/>
            <w:noWrap/>
            <w:vAlign w:val="center"/>
            <w:hideMark/>
          </w:tcPr>
          <w:p w14:paraId="06B97B55" w14:textId="34B5EB86"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2" behindDoc="0" locked="0" layoutInCell="1" allowOverlap="1" wp14:anchorId="7AEE334D" wp14:editId="136803CE">
                  <wp:simplePos x="0" y="0"/>
                  <wp:positionH relativeFrom="column">
                    <wp:posOffset>66675</wp:posOffset>
                  </wp:positionH>
                  <wp:positionV relativeFrom="paragraph">
                    <wp:posOffset>114300</wp:posOffset>
                  </wp:positionV>
                  <wp:extent cx="279400" cy="247650"/>
                  <wp:effectExtent l="0" t="0" r="0" b="0"/>
                  <wp:wrapNone/>
                  <wp:docPr id="333564011" name="Picture 57" descr="P1316C63T24#y1">
                    <a:extLst xmlns:a="http://schemas.openxmlformats.org/drawingml/2006/main">
                      <a:ext uri="{FF2B5EF4-FFF2-40B4-BE49-F238E27FC236}">
                        <a16:creationId xmlns:a16="http://schemas.microsoft.com/office/drawing/2014/main" id="{668CE706-94C2-4C3C-A027-65A81F997BB1}"/>
                      </a:ext>
                    </a:extLst>
                  </wp:docPr>
                  <wp:cNvGraphicFramePr/>
                  <a:graphic xmlns:a="http://schemas.openxmlformats.org/drawingml/2006/main">
                    <a:graphicData uri="http://schemas.openxmlformats.org/drawingml/2006/picture">
                      <pic:pic xmlns:pic="http://schemas.openxmlformats.org/drawingml/2006/picture">
                        <pic:nvPicPr>
                          <pic:cNvPr id="333564011" name="Picture 43" descr="P1316C63T24#y1">
                            <a:extLst>
                              <a:ext uri="{FF2B5EF4-FFF2-40B4-BE49-F238E27FC236}">
                                <a16:creationId xmlns:a16="http://schemas.microsoft.com/office/drawing/2014/main" id="{668CE706-94C2-4C3C-A027-65A81F997BB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794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366B979A" w14:textId="0F93D09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548125D6" w14:textId="77777777" w:rsidTr="00BD451D">
        <w:trPr>
          <w:trHeight w:val="1065"/>
        </w:trPr>
        <w:tc>
          <w:tcPr>
            <w:tcW w:w="0" w:type="auto"/>
            <w:vMerge/>
            <w:tcBorders>
              <w:top w:val="nil"/>
              <w:left w:val="single" w:sz="4" w:space="0" w:color="9136AF"/>
              <w:bottom w:val="single" w:sz="4" w:space="0" w:color="9136AF"/>
              <w:right w:val="single" w:sz="4" w:space="0" w:color="9136AF"/>
            </w:tcBorders>
            <w:vAlign w:val="center"/>
            <w:hideMark/>
          </w:tcPr>
          <w:p w14:paraId="1DAB4095"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4DD95C5C"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HS-002B</w:t>
            </w:r>
          </w:p>
        </w:tc>
        <w:tc>
          <w:tcPr>
            <w:tcW w:w="0" w:type="auto"/>
            <w:tcBorders>
              <w:top w:val="nil"/>
              <w:left w:val="nil"/>
              <w:bottom w:val="single" w:sz="4" w:space="0" w:color="9136AF"/>
              <w:right w:val="single" w:sz="4" w:space="0" w:color="9136AF"/>
            </w:tcBorders>
            <w:shd w:val="clear" w:color="auto" w:fill="auto"/>
            <w:vAlign w:val="center"/>
            <w:hideMark/>
          </w:tcPr>
          <w:p w14:paraId="26B91329"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Number of unique individuals verified as new to rough sleeping</w:t>
            </w:r>
          </w:p>
        </w:tc>
        <w:tc>
          <w:tcPr>
            <w:tcW w:w="0" w:type="auto"/>
            <w:tcBorders>
              <w:top w:val="nil"/>
              <w:left w:val="nil"/>
              <w:bottom w:val="single" w:sz="4" w:space="0" w:color="9136AF"/>
              <w:right w:val="single" w:sz="4" w:space="0" w:color="9136AF"/>
            </w:tcBorders>
            <w:shd w:val="clear" w:color="auto" w:fill="auto"/>
            <w:vAlign w:val="center"/>
            <w:hideMark/>
          </w:tcPr>
          <w:p w14:paraId="2520C84A"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noWrap/>
            <w:vAlign w:val="center"/>
            <w:hideMark/>
          </w:tcPr>
          <w:p w14:paraId="75B081CA"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Lower</w:t>
            </w:r>
          </w:p>
        </w:tc>
        <w:tc>
          <w:tcPr>
            <w:tcW w:w="0" w:type="auto"/>
            <w:tcBorders>
              <w:top w:val="nil"/>
              <w:left w:val="nil"/>
              <w:bottom w:val="single" w:sz="4" w:space="0" w:color="9136AF"/>
              <w:right w:val="single" w:sz="4" w:space="0" w:color="9136AF"/>
            </w:tcBorders>
            <w:shd w:val="clear" w:color="000000" w:fill="FF0000"/>
            <w:vAlign w:val="center"/>
            <w:hideMark/>
          </w:tcPr>
          <w:p w14:paraId="0F702A75"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134</w:t>
            </w:r>
          </w:p>
        </w:tc>
        <w:tc>
          <w:tcPr>
            <w:tcW w:w="0" w:type="auto"/>
            <w:tcBorders>
              <w:top w:val="nil"/>
              <w:left w:val="nil"/>
              <w:bottom w:val="single" w:sz="4" w:space="0" w:color="9136AF"/>
              <w:right w:val="single" w:sz="4" w:space="0" w:color="9136AF"/>
            </w:tcBorders>
            <w:shd w:val="clear" w:color="000000" w:fill="FFFFFF"/>
            <w:noWrap/>
            <w:vAlign w:val="center"/>
            <w:hideMark/>
          </w:tcPr>
          <w:p w14:paraId="5D197895"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120</w:t>
            </w:r>
          </w:p>
        </w:tc>
        <w:tc>
          <w:tcPr>
            <w:tcW w:w="950" w:type="dxa"/>
            <w:tcBorders>
              <w:top w:val="single" w:sz="4" w:space="0" w:color="9136AF"/>
              <w:left w:val="single" w:sz="4" w:space="0" w:color="9136AF"/>
              <w:bottom w:val="single" w:sz="4" w:space="0" w:color="9136AF"/>
              <w:right w:val="single" w:sz="4" w:space="0" w:color="9136AF"/>
            </w:tcBorders>
            <w:shd w:val="clear" w:color="000000" w:fill="FF0000"/>
            <w:vAlign w:val="center"/>
            <w:hideMark/>
          </w:tcPr>
          <w:p w14:paraId="2251FDD3"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47</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4B77930C" w14:textId="77777777" w:rsidR="00BD451D" w:rsidRPr="002121EE" w:rsidRDefault="00BD451D" w:rsidP="002121EE">
            <w:pPr>
              <w:spacing w:after="0" w:line="240" w:lineRule="auto"/>
              <w:jc w:val="center"/>
              <w:rPr>
                <w:rFonts w:ascii="Arial" w:eastAsia="Times New Roman" w:hAnsi="Arial" w:cs="Arial"/>
                <w:color w:val="FF0000"/>
                <w:sz w:val="20"/>
                <w:szCs w:val="20"/>
                <w:lang w:eastAsia="en-GB"/>
              </w:rPr>
            </w:pPr>
            <w:r w:rsidRPr="002121EE">
              <w:rPr>
                <w:rFonts w:ascii="Arial" w:eastAsia="Times New Roman" w:hAnsi="Arial" w:cs="Arial"/>
                <w:color w:val="FF0000"/>
                <w:sz w:val="20"/>
                <w:szCs w:val="20"/>
                <w:lang w:eastAsia="en-GB"/>
              </w:rPr>
              <w:t>-56.67%</w:t>
            </w:r>
          </w:p>
        </w:tc>
        <w:tc>
          <w:tcPr>
            <w:tcW w:w="0" w:type="auto"/>
            <w:tcBorders>
              <w:top w:val="nil"/>
              <w:left w:val="nil"/>
              <w:bottom w:val="single" w:sz="4" w:space="0" w:color="9136AF"/>
              <w:right w:val="single" w:sz="4" w:space="0" w:color="9136AF"/>
            </w:tcBorders>
            <w:shd w:val="clear" w:color="000000" w:fill="FFFFFF"/>
            <w:noWrap/>
            <w:vAlign w:val="center"/>
            <w:hideMark/>
          </w:tcPr>
          <w:p w14:paraId="4551191D" w14:textId="3FD7A0E9"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6" behindDoc="0" locked="0" layoutInCell="1" allowOverlap="1" wp14:anchorId="1F33190B" wp14:editId="6F0AD3A8">
                  <wp:simplePos x="0" y="0"/>
                  <wp:positionH relativeFrom="column">
                    <wp:posOffset>57785</wp:posOffset>
                  </wp:positionH>
                  <wp:positionV relativeFrom="paragraph">
                    <wp:posOffset>50800</wp:posOffset>
                  </wp:positionV>
                  <wp:extent cx="279400" cy="260350"/>
                  <wp:effectExtent l="0" t="0" r="6350" b="0"/>
                  <wp:wrapNone/>
                  <wp:docPr id="1249180951" name="Picture 58" descr="P1328C73T24#y1">
                    <a:extLst xmlns:a="http://schemas.openxmlformats.org/drawingml/2006/main">
                      <a:ext uri="{FF2B5EF4-FFF2-40B4-BE49-F238E27FC236}">
                        <a16:creationId xmlns:a16="http://schemas.microsoft.com/office/drawing/2014/main" id="{54811CA7-6673-4CD6-9489-86878409D8C6}"/>
                      </a:ext>
                    </a:extLst>
                  </wp:docPr>
                  <wp:cNvGraphicFramePr/>
                  <a:graphic xmlns:a="http://schemas.openxmlformats.org/drawingml/2006/main">
                    <a:graphicData uri="http://schemas.openxmlformats.org/drawingml/2006/picture">
                      <pic:pic xmlns:pic="http://schemas.openxmlformats.org/drawingml/2006/picture">
                        <pic:nvPicPr>
                          <pic:cNvPr id="1249180951" name="Picture 42" descr="P1328C73T24#y1">
                            <a:extLst>
                              <a:ext uri="{FF2B5EF4-FFF2-40B4-BE49-F238E27FC236}">
                                <a16:creationId xmlns:a16="http://schemas.microsoft.com/office/drawing/2014/main" id="{54811CA7-6673-4CD6-9489-86878409D8C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7940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6EFF5588" w14:textId="138A6880"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3074DC3D" w14:textId="77777777" w:rsidTr="00EA7322">
        <w:trPr>
          <w:trHeight w:val="1065"/>
        </w:trPr>
        <w:tc>
          <w:tcPr>
            <w:tcW w:w="0" w:type="auto"/>
            <w:vMerge/>
            <w:tcBorders>
              <w:top w:val="nil"/>
              <w:left w:val="single" w:sz="4" w:space="0" w:color="9136AF"/>
              <w:bottom w:val="single" w:sz="4" w:space="0" w:color="9136AF"/>
              <w:right w:val="single" w:sz="4" w:space="0" w:color="9136AF"/>
            </w:tcBorders>
            <w:vAlign w:val="center"/>
            <w:hideMark/>
          </w:tcPr>
          <w:p w14:paraId="79955E14"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72470F36"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G&amp;P-011</w:t>
            </w:r>
          </w:p>
        </w:tc>
        <w:tc>
          <w:tcPr>
            <w:tcW w:w="0" w:type="auto"/>
            <w:tcBorders>
              <w:top w:val="nil"/>
              <w:left w:val="nil"/>
              <w:bottom w:val="single" w:sz="4" w:space="0" w:color="9136AF"/>
              <w:right w:val="single" w:sz="4" w:space="0" w:color="9136AF"/>
            </w:tcBorders>
            <w:shd w:val="clear" w:color="auto" w:fill="auto"/>
            <w:vAlign w:val="center"/>
            <w:hideMark/>
          </w:tcPr>
          <w:p w14:paraId="2B1F84D4"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Number of net increases in dwelling stock</w:t>
            </w:r>
          </w:p>
        </w:tc>
        <w:tc>
          <w:tcPr>
            <w:tcW w:w="0" w:type="auto"/>
            <w:tcBorders>
              <w:top w:val="nil"/>
              <w:left w:val="nil"/>
              <w:bottom w:val="single" w:sz="4" w:space="0" w:color="9136AF"/>
              <w:right w:val="single" w:sz="4" w:space="0" w:color="9136AF"/>
            </w:tcBorders>
            <w:shd w:val="clear" w:color="auto" w:fill="auto"/>
            <w:vAlign w:val="center"/>
            <w:hideMark/>
          </w:tcPr>
          <w:p w14:paraId="73377661"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noWrap/>
            <w:vAlign w:val="center"/>
            <w:hideMark/>
          </w:tcPr>
          <w:p w14:paraId="31C55E60"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Higher</w:t>
            </w:r>
          </w:p>
        </w:tc>
        <w:tc>
          <w:tcPr>
            <w:tcW w:w="0" w:type="auto"/>
            <w:tcBorders>
              <w:top w:val="nil"/>
              <w:left w:val="nil"/>
              <w:bottom w:val="single" w:sz="4" w:space="0" w:color="9136AF"/>
              <w:right w:val="single" w:sz="4" w:space="0" w:color="9136AF"/>
            </w:tcBorders>
            <w:shd w:val="clear" w:color="000000" w:fill="FF0000"/>
            <w:vAlign w:val="center"/>
            <w:hideMark/>
          </w:tcPr>
          <w:p w14:paraId="7BC25B85"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223</w:t>
            </w:r>
          </w:p>
        </w:tc>
        <w:tc>
          <w:tcPr>
            <w:tcW w:w="0" w:type="auto"/>
            <w:tcBorders>
              <w:top w:val="nil"/>
              <w:left w:val="nil"/>
              <w:bottom w:val="single" w:sz="4" w:space="0" w:color="9136AF"/>
              <w:right w:val="single" w:sz="4" w:space="0" w:color="9136AF"/>
            </w:tcBorders>
            <w:shd w:val="clear" w:color="000000" w:fill="FFFFFF"/>
            <w:noWrap/>
            <w:vAlign w:val="center"/>
            <w:hideMark/>
          </w:tcPr>
          <w:p w14:paraId="6A3DE491"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486</w:t>
            </w:r>
          </w:p>
        </w:tc>
        <w:tc>
          <w:tcPr>
            <w:tcW w:w="950" w:type="dxa"/>
            <w:tcBorders>
              <w:top w:val="single" w:sz="4" w:space="0" w:color="9136AF"/>
              <w:left w:val="single" w:sz="4" w:space="0" w:color="9136AF"/>
              <w:bottom w:val="single" w:sz="4" w:space="0" w:color="9136AF"/>
              <w:right w:val="single" w:sz="4" w:space="0" w:color="9136AF"/>
            </w:tcBorders>
            <w:shd w:val="clear" w:color="auto" w:fill="92D050"/>
            <w:vAlign w:val="center"/>
            <w:hideMark/>
          </w:tcPr>
          <w:p w14:paraId="5254CD73" w14:textId="5DB0DE6F" w:rsidR="00BD451D" w:rsidRPr="002121EE" w:rsidRDefault="00EA7322" w:rsidP="002121E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176</w:t>
            </w:r>
          </w:p>
        </w:tc>
        <w:tc>
          <w:tcPr>
            <w:tcW w:w="1084" w:type="dxa"/>
            <w:tcBorders>
              <w:top w:val="single" w:sz="4" w:space="0" w:color="9136AF"/>
              <w:left w:val="single" w:sz="4" w:space="0" w:color="9136AF"/>
              <w:bottom w:val="single" w:sz="4" w:space="0" w:color="9136AF"/>
              <w:right w:val="single" w:sz="4" w:space="0" w:color="9136AF"/>
            </w:tcBorders>
            <w:shd w:val="clear" w:color="FFFFFF" w:fill="FFFFFF"/>
            <w:vAlign w:val="center"/>
            <w:hideMark/>
          </w:tcPr>
          <w:p w14:paraId="207145D0" w14:textId="69B275E3" w:rsidR="00BD451D" w:rsidRPr="002121EE" w:rsidRDefault="00EA7322" w:rsidP="002121EE">
            <w:pPr>
              <w:spacing w:after="0" w:line="240" w:lineRule="auto"/>
              <w:jc w:val="center"/>
              <w:rPr>
                <w:rFonts w:ascii="Arial" w:eastAsia="Times New Roman" w:hAnsi="Arial" w:cs="Arial"/>
                <w:color w:val="D9D9D9"/>
                <w:sz w:val="20"/>
                <w:szCs w:val="20"/>
                <w:lang w:eastAsia="en-GB"/>
              </w:rPr>
            </w:pPr>
            <w:r w:rsidRPr="00EA7322">
              <w:rPr>
                <w:rFonts w:ascii="Arial" w:eastAsia="Times New Roman" w:hAnsi="Arial" w:cs="Arial"/>
                <w:color w:val="00B050"/>
                <w:sz w:val="20"/>
                <w:szCs w:val="20"/>
                <w:lang w:eastAsia="en-GB"/>
              </w:rPr>
              <w:t>44.86</w:t>
            </w:r>
            <w:r w:rsidR="00BD451D" w:rsidRPr="002121EE">
              <w:rPr>
                <w:rFonts w:ascii="Arial" w:eastAsia="Times New Roman" w:hAnsi="Arial" w:cs="Arial"/>
                <w:color w:val="00B050"/>
                <w:sz w:val="20"/>
                <w:szCs w:val="20"/>
                <w:lang w:eastAsia="en-GB"/>
              </w:rPr>
              <w:t>%</w:t>
            </w:r>
          </w:p>
        </w:tc>
        <w:tc>
          <w:tcPr>
            <w:tcW w:w="0" w:type="auto"/>
            <w:tcBorders>
              <w:top w:val="nil"/>
              <w:left w:val="nil"/>
              <w:bottom w:val="single" w:sz="4" w:space="0" w:color="9136AF"/>
              <w:right w:val="single" w:sz="4" w:space="0" w:color="9136AF"/>
            </w:tcBorders>
            <w:shd w:val="clear" w:color="000000" w:fill="FFFFFF"/>
            <w:noWrap/>
            <w:vAlign w:val="bottom"/>
            <w:hideMark/>
          </w:tcPr>
          <w:p w14:paraId="348FFC07" w14:textId="272A8475" w:rsidR="00BD451D" w:rsidRPr="002121EE" w:rsidRDefault="00EA7322" w:rsidP="002121EE">
            <w:pPr>
              <w:spacing w:after="0" w:line="240" w:lineRule="auto"/>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315" behindDoc="0" locked="0" layoutInCell="1" allowOverlap="1" wp14:anchorId="626BC8DA" wp14:editId="1A756A55">
                  <wp:simplePos x="0" y="0"/>
                  <wp:positionH relativeFrom="column">
                    <wp:posOffset>54610</wp:posOffset>
                  </wp:positionH>
                  <wp:positionV relativeFrom="paragraph">
                    <wp:posOffset>-317500</wp:posOffset>
                  </wp:positionV>
                  <wp:extent cx="279400" cy="266700"/>
                  <wp:effectExtent l="0" t="0" r="6350" b="0"/>
                  <wp:wrapNone/>
                  <wp:docPr id="712035740" name="Picture 59" descr="P1340C83T24#y1">
                    <a:extLst xmlns:a="http://schemas.openxmlformats.org/drawingml/2006/main">
                      <a:ext uri="{FF2B5EF4-FFF2-40B4-BE49-F238E27FC236}">
                        <a16:creationId xmlns:a16="http://schemas.microsoft.com/office/drawing/2014/main" id="{B1F033A1-A215-41C3-B911-303F5D50F010}"/>
                      </a:ext>
                      <a:ext uri="{147F2762-F138-4A5C-976F-8EAC2B608ADB}">
                        <a16:predDERef xmlns:a16="http://schemas.microsoft.com/office/drawing/2014/main" pred="{9633D6D2-A65D-4D11-A29B-402298F3AC5B}"/>
                      </a:ext>
                    </a:extLst>
                  </wp:docPr>
                  <wp:cNvGraphicFramePr/>
                  <a:graphic xmlns:a="http://schemas.openxmlformats.org/drawingml/2006/main">
                    <a:graphicData uri="http://schemas.openxmlformats.org/drawingml/2006/picture">
                      <pic:pic xmlns:pic="http://schemas.openxmlformats.org/drawingml/2006/picture">
                        <pic:nvPicPr>
                          <pic:cNvPr id="712035740" name="Picture 41" descr="P1340C83T24#y1">
                            <a:extLst>
                              <a:ext uri="{FF2B5EF4-FFF2-40B4-BE49-F238E27FC236}">
                                <a16:creationId xmlns:a16="http://schemas.microsoft.com/office/drawing/2014/main" id="{B1F033A1-A215-41C3-B911-303F5D50F010}"/>
                              </a:ext>
                              <a:ext uri="{147F2762-F138-4A5C-976F-8EAC2B608ADB}">
                                <a16:predDERef xmlns:a16="http://schemas.microsoft.com/office/drawing/2014/main" pred="{9633D6D2-A65D-4D11-A29B-402298F3AC5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pic:spPr>
                      </pic:pic>
                    </a:graphicData>
                  </a:graphic>
                  <wp14:sizeRelH relativeFrom="page">
                    <wp14:pctWidth>0</wp14:pctWidth>
                  </wp14:sizeRelH>
                  <wp14:sizeRelV relativeFrom="page">
                    <wp14:pctHeight>0</wp14:pctHeight>
                  </wp14:sizeRelV>
                </wp:anchor>
              </w:drawing>
            </w:r>
            <w:r w:rsidR="00BD451D" w:rsidRPr="002121EE">
              <w:rPr>
                <w:rFonts w:ascii="Arial" w:eastAsia="Times New Roman" w:hAnsi="Arial" w:cs="Arial"/>
                <w:color w:val="000000"/>
                <w:sz w:val="20"/>
                <w:szCs w:val="20"/>
                <w:lang w:eastAsia="en-GB"/>
              </w:rPr>
              <w:t> </w:t>
            </w:r>
          </w:p>
        </w:tc>
        <w:tc>
          <w:tcPr>
            <w:tcW w:w="0" w:type="auto"/>
            <w:tcBorders>
              <w:top w:val="nil"/>
              <w:left w:val="nil"/>
              <w:bottom w:val="single" w:sz="4" w:space="0" w:color="9136AF"/>
              <w:right w:val="single" w:sz="4" w:space="0" w:color="9136AF"/>
            </w:tcBorders>
            <w:shd w:val="clear" w:color="auto" w:fill="auto"/>
            <w:noWrap/>
            <w:vAlign w:val="center"/>
            <w:hideMark/>
          </w:tcPr>
          <w:p w14:paraId="1487953C"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r w:rsidR="00BD451D" w:rsidRPr="002121EE" w14:paraId="493ACAC5" w14:textId="77777777" w:rsidTr="00BD451D">
        <w:trPr>
          <w:trHeight w:val="1065"/>
        </w:trPr>
        <w:tc>
          <w:tcPr>
            <w:tcW w:w="0" w:type="auto"/>
            <w:vMerge/>
            <w:tcBorders>
              <w:top w:val="nil"/>
              <w:left w:val="single" w:sz="4" w:space="0" w:color="9136AF"/>
              <w:bottom w:val="single" w:sz="4" w:space="0" w:color="9136AF"/>
              <w:right w:val="single" w:sz="4" w:space="0" w:color="9136AF"/>
            </w:tcBorders>
            <w:vAlign w:val="center"/>
            <w:hideMark/>
          </w:tcPr>
          <w:p w14:paraId="0E31E7E8" w14:textId="77777777" w:rsidR="00BD451D" w:rsidRPr="002121EE" w:rsidRDefault="00BD451D" w:rsidP="002121EE">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9136AF"/>
              <w:right w:val="single" w:sz="4" w:space="0" w:color="9136AF"/>
            </w:tcBorders>
            <w:shd w:val="clear" w:color="auto" w:fill="auto"/>
            <w:vAlign w:val="center"/>
            <w:hideMark/>
          </w:tcPr>
          <w:p w14:paraId="2B9A574B"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G&amp;P-012</w:t>
            </w:r>
          </w:p>
        </w:tc>
        <w:tc>
          <w:tcPr>
            <w:tcW w:w="0" w:type="auto"/>
            <w:tcBorders>
              <w:top w:val="nil"/>
              <w:left w:val="nil"/>
              <w:bottom w:val="single" w:sz="4" w:space="0" w:color="9136AF"/>
              <w:right w:val="single" w:sz="4" w:space="0" w:color="9136AF"/>
            </w:tcBorders>
            <w:shd w:val="clear" w:color="auto" w:fill="auto"/>
            <w:vAlign w:val="center"/>
            <w:hideMark/>
          </w:tcPr>
          <w:p w14:paraId="5B13B1EF" w14:textId="77777777" w:rsidR="00BD451D" w:rsidRPr="002121EE" w:rsidRDefault="00BD451D" w:rsidP="002121EE">
            <w:pPr>
              <w:spacing w:after="0" w:line="240" w:lineRule="auto"/>
              <w:rPr>
                <w:rFonts w:ascii="Arial" w:eastAsia="Times New Roman" w:hAnsi="Arial" w:cs="Arial"/>
                <w:sz w:val="20"/>
                <w:szCs w:val="20"/>
                <w:lang w:eastAsia="en-GB"/>
              </w:rPr>
            </w:pPr>
            <w:r w:rsidRPr="002121EE">
              <w:rPr>
                <w:rFonts w:ascii="Arial" w:eastAsia="Times New Roman" w:hAnsi="Arial" w:cs="Arial"/>
                <w:sz w:val="20"/>
                <w:szCs w:val="20"/>
                <w:lang w:eastAsia="en-GB"/>
              </w:rPr>
              <w:t>New affordable homes as a percentage of all new homes (gross)</w:t>
            </w:r>
          </w:p>
        </w:tc>
        <w:tc>
          <w:tcPr>
            <w:tcW w:w="0" w:type="auto"/>
            <w:tcBorders>
              <w:top w:val="nil"/>
              <w:left w:val="nil"/>
              <w:bottom w:val="single" w:sz="4" w:space="0" w:color="9136AF"/>
              <w:right w:val="single" w:sz="4" w:space="0" w:color="9136AF"/>
            </w:tcBorders>
            <w:shd w:val="clear" w:color="auto" w:fill="auto"/>
            <w:vAlign w:val="center"/>
            <w:hideMark/>
          </w:tcPr>
          <w:p w14:paraId="1D9E07ED"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Quarterly</w:t>
            </w:r>
          </w:p>
        </w:tc>
        <w:tc>
          <w:tcPr>
            <w:tcW w:w="0" w:type="auto"/>
            <w:tcBorders>
              <w:top w:val="nil"/>
              <w:left w:val="nil"/>
              <w:bottom w:val="single" w:sz="4" w:space="0" w:color="9136AF"/>
              <w:right w:val="single" w:sz="4" w:space="0" w:color="9136AF"/>
            </w:tcBorders>
            <w:shd w:val="clear" w:color="000000" w:fill="FFFFFF"/>
            <w:noWrap/>
            <w:vAlign w:val="center"/>
            <w:hideMark/>
          </w:tcPr>
          <w:p w14:paraId="52A2CA5D" w14:textId="77777777"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Higher</w:t>
            </w:r>
          </w:p>
        </w:tc>
        <w:tc>
          <w:tcPr>
            <w:tcW w:w="0" w:type="auto"/>
            <w:tcBorders>
              <w:top w:val="nil"/>
              <w:left w:val="nil"/>
              <w:bottom w:val="single" w:sz="4" w:space="0" w:color="9136AF"/>
              <w:right w:val="single" w:sz="4" w:space="0" w:color="9136AF"/>
            </w:tcBorders>
            <w:shd w:val="clear" w:color="000000" w:fill="FFC000"/>
            <w:vAlign w:val="center"/>
            <w:hideMark/>
          </w:tcPr>
          <w:p w14:paraId="4A3A45A0"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23%</w:t>
            </w:r>
          </w:p>
        </w:tc>
        <w:tc>
          <w:tcPr>
            <w:tcW w:w="0" w:type="auto"/>
            <w:tcBorders>
              <w:top w:val="nil"/>
              <w:left w:val="nil"/>
              <w:bottom w:val="single" w:sz="4" w:space="0" w:color="9136AF"/>
              <w:right w:val="single" w:sz="4" w:space="0" w:color="9136AF"/>
            </w:tcBorders>
            <w:shd w:val="clear" w:color="000000" w:fill="FFFFFF"/>
            <w:noWrap/>
            <w:vAlign w:val="center"/>
            <w:hideMark/>
          </w:tcPr>
          <w:p w14:paraId="388DDDEC"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26%</w:t>
            </w:r>
          </w:p>
        </w:tc>
        <w:tc>
          <w:tcPr>
            <w:tcW w:w="950"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28B5CC16" w14:textId="77777777"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color w:val="000000"/>
                <w:sz w:val="20"/>
                <w:szCs w:val="20"/>
                <w:lang w:eastAsia="en-GB"/>
              </w:rPr>
              <w:t>35</w:t>
            </w:r>
          </w:p>
        </w:tc>
        <w:tc>
          <w:tcPr>
            <w:tcW w:w="1084"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369C88AA" w14:textId="77777777" w:rsidR="00BD451D" w:rsidRPr="002121EE" w:rsidRDefault="00BD451D" w:rsidP="002121EE">
            <w:pPr>
              <w:spacing w:after="0" w:line="240" w:lineRule="auto"/>
              <w:jc w:val="center"/>
              <w:rPr>
                <w:rFonts w:ascii="Arial" w:eastAsia="Times New Roman" w:hAnsi="Arial" w:cs="Arial"/>
                <w:color w:val="00B050"/>
                <w:sz w:val="20"/>
                <w:szCs w:val="20"/>
                <w:lang w:eastAsia="en-GB"/>
              </w:rPr>
            </w:pPr>
            <w:r w:rsidRPr="002121EE">
              <w:rPr>
                <w:rFonts w:ascii="Arial" w:eastAsia="Times New Roman" w:hAnsi="Arial" w:cs="Arial"/>
                <w:color w:val="00B050"/>
                <w:sz w:val="20"/>
                <w:szCs w:val="20"/>
                <w:lang w:eastAsia="en-GB"/>
              </w:rPr>
              <w:t>34.62%</w:t>
            </w:r>
          </w:p>
        </w:tc>
        <w:tc>
          <w:tcPr>
            <w:tcW w:w="0" w:type="auto"/>
            <w:tcBorders>
              <w:top w:val="nil"/>
              <w:left w:val="nil"/>
              <w:bottom w:val="single" w:sz="4" w:space="0" w:color="9136AF"/>
              <w:right w:val="single" w:sz="4" w:space="0" w:color="9136AF"/>
            </w:tcBorders>
            <w:shd w:val="clear" w:color="auto" w:fill="auto"/>
            <w:noWrap/>
            <w:vAlign w:val="center"/>
            <w:hideMark/>
          </w:tcPr>
          <w:p w14:paraId="2E33C078" w14:textId="493B3CB9" w:rsidR="00BD451D" w:rsidRPr="002121EE" w:rsidRDefault="00BD451D" w:rsidP="002121EE">
            <w:pPr>
              <w:spacing w:after="0" w:line="240" w:lineRule="auto"/>
              <w:jc w:val="center"/>
              <w:rPr>
                <w:rFonts w:ascii="Arial" w:eastAsia="Times New Roman" w:hAnsi="Arial" w:cs="Arial"/>
                <w:color w:val="000000"/>
                <w:sz w:val="20"/>
                <w:szCs w:val="20"/>
                <w:lang w:eastAsia="en-GB"/>
              </w:rPr>
            </w:pPr>
            <w:r w:rsidRPr="002121EE">
              <w:rPr>
                <w:rFonts w:ascii="Arial" w:eastAsia="Times New Roman" w:hAnsi="Arial" w:cs="Arial"/>
                <w:noProof/>
                <w:color w:val="000000"/>
                <w:sz w:val="20"/>
                <w:szCs w:val="20"/>
                <w:lang w:eastAsia="en-GB"/>
              </w:rPr>
              <w:drawing>
                <wp:anchor distT="0" distB="0" distL="114300" distR="114300" simplePos="0" relativeHeight="251658288" behindDoc="0" locked="0" layoutInCell="1" allowOverlap="1" wp14:anchorId="06548F72" wp14:editId="60251005">
                  <wp:simplePos x="0" y="0"/>
                  <wp:positionH relativeFrom="column">
                    <wp:posOffset>68580</wp:posOffset>
                  </wp:positionH>
                  <wp:positionV relativeFrom="paragraph">
                    <wp:posOffset>31750</wp:posOffset>
                  </wp:positionV>
                  <wp:extent cx="279400" cy="266700"/>
                  <wp:effectExtent l="0" t="0" r="6350" b="0"/>
                  <wp:wrapNone/>
                  <wp:docPr id="2046648992" name="Picture 60" descr="P1352C93T24#y1">
                    <a:extLst xmlns:a="http://schemas.openxmlformats.org/drawingml/2006/main">
                      <a:ext uri="{FF2B5EF4-FFF2-40B4-BE49-F238E27FC236}">
                        <a16:creationId xmlns:a16="http://schemas.microsoft.com/office/drawing/2014/main" id="{B1F033A1-A215-41C3-B911-303F5D50F010}"/>
                      </a:ext>
                      <a:ext uri="{147F2762-F138-4A5C-976F-8EAC2B608ADB}">
                        <a16:predDERef xmlns:a16="http://schemas.microsoft.com/office/drawing/2014/main" pred="{9633D6D2-A65D-4D11-A29B-402298F3AC5B}"/>
                      </a:ext>
                    </a:extLst>
                  </wp:docPr>
                  <wp:cNvGraphicFramePr/>
                  <a:graphic xmlns:a="http://schemas.openxmlformats.org/drawingml/2006/main">
                    <a:graphicData uri="http://schemas.openxmlformats.org/drawingml/2006/picture">
                      <pic:pic xmlns:pic="http://schemas.openxmlformats.org/drawingml/2006/picture">
                        <pic:nvPicPr>
                          <pic:cNvPr id="2046648992" name="Picture 41" descr="P1352C93T24#y1">
                            <a:extLst>
                              <a:ext uri="{FF2B5EF4-FFF2-40B4-BE49-F238E27FC236}">
                                <a16:creationId xmlns:a16="http://schemas.microsoft.com/office/drawing/2014/main" id="{B1F033A1-A215-41C3-B911-303F5D50F010}"/>
                              </a:ext>
                              <a:ext uri="{147F2762-F138-4A5C-976F-8EAC2B608ADB}">
                                <a16:predDERef xmlns:a16="http://schemas.microsoft.com/office/drawing/2014/main" pred="{9633D6D2-A65D-4D11-A29B-402298F3AC5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9136AF"/>
              <w:right w:val="single" w:sz="4" w:space="0" w:color="9136AF"/>
            </w:tcBorders>
            <w:shd w:val="clear" w:color="auto" w:fill="auto"/>
            <w:noWrap/>
            <w:vAlign w:val="center"/>
            <w:hideMark/>
          </w:tcPr>
          <w:p w14:paraId="41FAAFE5" w14:textId="218A1458" w:rsidR="00BD451D" w:rsidRPr="002121EE" w:rsidRDefault="00BD451D" w:rsidP="002121EE">
            <w:pPr>
              <w:spacing w:after="0" w:line="240" w:lineRule="auto"/>
              <w:jc w:val="center"/>
              <w:rPr>
                <w:rFonts w:ascii="Arial" w:eastAsia="Times New Roman" w:hAnsi="Arial" w:cs="Arial"/>
                <w:sz w:val="20"/>
                <w:szCs w:val="20"/>
                <w:lang w:eastAsia="en-GB"/>
              </w:rPr>
            </w:pPr>
            <w:r w:rsidRPr="002121EE">
              <w:rPr>
                <w:rFonts w:ascii="Arial" w:eastAsia="Times New Roman" w:hAnsi="Arial" w:cs="Arial"/>
                <w:sz w:val="20"/>
                <w:szCs w:val="20"/>
                <w:lang w:eastAsia="en-GB"/>
              </w:rPr>
              <w:t>N/A</w:t>
            </w:r>
          </w:p>
        </w:tc>
      </w:tr>
    </w:tbl>
    <w:p w14:paraId="39C427C0" w14:textId="523CBAB8" w:rsidR="00B0379D" w:rsidRDefault="00B0379D" w:rsidP="00B0379D">
      <w:pPr>
        <w:spacing w:after="120" w:line="240" w:lineRule="auto"/>
      </w:pPr>
    </w:p>
    <w:p w14:paraId="3535D1C8" w14:textId="5199CB31" w:rsidR="00B0379D" w:rsidRPr="00D23B44" w:rsidRDefault="00E75E6D" w:rsidP="00B0379D">
      <w:pPr>
        <w:spacing w:after="120" w:line="240" w:lineRule="auto"/>
        <w:rPr>
          <w:rFonts w:ascii="Arial" w:hAnsi="Arial" w:cs="Arial"/>
          <w:b/>
          <w:color w:val="9136AF"/>
          <w:sz w:val="32"/>
          <w:szCs w:val="32"/>
        </w:rPr>
      </w:pPr>
      <w:r w:rsidRPr="0FCDD889">
        <w:rPr>
          <w:rFonts w:ascii="Arial" w:hAnsi="Arial" w:cs="Arial"/>
          <w:b/>
          <w:bCs/>
          <w:color w:val="9136AF"/>
          <w:sz w:val="32"/>
          <w:szCs w:val="32"/>
        </w:rPr>
        <w:t>Tier 2</w:t>
      </w:r>
    </w:p>
    <w:tbl>
      <w:tblPr>
        <w:tblW w:w="15502" w:type="dxa"/>
        <w:tblLook w:val="04A0" w:firstRow="1" w:lastRow="0" w:firstColumn="1" w:lastColumn="0" w:noHBand="0" w:noVBand="1"/>
      </w:tblPr>
      <w:tblGrid>
        <w:gridCol w:w="2568"/>
        <w:gridCol w:w="624"/>
        <w:gridCol w:w="3395"/>
        <w:gridCol w:w="1409"/>
        <w:gridCol w:w="1172"/>
        <w:gridCol w:w="1055"/>
        <w:gridCol w:w="931"/>
        <w:gridCol w:w="795"/>
        <w:gridCol w:w="1101"/>
        <w:gridCol w:w="787"/>
        <w:gridCol w:w="1665"/>
      </w:tblGrid>
      <w:tr w:rsidR="006A14B2" w:rsidRPr="006A14B2" w14:paraId="79C701FF" w14:textId="77777777" w:rsidTr="006A14B2">
        <w:trPr>
          <w:trHeight w:val="435"/>
          <w:tblHeader/>
        </w:trPr>
        <w:tc>
          <w:tcPr>
            <w:tcW w:w="2568" w:type="dxa"/>
            <w:vMerge w:val="restart"/>
            <w:tcBorders>
              <w:top w:val="single" w:sz="4" w:space="0" w:color="9136AF"/>
              <w:left w:val="single" w:sz="4" w:space="0" w:color="9136AF"/>
              <w:bottom w:val="single" w:sz="4" w:space="0" w:color="9136AF"/>
              <w:right w:val="single" w:sz="4" w:space="0" w:color="9136AF"/>
            </w:tcBorders>
            <w:shd w:val="clear" w:color="000000" w:fill="9136AF"/>
            <w:noWrap/>
            <w:vAlign w:val="center"/>
            <w:hideMark/>
          </w:tcPr>
          <w:p w14:paraId="05A8D666"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Outcome</w:t>
            </w:r>
          </w:p>
        </w:tc>
        <w:tc>
          <w:tcPr>
            <w:tcW w:w="624" w:type="dxa"/>
            <w:vMerge w:val="restart"/>
            <w:tcBorders>
              <w:top w:val="single" w:sz="4" w:space="0" w:color="9136AF"/>
              <w:left w:val="single" w:sz="4" w:space="0" w:color="9136AF"/>
              <w:bottom w:val="single" w:sz="4" w:space="0" w:color="9136AF"/>
              <w:right w:val="single" w:sz="4" w:space="0" w:color="9136AF"/>
            </w:tcBorders>
            <w:shd w:val="clear" w:color="000000" w:fill="9136AF"/>
            <w:noWrap/>
            <w:vAlign w:val="center"/>
            <w:hideMark/>
          </w:tcPr>
          <w:p w14:paraId="3935C120"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Ref</w:t>
            </w:r>
          </w:p>
        </w:tc>
        <w:tc>
          <w:tcPr>
            <w:tcW w:w="3395"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5E3EB9B2"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Performance Indicator</w:t>
            </w:r>
          </w:p>
        </w:tc>
        <w:tc>
          <w:tcPr>
            <w:tcW w:w="1409"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2766D009"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Reporting Frequency</w:t>
            </w:r>
          </w:p>
        </w:tc>
        <w:tc>
          <w:tcPr>
            <w:tcW w:w="1172"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2E47B21A"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Higher / Lower is better?</w:t>
            </w:r>
          </w:p>
        </w:tc>
        <w:tc>
          <w:tcPr>
            <w:tcW w:w="1055" w:type="dxa"/>
            <w:vMerge w:val="restart"/>
            <w:tcBorders>
              <w:top w:val="single" w:sz="4" w:space="0" w:color="9136AF"/>
              <w:left w:val="single" w:sz="4" w:space="0" w:color="9136AF"/>
              <w:bottom w:val="single" w:sz="4" w:space="0" w:color="9136AF"/>
              <w:right w:val="nil"/>
            </w:tcBorders>
            <w:shd w:val="clear" w:color="000000" w:fill="9136AF"/>
            <w:vAlign w:val="center"/>
            <w:hideMark/>
          </w:tcPr>
          <w:p w14:paraId="0F885834" w14:textId="0CA37BB4"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3</w:t>
            </w:r>
            <w:r w:rsidRPr="006A14B2">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4</w:t>
            </w:r>
            <w:r w:rsidRPr="006A14B2">
              <w:rPr>
                <w:rFonts w:ascii="Arial" w:eastAsia="Times New Roman" w:hAnsi="Arial" w:cs="Arial"/>
                <w:b/>
                <w:bCs/>
                <w:color w:val="FFFFFF"/>
                <w:sz w:val="20"/>
                <w:szCs w:val="20"/>
                <w:lang w:eastAsia="en-GB"/>
              </w:rPr>
              <w:t xml:space="preserve"> Outturn</w:t>
            </w:r>
          </w:p>
        </w:tc>
        <w:tc>
          <w:tcPr>
            <w:tcW w:w="931"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7CAC84AD" w14:textId="58B9CB91"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4</w:t>
            </w:r>
            <w:r w:rsidRPr="006A14B2">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5</w:t>
            </w:r>
            <w:r w:rsidRPr="006A14B2">
              <w:rPr>
                <w:rFonts w:ascii="Arial" w:eastAsia="Times New Roman" w:hAnsi="Arial" w:cs="Arial"/>
                <w:b/>
                <w:bCs/>
                <w:color w:val="FFFFFF"/>
                <w:sz w:val="20"/>
                <w:szCs w:val="20"/>
                <w:lang w:eastAsia="en-GB"/>
              </w:rPr>
              <w:t xml:space="preserve"> Target</w:t>
            </w:r>
          </w:p>
        </w:tc>
        <w:tc>
          <w:tcPr>
            <w:tcW w:w="795" w:type="dxa"/>
            <w:tcBorders>
              <w:top w:val="single" w:sz="4" w:space="0" w:color="9136AF"/>
              <w:left w:val="nil"/>
              <w:bottom w:val="single" w:sz="4" w:space="0" w:color="9136AF"/>
              <w:right w:val="single" w:sz="4" w:space="0" w:color="9136AF"/>
            </w:tcBorders>
            <w:shd w:val="clear" w:color="000000" w:fill="9136AF"/>
            <w:vAlign w:val="center"/>
            <w:hideMark/>
          </w:tcPr>
          <w:p w14:paraId="794BE3DE"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Q1</w:t>
            </w:r>
          </w:p>
        </w:tc>
        <w:tc>
          <w:tcPr>
            <w:tcW w:w="1101"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77C7E858"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 Variance from Target (JUN)</w:t>
            </w:r>
          </w:p>
        </w:tc>
        <w:tc>
          <w:tcPr>
            <w:tcW w:w="787"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4B297985"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Trend</w:t>
            </w:r>
          </w:p>
        </w:tc>
        <w:tc>
          <w:tcPr>
            <w:tcW w:w="1665" w:type="dxa"/>
            <w:vMerge w:val="restart"/>
            <w:tcBorders>
              <w:top w:val="single" w:sz="4" w:space="0" w:color="9136AF"/>
              <w:left w:val="single" w:sz="4" w:space="0" w:color="9136AF"/>
              <w:bottom w:val="single" w:sz="4" w:space="0" w:color="9136AF"/>
              <w:right w:val="single" w:sz="4" w:space="0" w:color="9136AF"/>
            </w:tcBorders>
            <w:shd w:val="clear" w:color="000000" w:fill="9136AF"/>
            <w:vAlign w:val="center"/>
            <w:hideMark/>
          </w:tcPr>
          <w:p w14:paraId="3CE6B553"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Comparative Performance</w:t>
            </w:r>
          </w:p>
        </w:tc>
      </w:tr>
      <w:tr w:rsidR="006A14B2" w:rsidRPr="006A14B2" w14:paraId="6B7A2F53" w14:textId="77777777" w:rsidTr="006A14B2">
        <w:trPr>
          <w:trHeight w:val="628"/>
        </w:trPr>
        <w:tc>
          <w:tcPr>
            <w:tcW w:w="2568" w:type="dxa"/>
            <w:vMerge/>
            <w:tcBorders>
              <w:top w:val="single" w:sz="4" w:space="0" w:color="9136AF"/>
              <w:left w:val="single" w:sz="4" w:space="0" w:color="9136AF"/>
              <w:bottom w:val="single" w:sz="4" w:space="0" w:color="9136AF"/>
              <w:right w:val="single" w:sz="4" w:space="0" w:color="9136AF"/>
            </w:tcBorders>
            <w:vAlign w:val="center"/>
            <w:hideMark/>
          </w:tcPr>
          <w:p w14:paraId="62A49376"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624" w:type="dxa"/>
            <w:vMerge/>
            <w:tcBorders>
              <w:top w:val="single" w:sz="4" w:space="0" w:color="9136AF"/>
              <w:left w:val="single" w:sz="4" w:space="0" w:color="9136AF"/>
              <w:bottom w:val="single" w:sz="4" w:space="0" w:color="9136AF"/>
              <w:right w:val="single" w:sz="4" w:space="0" w:color="9136AF"/>
            </w:tcBorders>
            <w:vAlign w:val="center"/>
            <w:hideMark/>
          </w:tcPr>
          <w:p w14:paraId="5EBA1192"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3395" w:type="dxa"/>
            <w:vMerge/>
            <w:tcBorders>
              <w:top w:val="single" w:sz="4" w:space="0" w:color="9136AF"/>
              <w:left w:val="single" w:sz="4" w:space="0" w:color="9136AF"/>
              <w:bottom w:val="single" w:sz="4" w:space="0" w:color="9136AF"/>
              <w:right w:val="single" w:sz="4" w:space="0" w:color="9136AF"/>
            </w:tcBorders>
            <w:vAlign w:val="center"/>
            <w:hideMark/>
          </w:tcPr>
          <w:p w14:paraId="234109F9"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1409" w:type="dxa"/>
            <w:vMerge/>
            <w:tcBorders>
              <w:top w:val="single" w:sz="4" w:space="0" w:color="9136AF"/>
              <w:left w:val="single" w:sz="4" w:space="0" w:color="9136AF"/>
              <w:bottom w:val="single" w:sz="4" w:space="0" w:color="9136AF"/>
              <w:right w:val="single" w:sz="4" w:space="0" w:color="9136AF"/>
            </w:tcBorders>
            <w:vAlign w:val="center"/>
            <w:hideMark/>
          </w:tcPr>
          <w:p w14:paraId="11285992"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1172" w:type="dxa"/>
            <w:vMerge/>
            <w:tcBorders>
              <w:top w:val="single" w:sz="4" w:space="0" w:color="9136AF"/>
              <w:left w:val="single" w:sz="4" w:space="0" w:color="9136AF"/>
              <w:bottom w:val="single" w:sz="4" w:space="0" w:color="9136AF"/>
              <w:right w:val="single" w:sz="4" w:space="0" w:color="9136AF"/>
            </w:tcBorders>
            <w:vAlign w:val="center"/>
            <w:hideMark/>
          </w:tcPr>
          <w:p w14:paraId="5400EDC9"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1055" w:type="dxa"/>
            <w:vMerge/>
            <w:tcBorders>
              <w:top w:val="single" w:sz="4" w:space="0" w:color="9136AF"/>
              <w:left w:val="single" w:sz="4" w:space="0" w:color="9136AF"/>
              <w:bottom w:val="single" w:sz="4" w:space="0" w:color="9136AF"/>
              <w:right w:val="nil"/>
            </w:tcBorders>
            <w:vAlign w:val="center"/>
            <w:hideMark/>
          </w:tcPr>
          <w:p w14:paraId="42AF1741"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931" w:type="dxa"/>
            <w:vMerge/>
            <w:tcBorders>
              <w:top w:val="single" w:sz="4" w:space="0" w:color="9136AF"/>
              <w:left w:val="single" w:sz="4" w:space="0" w:color="9136AF"/>
              <w:bottom w:val="single" w:sz="4" w:space="0" w:color="9136AF"/>
              <w:right w:val="single" w:sz="4" w:space="0" w:color="9136AF"/>
            </w:tcBorders>
            <w:vAlign w:val="center"/>
            <w:hideMark/>
          </w:tcPr>
          <w:p w14:paraId="521BED48"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795" w:type="dxa"/>
            <w:tcBorders>
              <w:top w:val="nil"/>
              <w:left w:val="nil"/>
              <w:bottom w:val="single" w:sz="4" w:space="0" w:color="9136AF"/>
              <w:right w:val="single" w:sz="4" w:space="0" w:color="9136AF"/>
            </w:tcBorders>
            <w:shd w:val="clear" w:color="000000" w:fill="9136AF"/>
            <w:vAlign w:val="center"/>
            <w:hideMark/>
          </w:tcPr>
          <w:p w14:paraId="5F57037F" w14:textId="77777777" w:rsidR="006A14B2" w:rsidRPr="006A14B2" w:rsidRDefault="006A14B2" w:rsidP="006A14B2">
            <w:pPr>
              <w:spacing w:after="0" w:line="240" w:lineRule="auto"/>
              <w:jc w:val="center"/>
              <w:rPr>
                <w:rFonts w:ascii="Arial" w:eastAsia="Times New Roman" w:hAnsi="Arial" w:cs="Arial"/>
                <w:b/>
                <w:bCs/>
                <w:color w:val="FFFFFF"/>
                <w:sz w:val="20"/>
                <w:szCs w:val="20"/>
                <w:lang w:eastAsia="en-GB"/>
              </w:rPr>
            </w:pPr>
            <w:r w:rsidRPr="006A14B2">
              <w:rPr>
                <w:rFonts w:ascii="Arial" w:eastAsia="Times New Roman" w:hAnsi="Arial" w:cs="Arial"/>
                <w:b/>
                <w:bCs/>
                <w:color w:val="FFFFFF"/>
                <w:sz w:val="20"/>
                <w:szCs w:val="20"/>
                <w:lang w:eastAsia="en-GB"/>
              </w:rPr>
              <w:t>June</w:t>
            </w:r>
          </w:p>
        </w:tc>
        <w:tc>
          <w:tcPr>
            <w:tcW w:w="1101" w:type="dxa"/>
            <w:vMerge/>
            <w:tcBorders>
              <w:top w:val="single" w:sz="4" w:space="0" w:color="9136AF"/>
              <w:left w:val="single" w:sz="4" w:space="0" w:color="9136AF"/>
              <w:bottom w:val="single" w:sz="4" w:space="0" w:color="9136AF"/>
              <w:right w:val="single" w:sz="4" w:space="0" w:color="9136AF"/>
            </w:tcBorders>
            <w:vAlign w:val="center"/>
            <w:hideMark/>
          </w:tcPr>
          <w:p w14:paraId="06D7DEF2"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787" w:type="dxa"/>
            <w:vMerge/>
            <w:tcBorders>
              <w:top w:val="single" w:sz="4" w:space="0" w:color="9136AF"/>
              <w:left w:val="single" w:sz="4" w:space="0" w:color="9136AF"/>
              <w:bottom w:val="single" w:sz="4" w:space="0" w:color="9136AF"/>
              <w:right w:val="single" w:sz="4" w:space="0" w:color="9136AF"/>
            </w:tcBorders>
            <w:vAlign w:val="center"/>
            <w:hideMark/>
          </w:tcPr>
          <w:p w14:paraId="229091DA"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c>
          <w:tcPr>
            <w:tcW w:w="1665" w:type="dxa"/>
            <w:vMerge/>
            <w:tcBorders>
              <w:top w:val="single" w:sz="4" w:space="0" w:color="9136AF"/>
              <w:left w:val="single" w:sz="4" w:space="0" w:color="9136AF"/>
              <w:bottom w:val="single" w:sz="4" w:space="0" w:color="9136AF"/>
              <w:right w:val="single" w:sz="4" w:space="0" w:color="9136AF"/>
            </w:tcBorders>
            <w:vAlign w:val="center"/>
            <w:hideMark/>
          </w:tcPr>
          <w:p w14:paraId="48D3413A" w14:textId="77777777" w:rsidR="006A14B2" w:rsidRPr="006A14B2" w:rsidRDefault="006A14B2" w:rsidP="006A14B2">
            <w:pPr>
              <w:spacing w:after="0" w:line="240" w:lineRule="auto"/>
              <w:rPr>
                <w:rFonts w:ascii="Arial" w:eastAsia="Times New Roman" w:hAnsi="Arial" w:cs="Arial"/>
                <w:b/>
                <w:bCs/>
                <w:color w:val="FFFFFF"/>
                <w:sz w:val="20"/>
                <w:szCs w:val="20"/>
                <w:lang w:eastAsia="en-GB"/>
              </w:rPr>
            </w:pPr>
          </w:p>
        </w:tc>
      </w:tr>
      <w:tr w:rsidR="006A14B2" w:rsidRPr="006A14B2" w14:paraId="59D8BB17" w14:textId="77777777" w:rsidTr="006A14B2">
        <w:trPr>
          <w:trHeight w:val="1665"/>
        </w:trPr>
        <w:tc>
          <w:tcPr>
            <w:tcW w:w="2568" w:type="dxa"/>
            <w:vMerge w:val="restart"/>
            <w:tcBorders>
              <w:top w:val="nil"/>
              <w:left w:val="single" w:sz="4" w:space="0" w:color="9136AF"/>
              <w:bottom w:val="nil"/>
              <w:right w:val="single" w:sz="4" w:space="0" w:color="9136AF"/>
            </w:tcBorders>
            <w:shd w:val="clear" w:color="000000" w:fill="E7CDEF"/>
            <w:vAlign w:val="center"/>
            <w:hideMark/>
          </w:tcPr>
          <w:p w14:paraId="49767A83" w14:textId="77777777" w:rsidR="006A14B2" w:rsidRPr="006A14B2" w:rsidRDefault="006A14B2" w:rsidP="006A14B2">
            <w:pPr>
              <w:spacing w:after="0" w:line="240" w:lineRule="auto"/>
              <w:jc w:val="center"/>
              <w:rPr>
                <w:rFonts w:ascii="Arial" w:eastAsia="Times New Roman" w:hAnsi="Arial" w:cs="Arial"/>
                <w:b/>
                <w:bCs/>
                <w:sz w:val="20"/>
                <w:szCs w:val="20"/>
                <w:lang w:eastAsia="en-GB"/>
              </w:rPr>
            </w:pPr>
            <w:r w:rsidRPr="006A14B2">
              <w:rPr>
                <w:rFonts w:ascii="Arial" w:eastAsia="Times New Roman" w:hAnsi="Arial" w:cs="Arial"/>
                <w:b/>
                <w:bCs/>
                <w:sz w:val="20"/>
                <w:szCs w:val="20"/>
                <w:lang w:eastAsia="en-GB"/>
              </w:rPr>
              <w:t>Our communities and neighbourhoods are safe, strong and caring</w:t>
            </w:r>
          </w:p>
        </w:tc>
        <w:tc>
          <w:tcPr>
            <w:tcW w:w="624" w:type="dxa"/>
            <w:tcBorders>
              <w:top w:val="nil"/>
              <w:left w:val="nil"/>
              <w:bottom w:val="single" w:sz="4" w:space="0" w:color="9136AF"/>
              <w:right w:val="single" w:sz="4" w:space="0" w:color="9136AF"/>
            </w:tcBorders>
            <w:shd w:val="clear" w:color="auto" w:fill="auto"/>
            <w:vAlign w:val="center"/>
            <w:hideMark/>
          </w:tcPr>
          <w:p w14:paraId="6146DB10"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SC-003</w:t>
            </w:r>
          </w:p>
        </w:tc>
        <w:tc>
          <w:tcPr>
            <w:tcW w:w="3395" w:type="dxa"/>
            <w:tcBorders>
              <w:top w:val="nil"/>
              <w:left w:val="nil"/>
              <w:bottom w:val="single" w:sz="4" w:space="0" w:color="9136AF"/>
              <w:right w:val="single" w:sz="4" w:space="0" w:color="9136AF"/>
            </w:tcBorders>
            <w:shd w:val="clear" w:color="auto" w:fill="auto"/>
            <w:vAlign w:val="center"/>
            <w:hideMark/>
          </w:tcPr>
          <w:p w14:paraId="764EEF18"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Number of domestic abuse recorded incidents per 1,000 population</w:t>
            </w:r>
          </w:p>
        </w:tc>
        <w:tc>
          <w:tcPr>
            <w:tcW w:w="1409" w:type="dxa"/>
            <w:tcBorders>
              <w:top w:val="nil"/>
              <w:left w:val="nil"/>
              <w:bottom w:val="single" w:sz="4" w:space="0" w:color="9136AF"/>
              <w:right w:val="single" w:sz="4" w:space="0" w:color="9136AF"/>
            </w:tcBorders>
            <w:shd w:val="clear" w:color="auto" w:fill="auto"/>
            <w:vAlign w:val="center"/>
            <w:hideMark/>
          </w:tcPr>
          <w:p w14:paraId="4D375657"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5EF833BA"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Lower</w:t>
            </w:r>
          </w:p>
        </w:tc>
        <w:tc>
          <w:tcPr>
            <w:tcW w:w="1055" w:type="dxa"/>
            <w:tcBorders>
              <w:top w:val="nil"/>
              <w:left w:val="nil"/>
              <w:bottom w:val="single" w:sz="4" w:space="0" w:color="9136AF"/>
              <w:right w:val="single" w:sz="4" w:space="0" w:color="9136AF"/>
            </w:tcBorders>
            <w:shd w:val="clear" w:color="000000" w:fill="92D050"/>
            <w:vAlign w:val="center"/>
            <w:hideMark/>
          </w:tcPr>
          <w:p w14:paraId="72E54487"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20.42</w:t>
            </w:r>
          </w:p>
        </w:tc>
        <w:tc>
          <w:tcPr>
            <w:tcW w:w="931" w:type="dxa"/>
            <w:tcBorders>
              <w:top w:val="nil"/>
              <w:left w:val="nil"/>
              <w:bottom w:val="single" w:sz="4" w:space="0" w:color="9136AF"/>
              <w:right w:val="single" w:sz="4" w:space="0" w:color="9136AF"/>
            </w:tcBorders>
            <w:shd w:val="clear" w:color="000000" w:fill="FFFFFF"/>
            <w:noWrap/>
            <w:vAlign w:val="center"/>
            <w:hideMark/>
          </w:tcPr>
          <w:p w14:paraId="6082E6B4"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20.1</w:t>
            </w:r>
          </w:p>
        </w:tc>
        <w:tc>
          <w:tcPr>
            <w:tcW w:w="795"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66ECA0AC"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4.31</w:t>
            </w:r>
          </w:p>
        </w:tc>
        <w:tc>
          <w:tcPr>
            <w:tcW w:w="1101"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18886245" w14:textId="77777777" w:rsidR="006A14B2" w:rsidRPr="006A14B2" w:rsidRDefault="006A14B2" w:rsidP="006A14B2">
            <w:pPr>
              <w:spacing w:after="0" w:line="240" w:lineRule="auto"/>
              <w:jc w:val="center"/>
              <w:rPr>
                <w:rFonts w:ascii="Arial" w:eastAsia="Times New Roman" w:hAnsi="Arial" w:cs="Arial"/>
                <w:color w:val="00B050"/>
                <w:sz w:val="20"/>
                <w:szCs w:val="20"/>
                <w:lang w:eastAsia="en-GB"/>
              </w:rPr>
            </w:pPr>
            <w:r w:rsidRPr="006A14B2">
              <w:rPr>
                <w:rFonts w:ascii="Arial" w:eastAsia="Times New Roman" w:hAnsi="Arial" w:cs="Arial"/>
                <w:color w:val="00B050"/>
                <w:sz w:val="20"/>
                <w:szCs w:val="20"/>
                <w:lang w:eastAsia="en-GB"/>
              </w:rPr>
              <w:t>13.8%</w:t>
            </w:r>
          </w:p>
        </w:tc>
        <w:tc>
          <w:tcPr>
            <w:tcW w:w="787" w:type="dxa"/>
            <w:tcBorders>
              <w:top w:val="nil"/>
              <w:left w:val="nil"/>
              <w:bottom w:val="single" w:sz="4" w:space="0" w:color="9136AF"/>
              <w:right w:val="single" w:sz="4" w:space="0" w:color="9136AF"/>
            </w:tcBorders>
            <w:shd w:val="clear" w:color="000000" w:fill="FFFFFF"/>
            <w:noWrap/>
            <w:vAlign w:val="center"/>
            <w:hideMark/>
          </w:tcPr>
          <w:p w14:paraId="432EC25D" w14:textId="047BE19A"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noProof/>
                <w:color w:val="000000"/>
                <w:sz w:val="20"/>
                <w:szCs w:val="20"/>
                <w:lang w:eastAsia="en-GB"/>
              </w:rPr>
              <w:drawing>
                <wp:anchor distT="0" distB="0" distL="114300" distR="114300" simplePos="0" relativeHeight="251658291" behindDoc="0" locked="0" layoutInCell="1" allowOverlap="1" wp14:anchorId="1FBC9F72" wp14:editId="39A6D611">
                  <wp:simplePos x="0" y="0"/>
                  <wp:positionH relativeFrom="column">
                    <wp:posOffset>15875</wp:posOffset>
                  </wp:positionH>
                  <wp:positionV relativeFrom="paragraph">
                    <wp:posOffset>5715</wp:posOffset>
                  </wp:positionV>
                  <wp:extent cx="285750" cy="254000"/>
                  <wp:effectExtent l="0" t="0" r="0" b="0"/>
                  <wp:wrapNone/>
                  <wp:docPr id="1756747548" name="Picture 61" descr="P1390C22T25#y1">
                    <a:extLst xmlns:a="http://schemas.openxmlformats.org/drawingml/2006/main">
                      <a:ext uri="{FF2B5EF4-FFF2-40B4-BE49-F238E27FC236}">
                        <a16:creationId xmlns:a16="http://schemas.microsoft.com/office/drawing/2014/main" id="{563B0DEE-4560-4D48-AAE0-F2C0BE1E7546}"/>
                      </a:ext>
                      <a:ext uri="{147F2762-F138-4A5C-976F-8EAC2B608ADB}">
                        <a16:predDERef xmlns:a16="http://schemas.microsoft.com/office/drawing/2014/main" pred="{86FCB9C0-73E4-4E5A-89AE-44440F2F07CB}"/>
                      </a:ext>
                    </a:extLst>
                  </wp:docPr>
                  <wp:cNvGraphicFramePr/>
                  <a:graphic xmlns:a="http://schemas.openxmlformats.org/drawingml/2006/main">
                    <a:graphicData uri="http://schemas.openxmlformats.org/drawingml/2006/picture">
                      <pic:pic xmlns:pic="http://schemas.openxmlformats.org/drawingml/2006/picture">
                        <pic:nvPicPr>
                          <pic:cNvPr id="1756747548" name="Picture 52" descr="P1390C22T25#y1">
                            <a:extLst>
                              <a:ext uri="{FF2B5EF4-FFF2-40B4-BE49-F238E27FC236}">
                                <a16:creationId xmlns:a16="http://schemas.microsoft.com/office/drawing/2014/main" id="{563B0DEE-4560-4D48-AAE0-F2C0BE1E7546}"/>
                              </a:ext>
                              <a:ext uri="{147F2762-F138-4A5C-976F-8EAC2B608ADB}">
                                <a16:predDERef xmlns:a16="http://schemas.microsoft.com/office/drawing/2014/main" pred="{86FCB9C0-73E4-4E5A-89AE-44440F2F07C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1665" w:type="dxa"/>
            <w:tcBorders>
              <w:top w:val="nil"/>
              <w:left w:val="nil"/>
              <w:bottom w:val="single" w:sz="4" w:space="0" w:color="9136AF"/>
              <w:right w:val="single" w:sz="4" w:space="0" w:color="9136AF"/>
            </w:tcBorders>
            <w:shd w:val="clear" w:color="auto" w:fill="auto"/>
            <w:noWrap/>
            <w:vAlign w:val="center"/>
            <w:hideMark/>
          </w:tcPr>
          <w:p w14:paraId="711BFD7E" w14:textId="7F9B50E8"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r w:rsidR="006A14B2" w:rsidRPr="006A14B2" w14:paraId="7AB3DE47" w14:textId="77777777" w:rsidTr="006A14B2">
        <w:trPr>
          <w:trHeight w:val="1665"/>
        </w:trPr>
        <w:tc>
          <w:tcPr>
            <w:tcW w:w="2568" w:type="dxa"/>
            <w:vMerge/>
            <w:tcBorders>
              <w:top w:val="nil"/>
              <w:left w:val="single" w:sz="4" w:space="0" w:color="9136AF"/>
              <w:bottom w:val="nil"/>
              <w:right w:val="single" w:sz="4" w:space="0" w:color="9136AF"/>
            </w:tcBorders>
            <w:vAlign w:val="center"/>
            <w:hideMark/>
          </w:tcPr>
          <w:p w14:paraId="6A8E45FB" w14:textId="77777777" w:rsidR="006A14B2" w:rsidRPr="006A14B2" w:rsidRDefault="006A14B2" w:rsidP="006A14B2">
            <w:pPr>
              <w:spacing w:after="0" w:line="240" w:lineRule="auto"/>
              <w:rPr>
                <w:rFonts w:ascii="Arial" w:eastAsia="Times New Roman" w:hAnsi="Arial" w:cs="Arial"/>
                <w:b/>
                <w:bCs/>
                <w:sz w:val="20"/>
                <w:szCs w:val="20"/>
                <w:lang w:eastAsia="en-GB"/>
              </w:rPr>
            </w:pPr>
          </w:p>
        </w:tc>
        <w:tc>
          <w:tcPr>
            <w:tcW w:w="624" w:type="dxa"/>
            <w:tcBorders>
              <w:top w:val="nil"/>
              <w:left w:val="nil"/>
              <w:bottom w:val="single" w:sz="4" w:space="0" w:color="9136AF"/>
              <w:right w:val="single" w:sz="4" w:space="0" w:color="9136AF"/>
            </w:tcBorders>
            <w:shd w:val="clear" w:color="auto" w:fill="auto"/>
            <w:vAlign w:val="center"/>
            <w:hideMark/>
          </w:tcPr>
          <w:p w14:paraId="6F1FAC36"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SC-004</w:t>
            </w:r>
          </w:p>
        </w:tc>
        <w:tc>
          <w:tcPr>
            <w:tcW w:w="3395" w:type="dxa"/>
            <w:tcBorders>
              <w:top w:val="nil"/>
              <w:left w:val="nil"/>
              <w:bottom w:val="single" w:sz="4" w:space="0" w:color="9136AF"/>
              <w:right w:val="single" w:sz="4" w:space="0" w:color="9136AF"/>
            </w:tcBorders>
            <w:shd w:val="clear" w:color="auto" w:fill="auto"/>
            <w:vAlign w:val="center"/>
            <w:hideMark/>
          </w:tcPr>
          <w:p w14:paraId="2D1E8163"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Number of hate crimes incidents per 1,000 population</w:t>
            </w:r>
          </w:p>
        </w:tc>
        <w:tc>
          <w:tcPr>
            <w:tcW w:w="1409" w:type="dxa"/>
            <w:tcBorders>
              <w:top w:val="nil"/>
              <w:left w:val="nil"/>
              <w:bottom w:val="single" w:sz="4" w:space="0" w:color="9136AF"/>
              <w:right w:val="single" w:sz="4" w:space="0" w:color="9136AF"/>
            </w:tcBorders>
            <w:shd w:val="clear" w:color="auto" w:fill="auto"/>
            <w:vAlign w:val="center"/>
            <w:hideMark/>
          </w:tcPr>
          <w:p w14:paraId="065690DB"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41FFC586"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Lower</w:t>
            </w:r>
          </w:p>
        </w:tc>
        <w:tc>
          <w:tcPr>
            <w:tcW w:w="1055" w:type="dxa"/>
            <w:tcBorders>
              <w:top w:val="nil"/>
              <w:left w:val="nil"/>
              <w:bottom w:val="single" w:sz="4" w:space="0" w:color="9136AF"/>
              <w:right w:val="single" w:sz="4" w:space="0" w:color="9136AF"/>
            </w:tcBorders>
            <w:shd w:val="clear" w:color="000000" w:fill="92D050"/>
            <w:vAlign w:val="center"/>
            <w:hideMark/>
          </w:tcPr>
          <w:p w14:paraId="0C4986B7"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2.15</w:t>
            </w:r>
          </w:p>
        </w:tc>
        <w:tc>
          <w:tcPr>
            <w:tcW w:w="931" w:type="dxa"/>
            <w:tcBorders>
              <w:top w:val="nil"/>
              <w:left w:val="nil"/>
              <w:bottom w:val="single" w:sz="4" w:space="0" w:color="9136AF"/>
              <w:right w:val="single" w:sz="4" w:space="0" w:color="9136AF"/>
            </w:tcBorders>
            <w:shd w:val="clear" w:color="000000" w:fill="FFFFFF"/>
            <w:noWrap/>
            <w:vAlign w:val="center"/>
            <w:hideMark/>
          </w:tcPr>
          <w:p w14:paraId="7BC1D692" w14:textId="1909CE60"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2.</w:t>
            </w:r>
            <w:r w:rsidR="009F306C">
              <w:rPr>
                <w:rFonts w:ascii="Arial" w:eastAsia="Times New Roman" w:hAnsi="Arial" w:cs="Arial"/>
                <w:color w:val="000000"/>
                <w:sz w:val="20"/>
                <w:szCs w:val="20"/>
                <w:lang w:eastAsia="en-GB"/>
              </w:rPr>
              <w:t>09</w:t>
            </w:r>
          </w:p>
        </w:tc>
        <w:tc>
          <w:tcPr>
            <w:tcW w:w="795"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1279B4BE"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0.47</w:t>
            </w:r>
          </w:p>
        </w:tc>
        <w:tc>
          <w:tcPr>
            <w:tcW w:w="1101"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3D12300B" w14:textId="77777777" w:rsidR="006A14B2" w:rsidRPr="006A14B2" w:rsidRDefault="006A14B2" w:rsidP="006A14B2">
            <w:pPr>
              <w:spacing w:after="0" w:line="240" w:lineRule="auto"/>
              <w:jc w:val="center"/>
              <w:rPr>
                <w:rFonts w:ascii="Arial" w:eastAsia="Times New Roman" w:hAnsi="Arial" w:cs="Arial"/>
                <w:color w:val="00B050"/>
                <w:sz w:val="20"/>
                <w:szCs w:val="20"/>
                <w:lang w:eastAsia="en-GB"/>
              </w:rPr>
            </w:pPr>
            <w:r w:rsidRPr="006A14B2">
              <w:rPr>
                <w:rFonts w:ascii="Arial" w:eastAsia="Times New Roman" w:hAnsi="Arial" w:cs="Arial"/>
                <w:color w:val="00B050"/>
                <w:sz w:val="20"/>
                <w:szCs w:val="20"/>
                <w:lang w:eastAsia="en-GB"/>
              </w:rPr>
              <w:t>9.62%</w:t>
            </w:r>
          </w:p>
        </w:tc>
        <w:tc>
          <w:tcPr>
            <w:tcW w:w="787" w:type="dxa"/>
            <w:tcBorders>
              <w:top w:val="nil"/>
              <w:left w:val="nil"/>
              <w:bottom w:val="single" w:sz="4" w:space="0" w:color="9136AF"/>
              <w:right w:val="single" w:sz="4" w:space="0" w:color="9136AF"/>
            </w:tcBorders>
            <w:shd w:val="clear" w:color="000000" w:fill="FFFFFF"/>
            <w:noWrap/>
            <w:vAlign w:val="center"/>
            <w:hideMark/>
          </w:tcPr>
          <w:p w14:paraId="7DC9EB43" w14:textId="55C7C1CE"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noProof/>
                <w:color w:val="000000"/>
                <w:sz w:val="20"/>
                <w:szCs w:val="20"/>
                <w:lang w:eastAsia="en-GB"/>
              </w:rPr>
              <w:drawing>
                <wp:anchor distT="0" distB="0" distL="114300" distR="114300" simplePos="0" relativeHeight="251658289" behindDoc="0" locked="0" layoutInCell="1" allowOverlap="1" wp14:anchorId="223D8FDD" wp14:editId="1010F615">
                  <wp:simplePos x="0" y="0"/>
                  <wp:positionH relativeFrom="column">
                    <wp:posOffset>53975</wp:posOffset>
                  </wp:positionH>
                  <wp:positionV relativeFrom="paragraph">
                    <wp:posOffset>-16510</wp:posOffset>
                  </wp:positionV>
                  <wp:extent cx="273050" cy="260350"/>
                  <wp:effectExtent l="0" t="0" r="0" b="0"/>
                  <wp:wrapNone/>
                  <wp:docPr id="41" name="Picture 62" descr="P1402C32T25#y1">
                    <a:extLst xmlns:a="http://schemas.openxmlformats.org/drawingml/2006/main">
                      <a:ext uri="{FF2B5EF4-FFF2-40B4-BE49-F238E27FC236}">
                        <a16:creationId xmlns:a16="http://schemas.microsoft.com/office/drawing/2014/main" id="{4E19CFA2-2B53-4CAA-B6B1-47548141D25C}"/>
                      </a:ext>
                    </a:extLst>
                  </wp:docPr>
                  <wp:cNvGraphicFramePr/>
                  <a:graphic xmlns:a="http://schemas.openxmlformats.org/drawingml/2006/main">
                    <a:graphicData uri="http://schemas.openxmlformats.org/drawingml/2006/picture">
                      <pic:pic xmlns:pic="http://schemas.openxmlformats.org/drawingml/2006/picture">
                        <pic:nvPicPr>
                          <pic:cNvPr id="41" name="Picture 51" descr="P1402C32T25#y1">
                            <a:extLst>
                              <a:ext uri="{FF2B5EF4-FFF2-40B4-BE49-F238E27FC236}">
                                <a16:creationId xmlns:a16="http://schemas.microsoft.com/office/drawing/2014/main" id="{4E19CFA2-2B53-4CAA-B6B1-47548141D25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0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1665" w:type="dxa"/>
            <w:tcBorders>
              <w:top w:val="nil"/>
              <w:left w:val="nil"/>
              <w:bottom w:val="single" w:sz="4" w:space="0" w:color="9136AF"/>
              <w:right w:val="single" w:sz="4" w:space="0" w:color="9136AF"/>
            </w:tcBorders>
            <w:shd w:val="clear" w:color="auto" w:fill="auto"/>
            <w:noWrap/>
            <w:vAlign w:val="center"/>
            <w:hideMark/>
          </w:tcPr>
          <w:p w14:paraId="07559EA5"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r w:rsidR="006A14B2" w:rsidRPr="006A14B2" w14:paraId="33DE45DA" w14:textId="77777777" w:rsidTr="008771A6">
        <w:trPr>
          <w:trHeight w:val="1800"/>
        </w:trPr>
        <w:tc>
          <w:tcPr>
            <w:tcW w:w="2568" w:type="dxa"/>
            <w:vMerge w:val="restart"/>
            <w:tcBorders>
              <w:top w:val="nil"/>
              <w:left w:val="single" w:sz="4" w:space="0" w:color="9136AF"/>
              <w:bottom w:val="single" w:sz="4" w:space="0" w:color="9136AF"/>
              <w:right w:val="single" w:sz="4" w:space="0" w:color="9136AF"/>
            </w:tcBorders>
            <w:shd w:val="clear" w:color="000000" w:fill="E7CDEF"/>
            <w:vAlign w:val="center"/>
            <w:hideMark/>
          </w:tcPr>
          <w:p w14:paraId="61634ECA" w14:textId="77777777" w:rsidR="006A14B2" w:rsidRPr="006A14B2" w:rsidRDefault="006A14B2" w:rsidP="006A14B2">
            <w:pPr>
              <w:spacing w:after="0" w:line="240" w:lineRule="auto"/>
              <w:jc w:val="center"/>
              <w:rPr>
                <w:rFonts w:ascii="Arial" w:eastAsia="Times New Roman" w:hAnsi="Arial" w:cs="Arial"/>
                <w:b/>
                <w:bCs/>
                <w:sz w:val="20"/>
                <w:szCs w:val="20"/>
                <w:lang w:eastAsia="en-GB"/>
              </w:rPr>
            </w:pPr>
            <w:r w:rsidRPr="006A14B2">
              <w:rPr>
                <w:rFonts w:ascii="Arial" w:eastAsia="Times New Roman" w:hAnsi="Arial" w:cs="Arial"/>
                <w:b/>
                <w:bCs/>
                <w:sz w:val="20"/>
                <w:szCs w:val="20"/>
                <w:lang w:eastAsia="en-GB"/>
              </w:rPr>
              <w:t>Our neighbourhoods provide the right homes for all</w:t>
            </w:r>
          </w:p>
        </w:tc>
        <w:tc>
          <w:tcPr>
            <w:tcW w:w="624" w:type="dxa"/>
            <w:tcBorders>
              <w:top w:val="nil"/>
              <w:left w:val="nil"/>
              <w:bottom w:val="single" w:sz="4" w:space="0" w:color="9136AF"/>
              <w:right w:val="single" w:sz="4" w:space="0" w:color="9136AF"/>
            </w:tcBorders>
            <w:shd w:val="clear" w:color="auto" w:fill="auto"/>
            <w:vAlign w:val="center"/>
            <w:hideMark/>
          </w:tcPr>
          <w:p w14:paraId="39D2851B"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HS-003</w:t>
            </w:r>
          </w:p>
        </w:tc>
        <w:tc>
          <w:tcPr>
            <w:tcW w:w="3395" w:type="dxa"/>
            <w:tcBorders>
              <w:top w:val="nil"/>
              <w:left w:val="nil"/>
              <w:bottom w:val="single" w:sz="4" w:space="0" w:color="9136AF"/>
              <w:right w:val="single" w:sz="4" w:space="0" w:color="9136AF"/>
            </w:tcBorders>
            <w:shd w:val="clear" w:color="auto" w:fill="auto"/>
            <w:vAlign w:val="center"/>
            <w:hideMark/>
          </w:tcPr>
          <w:p w14:paraId="5C4941F6"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Number of private sector vacant dwellings that are returned into occupation or demolished as a direct result of action by the local authority</w:t>
            </w:r>
          </w:p>
        </w:tc>
        <w:tc>
          <w:tcPr>
            <w:tcW w:w="1409" w:type="dxa"/>
            <w:tcBorders>
              <w:top w:val="nil"/>
              <w:left w:val="nil"/>
              <w:bottom w:val="single" w:sz="4" w:space="0" w:color="9136AF"/>
              <w:right w:val="single" w:sz="4" w:space="0" w:color="9136AF"/>
            </w:tcBorders>
            <w:shd w:val="clear" w:color="auto" w:fill="auto"/>
            <w:vAlign w:val="center"/>
            <w:hideMark/>
          </w:tcPr>
          <w:p w14:paraId="01745C74"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680B78B3"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Higher</w:t>
            </w:r>
          </w:p>
        </w:tc>
        <w:tc>
          <w:tcPr>
            <w:tcW w:w="1055" w:type="dxa"/>
            <w:tcBorders>
              <w:top w:val="nil"/>
              <w:left w:val="nil"/>
              <w:bottom w:val="single" w:sz="4" w:space="0" w:color="9136AF"/>
              <w:right w:val="single" w:sz="4" w:space="0" w:color="9136AF"/>
            </w:tcBorders>
            <w:shd w:val="clear" w:color="000000" w:fill="92D050"/>
            <w:vAlign w:val="center"/>
            <w:hideMark/>
          </w:tcPr>
          <w:p w14:paraId="1B224B77" w14:textId="0CADA405" w:rsidR="006A14B2" w:rsidRPr="006A14B2" w:rsidRDefault="008771A6" w:rsidP="006A14B2">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21</w:t>
            </w:r>
          </w:p>
        </w:tc>
        <w:tc>
          <w:tcPr>
            <w:tcW w:w="931" w:type="dxa"/>
            <w:tcBorders>
              <w:top w:val="nil"/>
              <w:left w:val="nil"/>
              <w:bottom w:val="single" w:sz="4" w:space="0" w:color="9136AF"/>
              <w:right w:val="single" w:sz="4" w:space="0" w:color="9136AF"/>
            </w:tcBorders>
            <w:shd w:val="clear" w:color="000000" w:fill="FFFFFF"/>
            <w:noWrap/>
            <w:vAlign w:val="center"/>
            <w:hideMark/>
          </w:tcPr>
          <w:p w14:paraId="0DB5CA68"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45</w:t>
            </w:r>
          </w:p>
        </w:tc>
        <w:tc>
          <w:tcPr>
            <w:tcW w:w="795" w:type="dxa"/>
            <w:tcBorders>
              <w:top w:val="single" w:sz="4" w:space="0" w:color="9136AF"/>
              <w:left w:val="single" w:sz="4" w:space="0" w:color="9136AF"/>
              <w:bottom w:val="single" w:sz="4" w:space="0" w:color="9136AF"/>
              <w:right w:val="single" w:sz="4" w:space="0" w:color="9136AF"/>
            </w:tcBorders>
            <w:shd w:val="clear" w:color="auto" w:fill="92D050"/>
            <w:vAlign w:val="center"/>
            <w:hideMark/>
          </w:tcPr>
          <w:p w14:paraId="58F0DF0D" w14:textId="73B5600B" w:rsidR="006A14B2" w:rsidRPr="006A14B2" w:rsidRDefault="008771A6" w:rsidP="006A14B2">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p>
        </w:tc>
        <w:tc>
          <w:tcPr>
            <w:tcW w:w="1101" w:type="dxa"/>
            <w:tcBorders>
              <w:top w:val="single" w:sz="4" w:space="0" w:color="9136AF"/>
              <w:left w:val="single" w:sz="4" w:space="0" w:color="9136AF"/>
              <w:bottom w:val="single" w:sz="4" w:space="0" w:color="9136AF"/>
              <w:right w:val="single" w:sz="4" w:space="0" w:color="9136AF"/>
            </w:tcBorders>
            <w:shd w:val="clear" w:color="FFFFFF" w:fill="FFFFFF"/>
            <w:vAlign w:val="center"/>
            <w:hideMark/>
          </w:tcPr>
          <w:p w14:paraId="2CD475C1" w14:textId="70A30C57" w:rsidR="006A14B2" w:rsidRPr="006A14B2" w:rsidRDefault="008771A6" w:rsidP="006A14B2">
            <w:pPr>
              <w:spacing w:after="0" w:line="240" w:lineRule="auto"/>
              <w:jc w:val="center"/>
              <w:rPr>
                <w:rFonts w:ascii="Arial" w:eastAsia="Times New Roman" w:hAnsi="Arial" w:cs="Arial"/>
                <w:color w:val="D9D9D9"/>
                <w:sz w:val="20"/>
                <w:szCs w:val="20"/>
                <w:lang w:eastAsia="en-GB"/>
              </w:rPr>
            </w:pPr>
            <w:r w:rsidRPr="008771A6">
              <w:rPr>
                <w:rFonts w:ascii="Arial" w:eastAsia="Times New Roman" w:hAnsi="Arial" w:cs="Arial"/>
                <w:color w:val="00B050"/>
                <w:sz w:val="20"/>
                <w:szCs w:val="20"/>
                <w:lang w:eastAsia="en-GB"/>
              </w:rPr>
              <w:t>40%</w:t>
            </w:r>
          </w:p>
        </w:tc>
        <w:tc>
          <w:tcPr>
            <w:tcW w:w="787" w:type="dxa"/>
            <w:tcBorders>
              <w:top w:val="nil"/>
              <w:left w:val="nil"/>
              <w:bottom w:val="single" w:sz="4" w:space="0" w:color="auto"/>
              <w:right w:val="single" w:sz="4" w:space="0" w:color="9136AF"/>
            </w:tcBorders>
            <w:shd w:val="clear" w:color="000000" w:fill="FFFFFF"/>
            <w:noWrap/>
            <w:vAlign w:val="bottom"/>
            <w:hideMark/>
          </w:tcPr>
          <w:p w14:paraId="6DB62C33" w14:textId="293022E5" w:rsidR="006A14B2" w:rsidRPr="006A14B2" w:rsidRDefault="008771A6" w:rsidP="006A14B2">
            <w:pPr>
              <w:spacing w:after="0" w:line="240" w:lineRule="auto"/>
              <w:rPr>
                <w:rFonts w:ascii="Arial" w:eastAsia="Times New Roman" w:hAnsi="Arial" w:cs="Arial"/>
                <w:color w:val="000000"/>
                <w:sz w:val="20"/>
                <w:szCs w:val="20"/>
                <w:lang w:eastAsia="en-GB"/>
              </w:rPr>
            </w:pPr>
            <w:r w:rsidRPr="006A14B2">
              <w:rPr>
                <w:rFonts w:ascii="Arial" w:eastAsia="Times New Roman" w:hAnsi="Arial" w:cs="Arial"/>
                <w:noProof/>
                <w:color w:val="000000"/>
                <w:sz w:val="20"/>
                <w:szCs w:val="20"/>
                <w:lang w:eastAsia="en-GB"/>
              </w:rPr>
              <w:drawing>
                <wp:anchor distT="0" distB="0" distL="114300" distR="114300" simplePos="0" relativeHeight="251658316" behindDoc="0" locked="0" layoutInCell="1" allowOverlap="1" wp14:anchorId="4B49CE37" wp14:editId="499B1031">
                  <wp:simplePos x="0" y="0"/>
                  <wp:positionH relativeFrom="column">
                    <wp:posOffset>66675</wp:posOffset>
                  </wp:positionH>
                  <wp:positionV relativeFrom="paragraph">
                    <wp:posOffset>-622300</wp:posOffset>
                  </wp:positionV>
                  <wp:extent cx="273050" cy="260350"/>
                  <wp:effectExtent l="0" t="0" r="0" b="0"/>
                  <wp:wrapNone/>
                  <wp:docPr id="334759254" name="Picture 63" descr="P1402C32T25#y1">
                    <a:extLst xmlns:a="http://schemas.openxmlformats.org/drawingml/2006/main">
                      <a:ext uri="{FF2B5EF4-FFF2-40B4-BE49-F238E27FC236}">
                        <a16:creationId xmlns:a16="http://schemas.microsoft.com/office/drawing/2014/main" id="{4E19CFA2-2B53-4CAA-B6B1-47548141D25C}"/>
                      </a:ext>
                    </a:extLst>
                  </wp:docPr>
                  <wp:cNvGraphicFramePr/>
                  <a:graphic xmlns:a="http://schemas.openxmlformats.org/drawingml/2006/main">
                    <a:graphicData uri="http://schemas.openxmlformats.org/drawingml/2006/picture">
                      <pic:pic xmlns:pic="http://schemas.openxmlformats.org/drawingml/2006/picture">
                        <pic:nvPicPr>
                          <pic:cNvPr id="41" name="Picture 51" descr="P1402C32T25#y1">
                            <a:extLst>
                              <a:ext uri="{FF2B5EF4-FFF2-40B4-BE49-F238E27FC236}">
                                <a16:creationId xmlns:a16="http://schemas.microsoft.com/office/drawing/2014/main" id="{4E19CFA2-2B53-4CAA-B6B1-47548141D25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050" cy="260350"/>
                          </a:xfrm>
                          <a:prstGeom prst="rect">
                            <a:avLst/>
                          </a:prstGeom>
                          <a:noFill/>
                        </pic:spPr>
                      </pic:pic>
                    </a:graphicData>
                  </a:graphic>
                  <wp14:sizeRelH relativeFrom="page">
                    <wp14:pctWidth>0</wp14:pctWidth>
                  </wp14:sizeRelH>
                  <wp14:sizeRelV relativeFrom="page">
                    <wp14:pctHeight>0</wp14:pctHeight>
                  </wp14:sizeRelV>
                </wp:anchor>
              </w:drawing>
            </w:r>
            <w:r w:rsidR="006A14B2" w:rsidRPr="006A14B2">
              <w:rPr>
                <w:rFonts w:ascii="Arial" w:eastAsia="Times New Roman" w:hAnsi="Arial" w:cs="Arial"/>
                <w:color w:val="000000"/>
                <w:sz w:val="20"/>
                <w:szCs w:val="20"/>
                <w:lang w:eastAsia="en-GB"/>
              </w:rPr>
              <w:t> </w:t>
            </w:r>
          </w:p>
        </w:tc>
        <w:tc>
          <w:tcPr>
            <w:tcW w:w="1665" w:type="dxa"/>
            <w:tcBorders>
              <w:top w:val="nil"/>
              <w:left w:val="nil"/>
              <w:bottom w:val="single" w:sz="4" w:space="0" w:color="auto"/>
              <w:right w:val="single" w:sz="4" w:space="0" w:color="9136AF"/>
            </w:tcBorders>
            <w:shd w:val="clear" w:color="auto" w:fill="auto"/>
            <w:noWrap/>
            <w:vAlign w:val="center"/>
            <w:hideMark/>
          </w:tcPr>
          <w:p w14:paraId="782EBB8F"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r w:rsidR="006A14B2" w:rsidRPr="006A14B2" w14:paraId="6856C79E" w14:textId="77777777" w:rsidTr="006A14B2">
        <w:trPr>
          <w:trHeight w:val="1725"/>
        </w:trPr>
        <w:tc>
          <w:tcPr>
            <w:tcW w:w="2568" w:type="dxa"/>
            <w:vMerge/>
            <w:tcBorders>
              <w:top w:val="nil"/>
              <w:left w:val="single" w:sz="4" w:space="0" w:color="9136AF"/>
              <w:bottom w:val="single" w:sz="4" w:space="0" w:color="9136AF"/>
              <w:right w:val="single" w:sz="4" w:space="0" w:color="9136AF"/>
            </w:tcBorders>
            <w:vAlign w:val="center"/>
            <w:hideMark/>
          </w:tcPr>
          <w:p w14:paraId="712A8699" w14:textId="77777777" w:rsidR="006A14B2" w:rsidRPr="006A14B2" w:rsidRDefault="006A14B2" w:rsidP="006A14B2">
            <w:pPr>
              <w:spacing w:after="0" w:line="240" w:lineRule="auto"/>
              <w:rPr>
                <w:rFonts w:ascii="Arial" w:eastAsia="Times New Roman" w:hAnsi="Arial" w:cs="Arial"/>
                <w:b/>
                <w:bCs/>
                <w:sz w:val="20"/>
                <w:szCs w:val="20"/>
                <w:lang w:eastAsia="en-GB"/>
              </w:rPr>
            </w:pPr>
          </w:p>
        </w:tc>
        <w:tc>
          <w:tcPr>
            <w:tcW w:w="624" w:type="dxa"/>
            <w:tcBorders>
              <w:top w:val="nil"/>
              <w:left w:val="nil"/>
              <w:bottom w:val="single" w:sz="4" w:space="0" w:color="9136AF"/>
              <w:right w:val="single" w:sz="4" w:space="0" w:color="9136AF"/>
            </w:tcBorders>
            <w:shd w:val="clear" w:color="auto" w:fill="auto"/>
            <w:vAlign w:val="center"/>
            <w:hideMark/>
          </w:tcPr>
          <w:p w14:paraId="077A8396"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HS-005</w:t>
            </w:r>
          </w:p>
        </w:tc>
        <w:tc>
          <w:tcPr>
            <w:tcW w:w="3395" w:type="dxa"/>
            <w:tcBorders>
              <w:top w:val="nil"/>
              <w:left w:val="nil"/>
              <w:bottom w:val="single" w:sz="4" w:space="0" w:color="9136AF"/>
              <w:right w:val="single" w:sz="4" w:space="0" w:color="9136AF"/>
            </w:tcBorders>
            <w:shd w:val="clear" w:color="auto" w:fill="auto"/>
            <w:vAlign w:val="center"/>
            <w:hideMark/>
          </w:tcPr>
          <w:p w14:paraId="0216C978"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Number of households that are families with children living in temporary accommodation.</w:t>
            </w:r>
          </w:p>
        </w:tc>
        <w:tc>
          <w:tcPr>
            <w:tcW w:w="1409" w:type="dxa"/>
            <w:tcBorders>
              <w:top w:val="nil"/>
              <w:left w:val="nil"/>
              <w:bottom w:val="single" w:sz="4" w:space="0" w:color="9136AF"/>
              <w:right w:val="single" w:sz="4" w:space="0" w:color="9136AF"/>
            </w:tcBorders>
            <w:shd w:val="clear" w:color="auto" w:fill="auto"/>
            <w:vAlign w:val="center"/>
            <w:hideMark/>
          </w:tcPr>
          <w:p w14:paraId="3F3BA802"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6EA91D08"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Lower</w:t>
            </w:r>
          </w:p>
        </w:tc>
        <w:tc>
          <w:tcPr>
            <w:tcW w:w="1055" w:type="dxa"/>
            <w:tcBorders>
              <w:top w:val="nil"/>
              <w:left w:val="nil"/>
              <w:bottom w:val="single" w:sz="4" w:space="0" w:color="9136AF"/>
              <w:right w:val="single" w:sz="4" w:space="0" w:color="9136AF"/>
            </w:tcBorders>
            <w:shd w:val="clear" w:color="000000" w:fill="92D050"/>
            <w:vAlign w:val="center"/>
            <w:hideMark/>
          </w:tcPr>
          <w:p w14:paraId="68CBB79C"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119</w:t>
            </w:r>
          </w:p>
        </w:tc>
        <w:tc>
          <w:tcPr>
            <w:tcW w:w="931" w:type="dxa"/>
            <w:tcBorders>
              <w:top w:val="nil"/>
              <w:left w:val="nil"/>
              <w:bottom w:val="single" w:sz="4" w:space="0" w:color="9136AF"/>
              <w:right w:val="single" w:sz="4" w:space="0" w:color="9136AF"/>
            </w:tcBorders>
            <w:shd w:val="clear" w:color="000000" w:fill="FFFFFF"/>
            <w:noWrap/>
            <w:vAlign w:val="center"/>
            <w:hideMark/>
          </w:tcPr>
          <w:p w14:paraId="6A4FD7AD"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115</w:t>
            </w:r>
          </w:p>
        </w:tc>
        <w:tc>
          <w:tcPr>
            <w:tcW w:w="795" w:type="dxa"/>
            <w:tcBorders>
              <w:top w:val="single" w:sz="4" w:space="0" w:color="9136AF"/>
              <w:left w:val="single" w:sz="4" w:space="0" w:color="9136AF"/>
              <w:bottom w:val="single" w:sz="4" w:space="0" w:color="9136AF"/>
              <w:right w:val="single" w:sz="4" w:space="0" w:color="9136AF"/>
            </w:tcBorders>
            <w:shd w:val="clear" w:color="000000" w:fill="FF0000"/>
            <w:vAlign w:val="center"/>
            <w:hideMark/>
          </w:tcPr>
          <w:p w14:paraId="109565E0"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38</w:t>
            </w:r>
          </w:p>
        </w:tc>
        <w:tc>
          <w:tcPr>
            <w:tcW w:w="1101" w:type="dxa"/>
            <w:tcBorders>
              <w:top w:val="single" w:sz="4" w:space="0" w:color="9136AF"/>
              <w:left w:val="single" w:sz="4" w:space="0" w:color="9136AF"/>
              <w:bottom w:val="single" w:sz="4" w:space="0" w:color="9136AF"/>
              <w:right w:val="single" w:sz="4" w:space="0" w:color="auto"/>
            </w:tcBorders>
            <w:shd w:val="clear" w:color="auto" w:fill="auto"/>
            <w:vAlign w:val="center"/>
            <w:hideMark/>
          </w:tcPr>
          <w:p w14:paraId="05CED3EA" w14:textId="77777777" w:rsidR="006A14B2" w:rsidRPr="006A14B2" w:rsidRDefault="006A14B2" w:rsidP="006A14B2">
            <w:pPr>
              <w:spacing w:after="0" w:line="240" w:lineRule="auto"/>
              <w:jc w:val="center"/>
              <w:rPr>
                <w:rFonts w:ascii="Arial" w:eastAsia="Times New Roman" w:hAnsi="Arial" w:cs="Arial"/>
                <w:color w:val="FF0000"/>
                <w:sz w:val="20"/>
                <w:szCs w:val="20"/>
                <w:lang w:eastAsia="en-GB"/>
              </w:rPr>
            </w:pPr>
            <w:r w:rsidRPr="006A14B2">
              <w:rPr>
                <w:rFonts w:ascii="Arial" w:eastAsia="Times New Roman" w:hAnsi="Arial" w:cs="Arial"/>
                <w:color w:val="FF0000"/>
                <w:sz w:val="20"/>
                <w:szCs w:val="20"/>
                <w:lang w:eastAsia="en-GB"/>
              </w:rPr>
              <w:t>-31.03%</w:t>
            </w:r>
          </w:p>
        </w:tc>
        <w:tc>
          <w:tcPr>
            <w:tcW w:w="7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4609E" w14:textId="619B63D1" w:rsidR="006A14B2" w:rsidRPr="006A14B2" w:rsidRDefault="006A14B2" w:rsidP="006A14B2">
            <w:pPr>
              <w:spacing w:after="0" w:line="240" w:lineRule="auto"/>
              <w:rPr>
                <w:rFonts w:ascii="Calibri" w:eastAsia="Times New Roman" w:hAnsi="Calibri" w:cs="Calibri"/>
                <w:color w:val="000000"/>
                <w:sz w:val="20"/>
                <w:szCs w:val="20"/>
                <w:lang w:eastAsia="en-GB"/>
              </w:rPr>
            </w:pPr>
            <w:r w:rsidRPr="006A14B2">
              <w:rPr>
                <w:rFonts w:ascii="Calibri" w:eastAsia="Times New Roman" w:hAnsi="Calibri" w:cs="Calibri"/>
                <w:noProof/>
                <w:color w:val="000000"/>
                <w:sz w:val="20"/>
                <w:szCs w:val="20"/>
                <w:lang w:eastAsia="en-GB"/>
              </w:rPr>
              <w:drawing>
                <wp:anchor distT="0" distB="0" distL="114300" distR="114300" simplePos="0" relativeHeight="251658290" behindDoc="0" locked="0" layoutInCell="1" allowOverlap="1" wp14:anchorId="2EC4D4A6" wp14:editId="36EA3AA0">
                  <wp:simplePos x="0" y="0"/>
                  <wp:positionH relativeFrom="column">
                    <wp:posOffset>63500</wp:posOffset>
                  </wp:positionH>
                  <wp:positionV relativeFrom="paragraph">
                    <wp:posOffset>-655955</wp:posOffset>
                  </wp:positionV>
                  <wp:extent cx="285750" cy="234950"/>
                  <wp:effectExtent l="0" t="0" r="0" b="0"/>
                  <wp:wrapNone/>
                  <wp:docPr id="1136027228" name="Picture 64" descr="P1426C53T25#y1">
                    <a:extLst xmlns:a="http://schemas.openxmlformats.org/drawingml/2006/main">
                      <a:ext uri="{FF2B5EF4-FFF2-40B4-BE49-F238E27FC236}">
                        <a16:creationId xmlns:a16="http://schemas.microsoft.com/office/drawing/2014/main" id="{F79756CA-F096-42A2-8C1F-89D8320CA0DD}"/>
                      </a:ext>
                    </a:extLst>
                  </wp:docPr>
                  <wp:cNvGraphicFramePr/>
                  <a:graphic xmlns:a="http://schemas.openxmlformats.org/drawingml/2006/main">
                    <a:graphicData uri="http://schemas.openxmlformats.org/drawingml/2006/picture">
                      <pic:pic xmlns:pic="http://schemas.openxmlformats.org/drawingml/2006/picture">
                        <pic:nvPicPr>
                          <pic:cNvPr id="1136027228" name="Picture 50" descr="P1426C53T25#y1">
                            <a:extLst>
                              <a:ext uri="{FF2B5EF4-FFF2-40B4-BE49-F238E27FC236}">
                                <a16:creationId xmlns:a16="http://schemas.microsoft.com/office/drawing/2014/main" id="{F79756CA-F096-42A2-8C1F-89D8320CA0DD}"/>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285750" cy="234950"/>
                          </a:xfrm>
                          <a:prstGeom prst="rect">
                            <a:avLst/>
                          </a:prstGeom>
                          <a:noFill/>
                        </pic:spPr>
                      </pic:pic>
                    </a:graphicData>
                  </a:graphic>
                  <wp14:sizeRelH relativeFrom="page">
                    <wp14:pctWidth>0</wp14:pctWidth>
                  </wp14:sizeRelH>
                  <wp14:sizeRelV relativeFrom="page">
                    <wp14:pctHeight>0</wp14:pctHeight>
                  </wp14:sizeRelV>
                </wp:anchor>
              </w:drawing>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8317"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r w:rsidR="006A14B2" w:rsidRPr="006A14B2" w14:paraId="1DC52508" w14:textId="77777777" w:rsidTr="006A14B2">
        <w:trPr>
          <w:trHeight w:val="2085"/>
        </w:trPr>
        <w:tc>
          <w:tcPr>
            <w:tcW w:w="2568" w:type="dxa"/>
            <w:vMerge/>
            <w:tcBorders>
              <w:top w:val="nil"/>
              <w:left w:val="single" w:sz="4" w:space="0" w:color="9136AF"/>
              <w:bottom w:val="single" w:sz="4" w:space="0" w:color="9136AF"/>
              <w:right w:val="single" w:sz="4" w:space="0" w:color="9136AF"/>
            </w:tcBorders>
            <w:vAlign w:val="center"/>
            <w:hideMark/>
          </w:tcPr>
          <w:p w14:paraId="6434F66D" w14:textId="77777777" w:rsidR="006A14B2" w:rsidRPr="006A14B2" w:rsidRDefault="006A14B2" w:rsidP="006A14B2">
            <w:pPr>
              <w:spacing w:after="0" w:line="240" w:lineRule="auto"/>
              <w:rPr>
                <w:rFonts w:ascii="Arial" w:eastAsia="Times New Roman" w:hAnsi="Arial" w:cs="Arial"/>
                <w:b/>
                <w:bCs/>
                <w:sz w:val="20"/>
                <w:szCs w:val="20"/>
                <w:lang w:eastAsia="en-GB"/>
              </w:rPr>
            </w:pPr>
          </w:p>
        </w:tc>
        <w:tc>
          <w:tcPr>
            <w:tcW w:w="624" w:type="dxa"/>
            <w:tcBorders>
              <w:top w:val="nil"/>
              <w:left w:val="nil"/>
              <w:bottom w:val="single" w:sz="4" w:space="0" w:color="9136AF"/>
              <w:right w:val="single" w:sz="4" w:space="0" w:color="9136AF"/>
            </w:tcBorders>
            <w:shd w:val="clear" w:color="auto" w:fill="auto"/>
            <w:vAlign w:val="center"/>
            <w:hideMark/>
          </w:tcPr>
          <w:p w14:paraId="5EDEA15E"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HS-006</w:t>
            </w:r>
          </w:p>
        </w:tc>
        <w:tc>
          <w:tcPr>
            <w:tcW w:w="3395" w:type="dxa"/>
            <w:tcBorders>
              <w:top w:val="nil"/>
              <w:left w:val="nil"/>
              <w:bottom w:val="single" w:sz="4" w:space="0" w:color="9136AF"/>
              <w:right w:val="single" w:sz="4" w:space="0" w:color="9136AF"/>
            </w:tcBorders>
            <w:shd w:val="clear" w:color="auto" w:fill="auto"/>
            <w:vAlign w:val="center"/>
            <w:hideMark/>
          </w:tcPr>
          <w:p w14:paraId="1DE170F6"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Total number of weeks households spent in temporary accommodation provided by the local authority (not B&amp;B/refuge).</w:t>
            </w:r>
          </w:p>
        </w:tc>
        <w:tc>
          <w:tcPr>
            <w:tcW w:w="1409" w:type="dxa"/>
            <w:tcBorders>
              <w:top w:val="nil"/>
              <w:left w:val="nil"/>
              <w:bottom w:val="single" w:sz="4" w:space="0" w:color="9136AF"/>
              <w:right w:val="single" w:sz="4" w:space="0" w:color="9136AF"/>
            </w:tcBorders>
            <w:shd w:val="clear" w:color="auto" w:fill="auto"/>
            <w:vAlign w:val="center"/>
            <w:hideMark/>
          </w:tcPr>
          <w:p w14:paraId="6CB750BA"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4FA0D4B9"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Lower</w:t>
            </w:r>
          </w:p>
        </w:tc>
        <w:tc>
          <w:tcPr>
            <w:tcW w:w="1055" w:type="dxa"/>
            <w:tcBorders>
              <w:top w:val="nil"/>
              <w:left w:val="nil"/>
              <w:bottom w:val="single" w:sz="4" w:space="0" w:color="9136AF"/>
              <w:right w:val="single" w:sz="4" w:space="0" w:color="9136AF"/>
            </w:tcBorders>
            <w:shd w:val="clear" w:color="000000" w:fill="FFC000"/>
            <w:vAlign w:val="center"/>
            <w:hideMark/>
          </w:tcPr>
          <w:p w14:paraId="680D9F70"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w:t>
            </w:r>
          </w:p>
        </w:tc>
        <w:tc>
          <w:tcPr>
            <w:tcW w:w="931" w:type="dxa"/>
            <w:tcBorders>
              <w:top w:val="nil"/>
              <w:left w:val="nil"/>
              <w:bottom w:val="single" w:sz="4" w:space="0" w:color="9136AF"/>
              <w:right w:val="single" w:sz="4" w:space="0" w:color="9136AF"/>
            </w:tcBorders>
            <w:shd w:val="clear" w:color="000000" w:fill="FFFFFF"/>
            <w:noWrap/>
            <w:vAlign w:val="center"/>
            <w:hideMark/>
          </w:tcPr>
          <w:p w14:paraId="6DAA6A8B"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w:t>
            </w:r>
          </w:p>
        </w:tc>
        <w:tc>
          <w:tcPr>
            <w:tcW w:w="795" w:type="dxa"/>
            <w:tcBorders>
              <w:top w:val="single" w:sz="4" w:space="0" w:color="9136AF"/>
              <w:left w:val="single" w:sz="4" w:space="0" w:color="9136AF"/>
              <w:bottom w:val="single" w:sz="4" w:space="0" w:color="9136AF"/>
              <w:right w:val="single" w:sz="4" w:space="0" w:color="9136AF"/>
            </w:tcBorders>
            <w:shd w:val="clear" w:color="000000" w:fill="92D050"/>
            <w:vAlign w:val="center"/>
            <w:hideMark/>
          </w:tcPr>
          <w:p w14:paraId="7CB9A59E"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8.8</w:t>
            </w:r>
          </w:p>
        </w:tc>
        <w:tc>
          <w:tcPr>
            <w:tcW w:w="1101"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7E094A86" w14:textId="77777777" w:rsidR="006A14B2" w:rsidRPr="006A14B2" w:rsidRDefault="006A14B2" w:rsidP="006A14B2">
            <w:pPr>
              <w:spacing w:after="0" w:line="240" w:lineRule="auto"/>
              <w:jc w:val="center"/>
              <w:rPr>
                <w:rFonts w:ascii="Arial" w:eastAsia="Times New Roman" w:hAnsi="Arial" w:cs="Arial"/>
                <w:color w:val="00B050"/>
                <w:sz w:val="20"/>
                <w:szCs w:val="20"/>
                <w:lang w:eastAsia="en-GB"/>
              </w:rPr>
            </w:pPr>
            <w:r w:rsidRPr="006A14B2">
              <w:rPr>
                <w:rFonts w:ascii="Arial" w:eastAsia="Times New Roman" w:hAnsi="Arial" w:cs="Arial"/>
                <w:color w:val="00B050"/>
                <w:sz w:val="20"/>
                <w:szCs w:val="20"/>
                <w:lang w:eastAsia="en-GB"/>
              </w:rPr>
              <w:t>2%</w:t>
            </w:r>
          </w:p>
        </w:tc>
        <w:tc>
          <w:tcPr>
            <w:tcW w:w="787" w:type="dxa"/>
            <w:tcBorders>
              <w:top w:val="single" w:sz="4" w:space="0" w:color="auto"/>
              <w:left w:val="nil"/>
              <w:bottom w:val="single" w:sz="4" w:space="0" w:color="9136AF"/>
              <w:right w:val="single" w:sz="4" w:space="0" w:color="9136AF"/>
            </w:tcBorders>
            <w:shd w:val="clear" w:color="000000" w:fill="FFFFFF"/>
            <w:noWrap/>
            <w:vAlign w:val="bottom"/>
            <w:hideMark/>
          </w:tcPr>
          <w:p w14:paraId="457CE9FF" w14:textId="1C860A82" w:rsidR="006A14B2" w:rsidRPr="006A14B2" w:rsidRDefault="006A14B2" w:rsidP="006A14B2">
            <w:pPr>
              <w:spacing w:after="0" w:line="240" w:lineRule="auto"/>
              <w:rPr>
                <w:rFonts w:ascii="Arial" w:eastAsia="Times New Roman" w:hAnsi="Arial" w:cs="Arial"/>
                <w:color w:val="000000"/>
                <w:sz w:val="20"/>
                <w:szCs w:val="20"/>
                <w:lang w:eastAsia="en-GB"/>
              </w:rPr>
            </w:pPr>
            <w:r w:rsidRPr="006A14B2">
              <w:rPr>
                <w:rFonts w:ascii="Arial" w:eastAsia="Times New Roman" w:hAnsi="Arial" w:cs="Arial"/>
                <w:noProof/>
                <w:color w:val="000000"/>
                <w:sz w:val="20"/>
                <w:szCs w:val="20"/>
                <w:lang w:eastAsia="en-GB"/>
              </w:rPr>
              <w:drawing>
                <wp:anchor distT="0" distB="0" distL="114300" distR="114300" simplePos="0" relativeHeight="251658292" behindDoc="0" locked="0" layoutInCell="1" allowOverlap="1" wp14:anchorId="501EA318" wp14:editId="1BF008C6">
                  <wp:simplePos x="0" y="0"/>
                  <wp:positionH relativeFrom="column">
                    <wp:posOffset>48260</wp:posOffset>
                  </wp:positionH>
                  <wp:positionV relativeFrom="paragraph">
                    <wp:posOffset>-829945</wp:posOffset>
                  </wp:positionV>
                  <wp:extent cx="279400" cy="241300"/>
                  <wp:effectExtent l="0" t="0" r="6350" b="6350"/>
                  <wp:wrapNone/>
                  <wp:docPr id="569697443" name="Picture 65" descr="P1438C63T25#y1">
                    <a:extLst xmlns:a="http://schemas.openxmlformats.org/drawingml/2006/main">
                      <a:ext uri="{FF2B5EF4-FFF2-40B4-BE49-F238E27FC236}">
                        <a16:creationId xmlns:a16="http://schemas.microsoft.com/office/drawing/2014/main" id="{F6A98D54-2767-4EB3-8F87-6CE30635395B}"/>
                      </a:ext>
                      <a:ext uri="{147F2762-F138-4A5C-976F-8EAC2B608ADB}">
                        <a16:predDERef xmlns:a16="http://schemas.microsoft.com/office/drawing/2014/main" pred="{7E5A22E0-F540-4E6D-83CD-2E2A1522BBAF}"/>
                      </a:ext>
                    </a:extLst>
                  </wp:docPr>
                  <wp:cNvGraphicFramePr/>
                  <a:graphic xmlns:a="http://schemas.openxmlformats.org/drawingml/2006/main">
                    <a:graphicData uri="http://schemas.openxmlformats.org/drawingml/2006/picture">
                      <pic:pic xmlns:pic="http://schemas.openxmlformats.org/drawingml/2006/picture">
                        <pic:nvPicPr>
                          <pic:cNvPr id="569697443" name="Picture 49" descr="P1438C63T25#y1">
                            <a:extLst>
                              <a:ext uri="{FF2B5EF4-FFF2-40B4-BE49-F238E27FC236}">
                                <a16:creationId xmlns:a16="http://schemas.microsoft.com/office/drawing/2014/main" id="{F6A98D54-2767-4EB3-8F87-6CE30635395B}"/>
                              </a:ext>
                              <a:ext uri="{147F2762-F138-4A5C-976F-8EAC2B608ADB}">
                                <a16:predDERef xmlns:a16="http://schemas.microsoft.com/office/drawing/2014/main" pred="{7E5A22E0-F540-4E6D-83CD-2E2A1522BBA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1665" w:type="dxa"/>
            <w:tcBorders>
              <w:top w:val="single" w:sz="4" w:space="0" w:color="auto"/>
              <w:left w:val="nil"/>
              <w:bottom w:val="single" w:sz="4" w:space="0" w:color="9136AF"/>
              <w:right w:val="single" w:sz="4" w:space="0" w:color="9136AF"/>
            </w:tcBorders>
            <w:shd w:val="clear" w:color="auto" w:fill="auto"/>
            <w:noWrap/>
            <w:vAlign w:val="center"/>
            <w:hideMark/>
          </w:tcPr>
          <w:p w14:paraId="2C88F8FF" w14:textId="5E4BC9B5"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r w:rsidR="006A14B2" w:rsidRPr="006A14B2" w14:paraId="54974C05" w14:textId="77777777" w:rsidTr="006A14B2">
        <w:trPr>
          <w:trHeight w:val="1485"/>
        </w:trPr>
        <w:tc>
          <w:tcPr>
            <w:tcW w:w="2568" w:type="dxa"/>
            <w:vMerge/>
            <w:tcBorders>
              <w:top w:val="nil"/>
              <w:left w:val="single" w:sz="4" w:space="0" w:color="9136AF"/>
              <w:bottom w:val="single" w:sz="4" w:space="0" w:color="9136AF"/>
              <w:right w:val="single" w:sz="4" w:space="0" w:color="9136AF"/>
            </w:tcBorders>
            <w:vAlign w:val="center"/>
            <w:hideMark/>
          </w:tcPr>
          <w:p w14:paraId="2F2A67F1" w14:textId="77777777" w:rsidR="006A14B2" w:rsidRPr="006A14B2" w:rsidRDefault="006A14B2" w:rsidP="006A14B2">
            <w:pPr>
              <w:spacing w:after="0" w:line="240" w:lineRule="auto"/>
              <w:rPr>
                <w:rFonts w:ascii="Arial" w:eastAsia="Times New Roman" w:hAnsi="Arial" w:cs="Arial"/>
                <w:b/>
                <w:bCs/>
                <w:sz w:val="20"/>
                <w:szCs w:val="20"/>
                <w:lang w:eastAsia="en-GB"/>
              </w:rPr>
            </w:pPr>
          </w:p>
        </w:tc>
        <w:tc>
          <w:tcPr>
            <w:tcW w:w="624" w:type="dxa"/>
            <w:tcBorders>
              <w:top w:val="nil"/>
              <w:left w:val="nil"/>
              <w:bottom w:val="single" w:sz="4" w:space="0" w:color="9136AF"/>
              <w:right w:val="single" w:sz="4" w:space="0" w:color="9136AF"/>
            </w:tcBorders>
            <w:shd w:val="clear" w:color="auto" w:fill="auto"/>
            <w:vAlign w:val="center"/>
            <w:hideMark/>
          </w:tcPr>
          <w:p w14:paraId="08E25FB2"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HS-007</w:t>
            </w:r>
          </w:p>
        </w:tc>
        <w:tc>
          <w:tcPr>
            <w:tcW w:w="3395" w:type="dxa"/>
            <w:tcBorders>
              <w:top w:val="nil"/>
              <w:left w:val="nil"/>
              <w:bottom w:val="single" w:sz="4" w:space="0" w:color="9136AF"/>
              <w:right w:val="single" w:sz="4" w:space="0" w:color="9136AF"/>
            </w:tcBorders>
            <w:shd w:val="clear" w:color="auto" w:fill="auto"/>
            <w:vAlign w:val="center"/>
            <w:hideMark/>
          </w:tcPr>
          <w:p w14:paraId="6F7DECA7" w14:textId="77777777" w:rsidR="006A14B2" w:rsidRPr="006A14B2" w:rsidRDefault="006A14B2" w:rsidP="006A14B2">
            <w:pPr>
              <w:spacing w:after="0" w:line="240" w:lineRule="auto"/>
              <w:rPr>
                <w:rFonts w:ascii="Arial" w:eastAsia="Times New Roman" w:hAnsi="Arial" w:cs="Arial"/>
                <w:sz w:val="20"/>
                <w:szCs w:val="20"/>
                <w:lang w:eastAsia="en-GB"/>
              </w:rPr>
            </w:pPr>
            <w:r w:rsidRPr="006A14B2">
              <w:rPr>
                <w:rFonts w:ascii="Arial" w:eastAsia="Times New Roman" w:hAnsi="Arial" w:cs="Arial"/>
                <w:sz w:val="20"/>
                <w:szCs w:val="20"/>
                <w:lang w:eastAsia="en-GB"/>
              </w:rPr>
              <w:t>Number of households assisted to reduce fuel poverty.</w:t>
            </w:r>
          </w:p>
        </w:tc>
        <w:tc>
          <w:tcPr>
            <w:tcW w:w="1409" w:type="dxa"/>
            <w:tcBorders>
              <w:top w:val="nil"/>
              <w:left w:val="nil"/>
              <w:bottom w:val="single" w:sz="4" w:space="0" w:color="9136AF"/>
              <w:right w:val="single" w:sz="4" w:space="0" w:color="9136AF"/>
            </w:tcBorders>
            <w:shd w:val="clear" w:color="auto" w:fill="auto"/>
            <w:vAlign w:val="center"/>
            <w:hideMark/>
          </w:tcPr>
          <w:p w14:paraId="4CECBD53"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Quarterly</w:t>
            </w:r>
          </w:p>
        </w:tc>
        <w:tc>
          <w:tcPr>
            <w:tcW w:w="1172" w:type="dxa"/>
            <w:tcBorders>
              <w:top w:val="nil"/>
              <w:left w:val="nil"/>
              <w:bottom w:val="single" w:sz="4" w:space="0" w:color="9136AF"/>
              <w:right w:val="single" w:sz="4" w:space="0" w:color="9136AF"/>
            </w:tcBorders>
            <w:shd w:val="clear" w:color="000000" w:fill="FFFFFF"/>
            <w:vAlign w:val="center"/>
            <w:hideMark/>
          </w:tcPr>
          <w:p w14:paraId="31280054"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Higher</w:t>
            </w:r>
          </w:p>
        </w:tc>
        <w:tc>
          <w:tcPr>
            <w:tcW w:w="1055" w:type="dxa"/>
            <w:tcBorders>
              <w:top w:val="nil"/>
              <w:left w:val="nil"/>
              <w:bottom w:val="single" w:sz="4" w:space="0" w:color="9136AF"/>
              <w:right w:val="nil"/>
            </w:tcBorders>
            <w:shd w:val="clear" w:color="000000" w:fill="92D050"/>
            <w:noWrap/>
            <w:vAlign w:val="center"/>
            <w:hideMark/>
          </w:tcPr>
          <w:p w14:paraId="66A174EC"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1167</w:t>
            </w:r>
          </w:p>
        </w:tc>
        <w:tc>
          <w:tcPr>
            <w:tcW w:w="931" w:type="dxa"/>
            <w:tcBorders>
              <w:top w:val="nil"/>
              <w:left w:val="single" w:sz="4" w:space="0" w:color="9136AF"/>
              <w:bottom w:val="single" w:sz="4" w:space="0" w:color="9136AF"/>
              <w:right w:val="single" w:sz="4" w:space="0" w:color="9136AF"/>
            </w:tcBorders>
            <w:shd w:val="clear" w:color="000000" w:fill="FFFFFF"/>
            <w:noWrap/>
            <w:vAlign w:val="center"/>
            <w:hideMark/>
          </w:tcPr>
          <w:p w14:paraId="5B0F7CD7"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1100</w:t>
            </w:r>
          </w:p>
        </w:tc>
        <w:tc>
          <w:tcPr>
            <w:tcW w:w="795" w:type="dxa"/>
            <w:tcBorders>
              <w:top w:val="single" w:sz="4" w:space="0" w:color="9136AF"/>
              <w:left w:val="single" w:sz="4" w:space="0" w:color="9136AF"/>
              <w:bottom w:val="single" w:sz="4" w:space="0" w:color="9136AF"/>
              <w:right w:val="single" w:sz="4" w:space="0" w:color="9136AF"/>
            </w:tcBorders>
            <w:shd w:val="clear" w:color="000000" w:fill="FF0000"/>
            <w:vAlign w:val="center"/>
            <w:hideMark/>
          </w:tcPr>
          <w:p w14:paraId="1F4BA1C0" w14:textId="77777777" w:rsidR="006A14B2" w:rsidRPr="006A14B2" w:rsidRDefault="006A14B2" w:rsidP="006A14B2">
            <w:pPr>
              <w:spacing w:after="0" w:line="240" w:lineRule="auto"/>
              <w:jc w:val="center"/>
              <w:rPr>
                <w:rFonts w:ascii="Arial" w:eastAsia="Times New Roman" w:hAnsi="Arial" w:cs="Arial"/>
                <w:color w:val="000000"/>
                <w:sz w:val="20"/>
                <w:szCs w:val="20"/>
                <w:lang w:eastAsia="en-GB"/>
              </w:rPr>
            </w:pPr>
            <w:r w:rsidRPr="006A14B2">
              <w:rPr>
                <w:rFonts w:ascii="Arial" w:eastAsia="Times New Roman" w:hAnsi="Arial" w:cs="Arial"/>
                <w:color w:val="000000"/>
                <w:sz w:val="20"/>
                <w:szCs w:val="20"/>
                <w:lang w:eastAsia="en-GB"/>
              </w:rPr>
              <w:t>231</w:t>
            </w:r>
          </w:p>
        </w:tc>
        <w:tc>
          <w:tcPr>
            <w:tcW w:w="1101" w:type="dxa"/>
            <w:tcBorders>
              <w:top w:val="single" w:sz="4" w:space="0" w:color="9136AF"/>
              <w:left w:val="single" w:sz="4" w:space="0" w:color="9136AF"/>
              <w:bottom w:val="single" w:sz="4" w:space="0" w:color="9136AF"/>
              <w:right w:val="single" w:sz="4" w:space="0" w:color="9136AF"/>
            </w:tcBorders>
            <w:shd w:val="clear" w:color="auto" w:fill="auto"/>
            <w:vAlign w:val="center"/>
            <w:hideMark/>
          </w:tcPr>
          <w:p w14:paraId="288E9E6B" w14:textId="77777777" w:rsidR="006A14B2" w:rsidRPr="006A14B2" w:rsidRDefault="006A14B2" w:rsidP="006A14B2">
            <w:pPr>
              <w:spacing w:after="0" w:line="240" w:lineRule="auto"/>
              <w:jc w:val="center"/>
              <w:rPr>
                <w:rFonts w:ascii="Arial" w:eastAsia="Times New Roman" w:hAnsi="Arial" w:cs="Arial"/>
                <w:color w:val="FF0000"/>
                <w:sz w:val="20"/>
                <w:szCs w:val="20"/>
                <w:lang w:eastAsia="en-GB"/>
              </w:rPr>
            </w:pPr>
            <w:r w:rsidRPr="006A14B2">
              <w:rPr>
                <w:rFonts w:ascii="Arial" w:eastAsia="Times New Roman" w:hAnsi="Arial" w:cs="Arial"/>
                <w:color w:val="FF0000"/>
                <w:sz w:val="20"/>
                <w:szCs w:val="20"/>
                <w:lang w:eastAsia="en-GB"/>
              </w:rPr>
              <w:t>-7.6%</w:t>
            </w:r>
          </w:p>
        </w:tc>
        <w:tc>
          <w:tcPr>
            <w:tcW w:w="787" w:type="dxa"/>
            <w:tcBorders>
              <w:top w:val="nil"/>
              <w:left w:val="nil"/>
              <w:bottom w:val="single" w:sz="4" w:space="0" w:color="9136AF"/>
              <w:right w:val="single" w:sz="4" w:space="0" w:color="9136AF"/>
            </w:tcBorders>
            <w:shd w:val="clear" w:color="000000" w:fill="FFFFFF"/>
            <w:noWrap/>
            <w:vAlign w:val="bottom"/>
            <w:hideMark/>
          </w:tcPr>
          <w:p w14:paraId="02602473" w14:textId="6ED34C7D" w:rsidR="006A14B2" w:rsidRPr="006A14B2" w:rsidRDefault="006A14B2" w:rsidP="006A14B2">
            <w:pPr>
              <w:spacing w:after="0" w:line="240" w:lineRule="auto"/>
              <w:rPr>
                <w:rFonts w:ascii="Arial" w:eastAsia="Times New Roman" w:hAnsi="Arial" w:cs="Arial"/>
                <w:color w:val="000000"/>
                <w:sz w:val="20"/>
                <w:szCs w:val="20"/>
                <w:lang w:eastAsia="en-GB"/>
              </w:rPr>
            </w:pPr>
            <w:r w:rsidRPr="006A14B2">
              <w:rPr>
                <w:rFonts w:ascii="Arial" w:eastAsia="Times New Roman" w:hAnsi="Arial" w:cs="Arial"/>
                <w:noProof/>
                <w:color w:val="000000"/>
                <w:sz w:val="20"/>
                <w:szCs w:val="20"/>
                <w:lang w:eastAsia="en-GB"/>
              </w:rPr>
              <w:drawing>
                <wp:anchor distT="0" distB="0" distL="114300" distR="114300" simplePos="0" relativeHeight="251658293" behindDoc="0" locked="0" layoutInCell="1" allowOverlap="1" wp14:anchorId="4263B1CD" wp14:editId="4CBBF384">
                  <wp:simplePos x="0" y="0"/>
                  <wp:positionH relativeFrom="column">
                    <wp:posOffset>97155</wp:posOffset>
                  </wp:positionH>
                  <wp:positionV relativeFrom="paragraph">
                    <wp:posOffset>-577215</wp:posOffset>
                  </wp:positionV>
                  <wp:extent cx="273050" cy="247650"/>
                  <wp:effectExtent l="0" t="0" r="0" b="0"/>
                  <wp:wrapNone/>
                  <wp:docPr id="1741831665" name="Picture 66" descr="P1450C73T25#y1">
                    <a:extLst xmlns:a="http://schemas.openxmlformats.org/drawingml/2006/main">
                      <a:ext uri="{FF2B5EF4-FFF2-40B4-BE49-F238E27FC236}">
                        <a16:creationId xmlns:a16="http://schemas.microsoft.com/office/drawing/2014/main" id="{23A0AE16-F486-45B6-A8B2-DA96BF23FE67}"/>
                      </a:ext>
                      <a:ext uri="{147F2762-F138-4A5C-976F-8EAC2B608ADB}">
                        <a16:predDERef xmlns:a16="http://schemas.microsoft.com/office/drawing/2014/main" pred="{617EB7FE-78FD-4762-BBCF-13DDDFB042ED}"/>
                      </a:ext>
                    </a:extLst>
                  </wp:docPr>
                  <wp:cNvGraphicFramePr/>
                  <a:graphic xmlns:a="http://schemas.openxmlformats.org/drawingml/2006/main">
                    <a:graphicData uri="http://schemas.openxmlformats.org/drawingml/2006/picture">
                      <pic:pic xmlns:pic="http://schemas.openxmlformats.org/drawingml/2006/picture">
                        <pic:nvPicPr>
                          <pic:cNvPr id="1741831665" name="Picture 48" descr="P1450C73T25#y1">
                            <a:extLst>
                              <a:ext uri="{FF2B5EF4-FFF2-40B4-BE49-F238E27FC236}">
                                <a16:creationId xmlns:a16="http://schemas.microsoft.com/office/drawing/2014/main" id="{23A0AE16-F486-45B6-A8B2-DA96BF23FE67}"/>
                              </a:ext>
                              <a:ext uri="{147F2762-F138-4A5C-976F-8EAC2B608ADB}">
                                <a16:predDERef xmlns:a16="http://schemas.microsoft.com/office/drawing/2014/main" pred="{617EB7FE-78FD-4762-BBCF-13DDDFB042E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730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1665" w:type="dxa"/>
            <w:tcBorders>
              <w:top w:val="nil"/>
              <w:left w:val="nil"/>
              <w:bottom w:val="single" w:sz="4" w:space="0" w:color="9136AF"/>
              <w:right w:val="single" w:sz="4" w:space="0" w:color="9136AF"/>
            </w:tcBorders>
            <w:shd w:val="clear" w:color="auto" w:fill="auto"/>
            <w:noWrap/>
            <w:vAlign w:val="center"/>
            <w:hideMark/>
          </w:tcPr>
          <w:p w14:paraId="19C5CEB2" w14:textId="77777777" w:rsidR="006A14B2" w:rsidRPr="006A14B2" w:rsidRDefault="006A14B2" w:rsidP="006A14B2">
            <w:pPr>
              <w:spacing w:after="0" w:line="240" w:lineRule="auto"/>
              <w:jc w:val="center"/>
              <w:rPr>
                <w:rFonts w:ascii="Arial" w:eastAsia="Times New Roman" w:hAnsi="Arial" w:cs="Arial"/>
                <w:sz w:val="20"/>
                <w:szCs w:val="20"/>
                <w:lang w:eastAsia="en-GB"/>
              </w:rPr>
            </w:pPr>
            <w:r w:rsidRPr="006A14B2">
              <w:rPr>
                <w:rFonts w:ascii="Arial" w:eastAsia="Times New Roman" w:hAnsi="Arial" w:cs="Arial"/>
                <w:sz w:val="20"/>
                <w:szCs w:val="20"/>
                <w:lang w:eastAsia="en-GB"/>
              </w:rPr>
              <w:t>N/A</w:t>
            </w:r>
          </w:p>
        </w:tc>
      </w:tr>
    </w:tbl>
    <w:p w14:paraId="4B498345" w14:textId="77777777" w:rsidR="00B0379D" w:rsidRDefault="00B0379D" w:rsidP="00B0379D">
      <w:pPr>
        <w:spacing w:after="120" w:line="240" w:lineRule="auto"/>
        <w:rPr>
          <w:rFonts w:ascii="Arial" w:hAnsi="Arial" w:cs="Arial"/>
          <w:b/>
          <w:color w:val="9136AF"/>
        </w:rPr>
      </w:pPr>
    </w:p>
    <w:p w14:paraId="5E3DCECC" w14:textId="27E3ED6A" w:rsidR="00B0379D" w:rsidRPr="00D23B44" w:rsidRDefault="00E75E6D" w:rsidP="00B0379D">
      <w:pPr>
        <w:spacing w:after="240" w:line="240" w:lineRule="auto"/>
        <w:jc w:val="both"/>
        <w:rPr>
          <w:rStyle w:val="normaltextrun"/>
          <w:rFonts w:ascii="Arial" w:hAnsi="Arial" w:cs="Arial"/>
          <w:b/>
          <w:color w:val="9136AF"/>
          <w:sz w:val="32"/>
          <w:szCs w:val="32"/>
        </w:rPr>
      </w:pPr>
      <w:r w:rsidRPr="00D23B44">
        <w:rPr>
          <w:rFonts w:ascii="Arial" w:hAnsi="Arial" w:cs="Arial"/>
          <w:b/>
          <w:color w:val="9136AF"/>
          <w:sz w:val="32"/>
          <w:szCs w:val="32"/>
        </w:rPr>
        <w:t>Summary of Performance against outcome and action for improvement</w:t>
      </w:r>
    </w:p>
    <w:p w14:paraId="0433550F" w14:textId="77777777" w:rsidR="00B0379D" w:rsidRPr="00D23B44" w:rsidRDefault="00E75E6D" w:rsidP="00B0379D">
      <w:pPr>
        <w:pStyle w:val="paragraph"/>
        <w:spacing w:before="0" w:beforeAutospacing="0" w:after="120" w:afterAutospacing="0"/>
        <w:textAlignment w:val="baseline"/>
        <w:rPr>
          <w:rStyle w:val="normaltextrun"/>
          <w:rFonts w:ascii="Arial" w:hAnsi="Arial" w:cs="Arial"/>
          <w:b/>
          <w:color w:val="9136AF"/>
          <w:sz w:val="32"/>
          <w:szCs w:val="32"/>
        </w:rPr>
      </w:pPr>
      <w:r w:rsidRPr="00D23B44">
        <w:rPr>
          <w:rStyle w:val="normaltextrun"/>
          <w:rFonts w:ascii="Arial" w:hAnsi="Arial" w:cs="Arial"/>
          <w:b/>
          <w:color w:val="9136AF"/>
          <w:sz w:val="32"/>
          <w:szCs w:val="32"/>
        </w:rPr>
        <w:t>Outcome - Our communities and neighbourhoods are safe, strong, and caring</w:t>
      </w:r>
    </w:p>
    <w:tbl>
      <w:tblPr>
        <w:tblStyle w:val="TableGrid"/>
        <w:tblW w:w="0" w:type="auto"/>
        <w:tblBorders>
          <w:top w:val="single" w:sz="4" w:space="0" w:color="9136AF"/>
          <w:left w:val="single" w:sz="4" w:space="0" w:color="9136AF"/>
          <w:bottom w:val="single" w:sz="4" w:space="0" w:color="9136AF"/>
          <w:right w:val="single" w:sz="4" w:space="0" w:color="9136AF"/>
          <w:insideH w:val="single" w:sz="4" w:space="0" w:color="9136AF"/>
          <w:insideV w:val="single" w:sz="4" w:space="0" w:color="9136AF"/>
        </w:tblBorders>
        <w:tblLook w:val="04A0" w:firstRow="1" w:lastRow="0" w:firstColumn="1" w:lastColumn="0" w:noHBand="0" w:noVBand="1"/>
      </w:tblPr>
      <w:tblGrid>
        <w:gridCol w:w="8359"/>
        <w:gridCol w:w="7029"/>
      </w:tblGrid>
      <w:tr w:rsidR="00970157" w14:paraId="7F00410C" w14:textId="77777777" w:rsidTr="74A7A901">
        <w:tc>
          <w:tcPr>
            <w:tcW w:w="8359" w:type="dxa"/>
            <w:shd w:val="clear" w:color="auto" w:fill="9136AF"/>
          </w:tcPr>
          <w:p w14:paraId="4052D7F9"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9136AF"/>
          </w:tcPr>
          <w:p w14:paraId="453435C9" w14:textId="77777777" w:rsidR="00B0379D" w:rsidRPr="00896DF5" w:rsidRDefault="00B0379D" w:rsidP="00B0379D">
            <w:pPr>
              <w:spacing w:after="120"/>
              <w:jc w:val="both"/>
              <w:rPr>
                <w:rFonts w:ascii="Arial" w:hAnsi="Arial" w:cs="Arial"/>
                <w:b/>
                <w:bCs/>
                <w:color w:val="FFFFFF" w:themeColor="background1"/>
              </w:rPr>
            </w:pPr>
          </w:p>
        </w:tc>
      </w:tr>
      <w:tr w:rsidR="00970157" w14:paraId="0928A684" w14:textId="77777777" w:rsidTr="74A7A901">
        <w:tc>
          <w:tcPr>
            <w:tcW w:w="15388" w:type="dxa"/>
            <w:gridSpan w:val="2"/>
          </w:tcPr>
          <w:p w14:paraId="3EFEDABB" w14:textId="77777777" w:rsidR="00F678B4" w:rsidRPr="000371A0" w:rsidRDefault="00F678B4" w:rsidP="00F678B4">
            <w:pPr>
              <w:pStyle w:val="ListParagraph"/>
              <w:numPr>
                <w:ilvl w:val="0"/>
                <w:numId w:val="7"/>
              </w:numPr>
              <w:spacing w:before="120" w:after="120"/>
              <w:contextualSpacing w:val="0"/>
              <w:rPr>
                <w:rFonts w:ascii="Arial" w:eastAsiaTheme="minorEastAsia" w:hAnsi="Arial" w:cs="Arial"/>
                <w:color w:val="000000" w:themeColor="text1"/>
              </w:rPr>
            </w:pPr>
            <w:r w:rsidRPr="00AD7F6C">
              <w:rPr>
                <w:rFonts w:ascii="Arial" w:eastAsiaTheme="minorEastAsia" w:hAnsi="Arial" w:cs="Arial"/>
                <w:color w:val="000000" w:themeColor="text1"/>
              </w:rPr>
              <w:t xml:space="preserve">Performance against the outcome was strong at Quarter 1 with reductions across all reported crime categories compared to the same period in the previous year. </w:t>
            </w:r>
          </w:p>
          <w:p w14:paraId="521A0DBA" w14:textId="77777777" w:rsidR="00F678B4" w:rsidRDefault="00F678B4" w:rsidP="00F678B4">
            <w:pPr>
              <w:pStyle w:val="ListParagraph"/>
              <w:numPr>
                <w:ilvl w:val="0"/>
                <w:numId w:val="7"/>
              </w:numPr>
              <w:spacing w:before="120" w:after="120"/>
              <w:contextualSpacing w:val="0"/>
              <w:rPr>
                <w:rFonts w:ascii="Arial" w:eastAsiaTheme="minorEastAsia" w:hAnsi="Arial" w:cs="Arial"/>
                <w:color w:val="000000" w:themeColor="text1"/>
              </w:rPr>
            </w:pPr>
            <w:r w:rsidRPr="000371A0">
              <w:rPr>
                <w:rFonts w:ascii="Arial" w:eastAsiaTheme="minorEastAsia" w:hAnsi="Arial" w:cs="Arial"/>
                <w:b/>
                <w:bCs/>
                <w:color w:val="000000" w:themeColor="text1"/>
              </w:rPr>
              <w:t>SC-001</w:t>
            </w:r>
            <w:r w:rsidRPr="000371A0">
              <w:rPr>
                <w:rFonts w:ascii="Arial" w:eastAsiaTheme="minorEastAsia" w:hAnsi="Arial" w:cs="Arial"/>
                <w:color w:val="000000" w:themeColor="text1"/>
              </w:rPr>
              <w:t xml:space="preserve"> - </w:t>
            </w:r>
            <w:r w:rsidRPr="000371A0">
              <w:rPr>
                <w:rFonts w:ascii="Arial" w:hAnsi="Arial" w:cs="Arial"/>
                <w:color w:val="000000" w:themeColor="text1"/>
              </w:rPr>
              <w:t xml:space="preserve">From 1st April 2024 to 30th June 2024 there was a total of 45 reports of serious violence recorded by Merseyside Police in St. Helens, giving a rate of 0.24 per 1000 population. For the same period last year, there was a total of 55 reports of serious violence recorded by Merseyside Police in St. Helens giving a rate of 0.29 per 1000 population for 2022/23 indicating a decrease of 18.2% over the 2 periods. </w:t>
            </w:r>
          </w:p>
          <w:p w14:paraId="4C8D7196" w14:textId="77777777" w:rsidR="00F678B4" w:rsidRPr="000371A0" w:rsidRDefault="00F678B4" w:rsidP="00F678B4">
            <w:pPr>
              <w:pStyle w:val="ListParagraph"/>
              <w:numPr>
                <w:ilvl w:val="0"/>
                <w:numId w:val="7"/>
              </w:numPr>
              <w:spacing w:before="120" w:after="120"/>
              <w:contextualSpacing w:val="0"/>
              <w:rPr>
                <w:rFonts w:ascii="Arial" w:eastAsiaTheme="minorEastAsia" w:hAnsi="Arial" w:cs="Arial"/>
                <w:color w:val="000000" w:themeColor="text1"/>
              </w:rPr>
            </w:pPr>
            <w:r w:rsidRPr="000371A0">
              <w:rPr>
                <w:rFonts w:ascii="Arial" w:eastAsiaTheme="minorEastAsia" w:hAnsi="Arial" w:cs="Arial"/>
                <w:b/>
                <w:bCs/>
                <w:color w:val="000000" w:themeColor="text1"/>
              </w:rPr>
              <w:t>SC-002</w:t>
            </w:r>
            <w:r w:rsidRPr="000371A0">
              <w:rPr>
                <w:rFonts w:ascii="Arial" w:eastAsiaTheme="minorEastAsia" w:hAnsi="Arial" w:cs="Arial"/>
                <w:color w:val="000000" w:themeColor="text1"/>
              </w:rPr>
              <w:t xml:space="preserve"> – Over the course of Quarter 1 2024-25, the rate of repeat victimisation for those domestic violence cases managed via the MARAC</w:t>
            </w:r>
            <w:r w:rsidRPr="000371A0">
              <w:rPr>
                <w:rFonts w:ascii="Arial" w:eastAsia="Arial" w:hAnsi="Arial" w:cs="Arial"/>
                <w:color w:val="000000" w:themeColor="text1"/>
              </w:rPr>
              <w:t xml:space="preserve"> was better than target. A total of 160 cases were discussed at 6 MARAC meetings, with 43 of these being repeat cases, giving a repeat rate of 26.9% for the quarter. </w:t>
            </w:r>
            <w:r w:rsidRPr="000371A0">
              <w:rPr>
                <w:rFonts w:ascii="Arial" w:hAnsi="Arial" w:cs="Arial"/>
                <w:color w:val="000000" w:themeColor="text1"/>
              </w:rPr>
              <w:t>For the same period last year there were 7 meetings where 186 cases were discussed at MARAC with 50 of these being repeat cases, also giving a repeat rate of 26.9% indicating no change year on year for quarter 1. For the current quarter, 60% (96) of referrals were from Merseyside Police, the remaining 40% (64) of referrals were received from other agencies such as IDVA.</w:t>
            </w:r>
          </w:p>
          <w:p w14:paraId="694B593D" w14:textId="77777777" w:rsidR="00F678B4" w:rsidRPr="000371A0" w:rsidRDefault="00F678B4" w:rsidP="00F678B4">
            <w:pPr>
              <w:pStyle w:val="ListParagraph"/>
              <w:numPr>
                <w:ilvl w:val="0"/>
                <w:numId w:val="7"/>
              </w:numPr>
              <w:spacing w:before="120" w:after="120"/>
              <w:contextualSpacing w:val="0"/>
              <w:rPr>
                <w:rFonts w:ascii="Arial" w:eastAsia="Arial" w:hAnsi="Arial" w:cs="Arial"/>
              </w:rPr>
            </w:pPr>
            <w:r w:rsidRPr="00945E7A">
              <w:rPr>
                <w:rFonts w:ascii="Arial" w:eastAsiaTheme="minorEastAsia" w:hAnsi="Arial" w:cs="Arial"/>
                <w:b/>
                <w:bCs/>
                <w:color w:val="000000" w:themeColor="text1"/>
              </w:rPr>
              <w:t>SC-003</w:t>
            </w:r>
            <w:r w:rsidRPr="00945E7A">
              <w:rPr>
                <w:rFonts w:ascii="Arial" w:eastAsiaTheme="minorEastAsia" w:hAnsi="Arial" w:cs="Arial"/>
                <w:color w:val="000000" w:themeColor="text1"/>
              </w:rPr>
              <w:t xml:space="preserve"> - </w:t>
            </w:r>
            <w:r w:rsidRPr="00945E7A">
              <w:rPr>
                <w:rFonts w:ascii="Arial" w:hAnsi="Arial" w:cs="Arial"/>
                <w:color w:val="000000" w:themeColor="text1"/>
              </w:rPr>
              <w:t xml:space="preserve">From 1st April 2024 to 30th June 2024 </w:t>
            </w:r>
            <w:r>
              <w:rPr>
                <w:rFonts w:ascii="Arial" w:hAnsi="Arial" w:cs="Arial"/>
                <w:color w:val="000000" w:themeColor="text1"/>
              </w:rPr>
              <w:t>was</w:t>
            </w:r>
            <w:r w:rsidRPr="00945E7A">
              <w:rPr>
                <w:rFonts w:ascii="Arial" w:hAnsi="Arial" w:cs="Arial"/>
                <w:color w:val="000000" w:themeColor="text1"/>
              </w:rPr>
              <w:t xml:space="preserve"> a total of 790 reports of domestic abuse recorded by Merseyside Police in St. Helens, giving a </w:t>
            </w:r>
            <w:r w:rsidRPr="003D0857">
              <w:rPr>
                <w:rFonts w:ascii="Arial" w:hAnsi="Arial" w:cs="Arial"/>
              </w:rPr>
              <w:t xml:space="preserve">rate of 4.31 per 1000 population. For the same period last year, there was a total of 1,002 reports of domestic abuse recorded by Merseyside Police in St. Helens giving a rate of 5.46 per 1000 and indicating a decrease of 21.2% over the </w:t>
            </w:r>
            <w:r>
              <w:rPr>
                <w:rFonts w:ascii="Arial" w:hAnsi="Arial" w:cs="Arial"/>
              </w:rPr>
              <w:t>2</w:t>
            </w:r>
            <w:r w:rsidRPr="003D0857">
              <w:rPr>
                <w:rFonts w:ascii="Arial" w:hAnsi="Arial" w:cs="Arial"/>
              </w:rPr>
              <w:t xml:space="preserve"> period</w:t>
            </w:r>
            <w:r>
              <w:rPr>
                <w:rFonts w:ascii="Arial" w:hAnsi="Arial" w:cs="Arial"/>
              </w:rPr>
              <w:t>s</w:t>
            </w:r>
            <w:r w:rsidRPr="003D0857">
              <w:rPr>
                <w:rFonts w:ascii="Arial" w:hAnsi="Arial" w:cs="Arial"/>
              </w:rPr>
              <w:t>.</w:t>
            </w:r>
          </w:p>
          <w:p w14:paraId="0AAB5986" w14:textId="77777777" w:rsidR="00F678B4" w:rsidRPr="000371A0" w:rsidRDefault="00F678B4" w:rsidP="00F678B4">
            <w:pPr>
              <w:pStyle w:val="ListParagraph"/>
              <w:numPr>
                <w:ilvl w:val="0"/>
                <w:numId w:val="7"/>
              </w:numPr>
              <w:spacing w:before="120" w:after="120"/>
              <w:contextualSpacing w:val="0"/>
              <w:rPr>
                <w:rFonts w:ascii="Arial" w:eastAsia="Arial" w:hAnsi="Arial" w:cs="Arial"/>
              </w:rPr>
            </w:pPr>
            <w:r w:rsidRPr="003D0857">
              <w:rPr>
                <w:rFonts w:ascii="Arial" w:eastAsiaTheme="minorEastAsia" w:hAnsi="Arial" w:cs="Arial"/>
                <w:b/>
                <w:bCs/>
              </w:rPr>
              <w:t>SC-004</w:t>
            </w:r>
            <w:r w:rsidRPr="003D0857">
              <w:rPr>
                <w:rFonts w:ascii="Arial" w:eastAsiaTheme="minorEastAsia" w:hAnsi="Arial" w:cs="Arial"/>
              </w:rPr>
              <w:t xml:space="preserve"> - </w:t>
            </w:r>
            <w:r w:rsidRPr="003D0857">
              <w:rPr>
                <w:rFonts w:ascii="Arial" w:hAnsi="Arial" w:cs="Arial"/>
              </w:rPr>
              <w:t xml:space="preserve">From 1st April 2024 to 30th June 2024 was a total of 86 reports of hate crime recorded by Merseyside Police in St. Helens, giving a rate of 0.47 per 1000 population. For the same period last year, there was a total of 121 reports of hate crime recorded by Merseyside Police in St. Helens giving a rate of 0.66 per 1000 population and indicating a decrease of 28.9% over the </w:t>
            </w:r>
            <w:r>
              <w:rPr>
                <w:rFonts w:ascii="Arial" w:hAnsi="Arial" w:cs="Arial"/>
              </w:rPr>
              <w:t>2</w:t>
            </w:r>
            <w:r w:rsidRPr="003D0857">
              <w:rPr>
                <w:rFonts w:ascii="Arial" w:hAnsi="Arial" w:cs="Arial"/>
              </w:rPr>
              <w:t xml:space="preserve"> period</w:t>
            </w:r>
            <w:r>
              <w:rPr>
                <w:rFonts w:ascii="Arial" w:hAnsi="Arial" w:cs="Arial"/>
              </w:rPr>
              <w:t>s</w:t>
            </w:r>
            <w:r w:rsidRPr="003D0857">
              <w:rPr>
                <w:rFonts w:ascii="Arial" w:hAnsi="Arial" w:cs="Arial"/>
              </w:rPr>
              <w:t>. During the first quarter of 2024-25, racial hate crime was the most reported hate crime accounting for 44.2% (38) of hate crimes, sexual orientation related hate crime was the second most reported crime accounting for 23.3% (20) of hate crimes, this was followed by transgender related hate crime which accounted for 17.4% (15) of hate crimes. Disability related hate crime accounted for 11.6% (10) and religion related hate crime accounted for 3.5% (3) of hate crimes during this period.</w:t>
            </w:r>
          </w:p>
          <w:p w14:paraId="3B5A101B" w14:textId="5B2F8A21" w:rsidR="003D28BF" w:rsidRPr="001F5756" w:rsidRDefault="00F678B4" w:rsidP="001F5756">
            <w:pPr>
              <w:pStyle w:val="ListParagraph"/>
              <w:numPr>
                <w:ilvl w:val="0"/>
                <w:numId w:val="7"/>
              </w:numPr>
              <w:spacing w:before="120" w:after="120"/>
              <w:contextualSpacing w:val="0"/>
              <w:rPr>
                <w:rFonts w:ascii="Arial" w:eastAsia="Arial" w:hAnsi="Arial" w:cs="Arial"/>
              </w:rPr>
            </w:pPr>
            <w:r w:rsidRPr="000371A0">
              <w:rPr>
                <w:rFonts w:ascii="Arial" w:eastAsiaTheme="minorEastAsia" w:hAnsi="Arial" w:cs="Arial"/>
                <w:b/>
                <w:bCs/>
              </w:rPr>
              <w:t>SC-005</w:t>
            </w:r>
            <w:r w:rsidRPr="000371A0">
              <w:rPr>
                <w:rFonts w:ascii="Arial" w:eastAsiaTheme="minorEastAsia" w:hAnsi="Arial" w:cs="Arial"/>
              </w:rPr>
              <w:t xml:space="preserve"> – Over the course of quarter 1 2024-25</w:t>
            </w:r>
            <w:r w:rsidRPr="000371A0">
              <w:rPr>
                <w:rFonts w:ascii="Arial" w:hAnsi="Arial" w:cs="Arial"/>
              </w:rPr>
              <w:t xml:space="preserve"> there was a total of 248 anti-social behaviour (ASB) complaints reported to the contact centre. There were 63 complaints received in April, 102 in May and 83 in June. There are no outstanding complaints from this period giving a resolve rate of 100%. For the same period last year, there were a total of 270 complaints reported to the contact centre, which consisted of 77 complaints received in April, 89 in May and 104 in June, all of which were also resolved. The figures show that there has been a reduction of 8.1% (22) over the 2 periods.</w:t>
            </w:r>
          </w:p>
        </w:tc>
      </w:tr>
      <w:tr w:rsidR="00970157" w14:paraId="56312C4B" w14:textId="77777777" w:rsidTr="74A7A901">
        <w:tc>
          <w:tcPr>
            <w:tcW w:w="15388" w:type="dxa"/>
            <w:gridSpan w:val="2"/>
            <w:shd w:val="clear" w:color="auto" w:fill="9136AF"/>
          </w:tcPr>
          <w:p w14:paraId="7788CD19" w14:textId="77777777" w:rsidR="00B0379D" w:rsidRPr="006C0A5C" w:rsidRDefault="00E75E6D" w:rsidP="00B0379D">
            <w:pPr>
              <w:spacing w:after="120"/>
              <w:jc w:val="both"/>
              <w:rPr>
                <w:rFonts w:ascii="Arial" w:hAnsi="Arial" w:cs="Arial"/>
              </w:rPr>
            </w:pPr>
            <w:r w:rsidRPr="00896DF5">
              <w:rPr>
                <w:rFonts w:ascii="Arial" w:hAnsi="Arial" w:cs="Arial"/>
                <w:b/>
                <w:bCs/>
                <w:color w:val="FFFFFF" w:themeColor="background1"/>
              </w:rPr>
              <w:t>Action for Improvement</w:t>
            </w:r>
          </w:p>
        </w:tc>
      </w:tr>
      <w:tr w:rsidR="00970157" w14:paraId="27DBA67A" w14:textId="77777777" w:rsidTr="74A7A901">
        <w:tc>
          <w:tcPr>
            <w:tcW w:w="15388" w:type="dxa"/>
            <w:gridSpan w:val="2"/>
          </w:tcPr>
          <w:p w14:paraId="587F548E" w14:textId="09B363F1" w:rsidR="002555A8" w:rsidRPr="001E1882" w:rsidRDefault="10BE3C0D" w:rsidP="3AA5D5F6">
            <w:pPr>
              <w:pStyle w:val="ListBullet"/>
              <w:spacing w:before="120" w:after="120"/>
              <w:ind w:left="714" w:hanging="357"/>
              <w:jc w:val="both"/>
              <w:rPr>
                <w:rFonts w:ascii="Arial" w:eastAsia="Arial" w:hAnsi="Arial" w:cs="Arial"/>
              </w:rPr>
            </w:pPr>
            <w:r w:rsidRPr="400E8122">
              <w:rPr>
                <w:rFonts w:ascii="Arial" w:eastAsia="Arial" w:hAnsi="Arial" w:cs="Arial"/>
              </w:rPr>
              <w:t>All indicators within this outcome remain on track during this quarter - t</w:t>
            </w:r>
            <w:r w:rsidR="001800CA" w:rsidRPr="400E8122">
              <w:rPr>
                <w:rFonts w:ascii="Arial" w:eastAsia="Arial" w:hAnsi="Arial" w:cs="Arial"/>
              </w:rPr>
              <w:t>he</w:t>
            </w:r>
            <w:r w:rsidR="001800CA">
              <w:rPr>
                <w:rFonts w:ascii="Arial" w:eastAsia="Arial" w:hAnsi="Arial" w:cs="Arial"/>
              </w:rPr>
              <w:t xml:space="preserve"> Community Safety team will continue to </w:t>
            </w:r>
            <w:r w:rsidR="00273387">
              <w:rPr>
                <w:rFonts w:ascii="Arial" w:eastAsia="Arial" w:hAnsi="Arial" w:cs="Arial"/>
              </w:rPr>
              <w:t>liaise with partners across the wider Community Safety Partnership ‘Safter St Helens to</w:t>
            </w:r>
            <w:r w:rsidR="00B60DDB">
              <w:rPr>
                <w:rFonts w:ascii="Arial" w:eastAsia="Arial" w:hAnsi="Arial" w:cs="Arial"/>
              </w:rPr>
              <w:t xml:space="preserve"> </w:t>
            </w:r>
            <w:r w:rsidR="00F83C42">
              <w:rPr>
                <w:rFonts w:ascii="Arial" w:eastAsia="Arial" w:hAnsi="Arial" w:cs="Arial"/>
              </w:rPr>
              <w:t xml:space="preserve">effectively </w:t>
            </w:r>
            <w:r w:rsidR="00B85B78">
              <w:rPr>
                <w:rFonts w:ascii="Arial" w:eastAsia="Arial" w:hAnsi="Arial" w:cs="Arial"/>
              </w:rPr>
              <w:t xml:space="preserve">address crime, disorder and </w:t>
            </w:r>
            <w:r w:rsidR="00F83C42">
              <w:rPr>
                <w:rFonts w:ascii="Arial" w:eastAsia="Arial" w:hAnsi="Arial" w:cs="Arial"/>
              </w:rPr>
              <w:t xml:space="preserve">safety across St Helens’ communities. </w:t>
            </w:r>
          </w:p>
        </w:tc>
      </w:tr>
    </w:tbl>
    <w:p w14:paraId="782D00EC" w14:textId="77777777" w:rsidR="004378EE" w:rsidRPr="00B30946" w:rsidRDefault="004378EE" w:rsidP="00B0379D">
      <w:pPr>
        <w:spacing w:after="120" w:line="240" w:lineRule="auto"/>
        <w:jc w:val="both"/>
        <w:rPr>
          <w:rStyle w:val="normaltextrun"/>
          <w:b/>
          <w:color w:val="9136AF"/>
        </w:rPr>
      </w:pPr>
    </w:p>
    <w:p w14:paraId="289D360A" w14:textId="692C6EF5" w:rsidR="00B0379D" w:rsidRPr="00EE6D51" w:rsidRDefault="00E75E6D" w:rsidP="00B0379D">
      <w:pPr>
        <w:spacing w:after="120" w:line="240" w:lineRule="auto"/>
        <w:jc w:val="both"/>
        <w:rPr>
          <w:rStyle w:val="normaltextrun"/>
          <w:rFonts w:ascii="Arial" w:hAnsi="Arial" w:cs="Arial"/>
          <w:b/>
          <w:bCs/>
          <w:color w:val="9136AF"/>
        </w:rPr>
      </w:pPr>
      <w:r w:rsidRPr="00D23B44">
        <w:rPr>
          <w:rStyle w:val="normaltextrun"/>
          <w:rFonts w:ascii="Arial" w:hAnsi="Arial" w:cs="Arial"/>
          <w:b/>
          <w:color w:val="9136AF"/>
          <w:sz w:val="32"/>
          <w:szCs w:val="32"/>
        </w:rPr>
        <w:t>Outcome - Our neighbourhoods provide the right homes for all</w:t>
      </w:r>
    </w:p>
    <w:tbl>
      <w:tblPr>
        <w:tblStyle w:val="TableGrid"/>
        <w:tblW w:w="0" w:type="auto"/>
        <w:tblBorders>
          <w:top w:val="single" w:sz="4" w:space="0" w:color="9136AF"/>
          <w:left w:val="single" w:sz="4" w:space="0" w:color="9136AF"/>
          <w:bottom w:val="single" w:sz="4" w:space="0" w:color="9136AF"/>
          <w:right w:val="single" w:sz="4" w:space="0" w:color="9136AF"/>
          <w:insideH w:val="single" w:sz="4" w:space="0" w:color="9136AF"/>
          <w:insideV w:val="single" w:sz="4" w:space="0" w:color="9136AF"/>
        </w:tblBorders>
        <w:tblLook w:val="04A0" w:firstRow="1" w:lastRow="0" w:firstColumn="1" w:lastColumn="0" w:noHBand="0" w:noVBand="1"/>
      </w:tblPr>
      <w:tblGrid>
        <w:gridCol w:w="8359"/>
        <w:gridCol w:w="7029"/>
      </w:tblGrid>
      <w:tr w:rsidR="00864EBC" w14:paraId="5EEF0641" w14:textId="77777777" w:rsidTr="00864EBC">
        <w:tc>
          <w:tcPr>
            <w:tcW w:w="8359" w:type="dxa"/>
            <w:shd w:val="clear" w:color="auto" w:fill="9136AF"/>
          </w:tcPr>
          <w:p w14:paraId="761731A1" w14:textId="77777777" w:rsidR="00864EBC" w:rsidRPr="00896DF5" w:rsidRDefault="00864EBC" w:rsidP="00B03ECF">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9136AF"/>
          </w:tcPr>
          <w:p w14:paraId="72D7E166" w14:textId="77777777" w:rsidR="00864EBC" w:rsidRPr="00896DF5" w:rsidRDefault="00864EBC" w:rsidP="00B03ECF">
            <w:pPr>
              <w:spacing w:after="120"/>
              <w:jc w:val="both"/>
              <w:rPr>
                <w:rFonts w:ascii="Arial" w:hAnsi="Arial" w:cs="Arial"/>
                <w:b/>
                <w:bCs/>
                <w:color w:val="FFFFFF" w:themeColor="background1"/>
              </w:rPr>
            </w:pPr>
          </w:p>
        </w:tc>
      </w:tr>
      <w:tr w:rsidR="00864EBC" w14:paraId="148ECEFA" w14:textId="77777777" w:rsidTr="00864EBC">
        <w:tc>
          <w:tcPr>
            <w:tcW w:w="15388" w:type="dxa"/>
            <w:gridSpan w:val="2"/>
          </w:tcPr>
          <w:p w14:paraId="193E9C09" w14:textId="77777777" w:rsidR="007B52E4" w:rsidRPr="000371A0" w:rsidRDefault="007B52E4" w:rsidP="007B52E4">
            <w:pPr>
              <w:pStyle w:val="ListParagraph"/>
              <w:numPr>
                <w:ilvl w:val="0"/>
                <w:numId w:val="6"/>
              </w:numPr>
              <w:spacing w:before="120" w:after="120"/>
              <w:contextualSpacing w:val="0"/>
              <w:rPr>
                <w:rFonts w:ascii="Arial" w:eastAsia="Arial" w:hAnsi="Arial" w:cs="Arial"/>
              </w:rPr>
            </w:pPr>
            <w:r>
              <w:rPr>
                <w:rFonts w:ascii="Arial" w:eastAsia="Arial" w:hAnsi="Arial" w:cs="Arial"/>
              </w:rPr>
              <w:t>Performance against the outcome has shown some improvement in relation to net housing and affordable homes completions and some of the 12-month trends, however challenges remain in relation to demand on a number of the housing support and rough sleeping indicators</w:t>
            </w:r>
          </w:p>
          <w:p w14:paraId="11F4CC14" w14:textId="77777777" w:rsidR="007B52E4" w:rsidRPr="00FE2F4B" w:rsidRDefault="007B52E4" w:rsidP="007B52E4">
            <w:pPr>
              <w:pStyle w:val="ListParagraph"/>
              <w:numPr>
                <w:ilvl w:val="0"/>
                <w:numId w:val="6"/>
              </w:numPr>
              <w:spacing w:before="120" w:after="120"/>
              <w:contextualSpacing w:val="0"/>
              <w:rPr>
                <w:rFonts w:ascii="Arial" w:eastAsia="Arial" w:hAnsi="Arial" w:cs="Arial"/>
              </w:rPr>
            </w:pPr>
            <w:r w:rsidRPr="00CB707B">
              <w:rPr>
                <w:rFonts w:ascii="Arial" w:eastAsiaTheme="minorEastAsia" w:hAnsi="Arial" w:cs="Arial"/>
                <w:b/>
                <w:bCs/>
              </w:rPr>
              <w:t>HS-001</w:t>
            </w:r>
            <w:r w:rsidRPr="00CB707B">
              <w:rPr>
                <w:rFonts w:ascii="Arial" w:eastAsiaTheme="minorEastAsia" w:hAnsi="Arial" w:cs="Arial"/>
              </w:rPr>
              <w:t xml:space="preserve"> – Quarter 1 saw a reduction</w:t>
            </w:r>
            <w:r w:rsidRPr="00CB707B">
              <w:rPr>
                <w:rFonts w:ascii="Arial" w:eastAsia="Arial" w:hAnsi="Arial" w:cs="Arial"/>
              </w:rPr>
              <w:t xml:space="preserve"> in the number of households owed the full housing duty where homelessness was not prevented since the same period last year. There was a total of 28 cases for Quarter 1 2024-25, against a target of 33.  In Quarter 1 2023-24 there were 37 cases where homelessness was not prevented. F</w:t>
            </w:r>
            <w:r w:rsidRPr="00CB707B">
              <w:rPr>
                <w:rFonts w:ascii="Arial" w:hAnsi="Arial" w:cs="Arial"/>
              </w:rPr>
              <w:t>rom the 3</w:t>
            </w:r>
            <w:r w:rsidRPr="00CB707B">
              <w:rPr>
                <w:rFonts w:ascii="Arial" w:hAnsi="Arial" w:cs="Arial"/>
                <w:vertAlign w:val="superscript"/>
              </w:rPr>
              <w:t>rd</w:t>
            </w:r>
            <w:r w:rsidRPr="00CB707B">
              <w:rPr>
                <w:rFonts w:ascii="Arial" w:hAnsi="Arial" w:cs="Arial"/>
              </w:rPr>
              <w:t xml:space="preserve"> of April 2018 the homelessness legislation changed and accepting for full housing duty only occurs once homeless prevention and relief periods of up to 112 days have expired. Trying to resolve cases at prevention and relief stage remains the primary focus for the team. The team continue to explore all potential move on options including private rented sector and supported housing where appropriate. More cases have proceeded into main duty this quarter as no suitable properties became available within the relief period, the demand is exceeding the supply </w:t>
            </w:r>
            <w:r w:rsidRPr="3442B2B5">
              <w:rPr>
                <w:rFonts w:ascii="Arial" w:hAnsi="Arial" w:cs="Arial"/>
              </w:rPr>
              <w:t>available and some</w:t>
            </w:r>
            <w:r w:rsidRPr="00CB707B">
              <w:rPr>
                <w:rFonts w:ascii="Arial" w:hAnsi="Arial" w:cs="Arial"/>
              </w:rPr>
              <w:t xml:space="preserve"> clients have specific property needs, such as large or adapted properties or specific areas due to support </w:t>
            </w:r>
            <w:r w:rsidRPr="00333105">
              <w:rPr>
                <w:rFonts w:ascii="Arial" w:hAnsi="Arial" w:cs="Arial"/>
              </w:rPr>
              <w:t>needs . Similarly private rented sector housing has become less accessible due to rising rent levels and more landlords selling properties to take advantage of the increased market prices at the present time. The cumulative figure to date is 28 and the target for this quarter has been achieved.</w:t>
            </w:r>
          </w:p>
          <w:p w14:paraId="7745E7B0" w14:textId="77777777" w:rsidR="007B52E4" w:rsidRPr="00B6156A" w:rsidRDefault="007B52E4" w:rsidP="007B52E4">
            <w:pPr>
              <w:pStyle w:val="ListParagraph"/>
              <w:numPr>
                <w:ilvl w:val="0"/>
                <w:numId w:val="6"/>
              </w:numPr>
              <w:spacing w:before="120" w:after="120"/>
              <w:contextualSpacing w:val="0"/>
              <w:rPr>
                <w:rFonts w:ascii="Arial" w:eastAsia="Arial" w:hAnsi="Arial" w:cs="Arial"/>
              </w:rPr>
            </w:pPr>
            <w:r w:rsidRPr="00B6156A">
              <w:rPr>
                <w:rFonts w:ascii="Arial" w:eastAsiaTheme="minorEastAsia" w:hAnsi="Arial" w:cs="Arial"/>
                <w:b/>
                <w:bCs/>
              </w:rPr>
              <w:t>HS-</w:t>
            </w:r>
            <w:r w:rsidRPr="00B6156A">
              <w:rPr>
                <w:rFonts w:ascii="Arial" w:eastAsia="Arial" w:hAnsi="Arial" w:cs="Arial"/>
                <w:b/>
                <w:bCs/>
              </w:rPr>
              <w:t xml:space="preserve">002A / HS-002B </w:t>
            </w:r>
            <w:r w:rsidRPr="00B6156A">
              <w:rPr>
                <w:rFonts w:ascii="Arial" w:eastAsia="Arial" w:hAnsi="Arial" w:cs="Arial"/>
              </w:rPr>
              <w:t>– Over the course of Quarter 1 2024-2 a total of 100 unique individuals were found rough sleeping across St Helens. Of the 100 individuals, 47 of the total found rough sleeping were classed as new to rough sleeping. New to Rough Sleeping is defined as not found rough sleeping in the previous 5 years. The figures represent a significant increase on the Quarter 1 2023-24 figures which showed 60 unique individuals rough sleeping, 26 of whom were new to rough sleeping.</w:t>
            </w:r>
          </w:p>
          <w:p w14:paraId="4FD655A1" w14:textId="77777777" w:rsidR="007B52E4" w:rsidRPr="00BE7ECD" w:rsidRDefault="007B52E4" w:rsidP="007B52E4">
            <w:pPr>
              <w:pStyle w:val="ListParagraph"/>
              <w:numPr>
                <w:ilvl w:val="0"/>
                <w:numId w:val="6"/>
              </w:numPr>
              <w:spacing w:before="120" w:after="120"/>
              <w:ind w:left="714" w:hanging="357"/>
              <w:contextualSpacing w:val="0"/>
              <w:rPr>
                <w:rFonts w:ascii="Arial" w:eastAsia="Arial" w:hAnsi="Arial" w:cs="Arial"/>
              </w:rPr>
            </w:pPr>
            <w:r w:rsidRPr="428D8EB7">
              <w:rPr>
                <w:rFonts w:ascii="Arial" w:eastAsiaTheme="minorEastAsia" w:hAnsi="Arial" w:cs="Arial"/>
                <w:b/>
              </w:rPr>
              <w:t>HS-003</w:t>
            </w:r>
            <w:r w:rsidRPr="428D8EB7">
              <w:rPr>
                <w:rFonts w:ascii="Arial" w:eastAsiaTheme="minorEastAsia" w:hAnsi="Arial" w:cs="Arial"/>
              </w:rPr>
              <w:t xml:space="preserve"> - </w:t>
            </w:r>
            <w:r w:rsidRPr="428D8EB7">
              <w:rPr>
                <w:rFonts w:ascii="Arial" w:eastAsia="Arial" w:hAnsi="Arial" w:cs="Arial"/>
              </w:rPr>
              <w:t xml:space="preserve">A total of </w:t>
            </w:r>
            <w:r w:rsidRPr="6596D229">
              <w:rPr>
                <w:rFonts w:ascii="Arial" w:eastAsia="Arial" w:hAnsi="Arial" w:cs="Arial"/>
              </w:rPr>
              <w:t>7</w:t>
            </w:r>
            <w:r w:rsidRPr="428D8EB7">
              <w:rPr>
                <w:rFonts w:ascii="Arial" w:eastAsia="Arial" w:hAnsi="Arial" w:cs="Arial"/>
              </w:rPr>
              <w:t xml:space="preserve"> private sector dwellings were returned to occupation or demolished in Quarter 1 </w:t>
            </w:r>
            <w:r w:rsidRPr="6596D229">
              <w:rPr>
                <w:rFonts w:ascii="Arial" w:eastAsia="Arial" w:hAnsi="Arial" w:cs="Arial"/>
              </w:rPr>
              <w:t>2024-</w:t>
            </w:r>
            <w:r w:rsidRPr="36743E27">
              <w:rPr>
                <w:rFonts w:ascii="Arial" w:eastAsia="Arial" w:hAnsi="Arial" w:cs="Arial"/>
              </w:rPr>
              <w:t>25</w:t>
            </w:r>
            <w:r w:rsidRPr="428D8EB7">
              <w:rPr>
                <w:rFonts w:ascii="Arial" w:eastAsia="Arial" w:hAnsi="Arial" w:cs="Arial"/>
              </w:rPr>
              <w:t xml:space="preserve">, therefore meeting target, </w:t>
            </w:r>
            <w:r w:rsidRPr="092464D8">
              <w:rPr>
                <w:rFonts w:ascii="Arial" w:eastAsia="Arial" w:hAnsi="Arial" w:cs="Arial"/>
              </w:rPr>
              <w:t>and an increase</w:t>
            </w:r>
            <w:r w:rsidRPr="428D8EB7">
              <w:rPr>
                <w:rFonts w:ascii="Arial" w:eastAsia="Arial" w:hAnsi="Arial" w:cs="Arial"/>
              </w:rPr>
              <w:t xml:space="preserve"> in performance compared the same period last year. This reflects ongoing activity and liaison by the Empty Homes service to encourage property owners to improve and reoccupy their properties. </w:t>
            </w:r>
            <w:r w:rsidRPr="37306808">
              <w:rPr>
                <w:rFonts w:ascii="Arial" w:eastAsia="Arial" w:hAnsi="Arial" w:cs="Arial"/>
              </w:rPr>
              <w:t xml:space="preserve">It is expected that performance will increase </w:t>
            </w:r>
            <w:r w:rsidRPr="4A6F4EC8">
              <w:rPr>
                <w:rFonts w:ascii="Arial" w:eastAsia="Arial" w:hAnsi="Arial" w:cs="Arial"/>
              </w:rPr>
              <w:t xml:space="preserve">further following the recent return of the </w:t>
            </w:r>
            <w:r w:rsidRPr="7F91FCD7">
              <w:rPr>
                <w:rFonts w:ascii="Arial" w:eastAsia="Arial" w:hAnsi="Arial" w:cs="Arial"/>
              </w:rPr>
              <w:t>Empty Homes Officer from maternity leave.</w:t>
            </w:r>
          </w:p>
          <w:p w14:paraId="6C9FE3B8" w14:textId="77777777" w:rsidR="007B52E4" w:rsidRPr="005B017D" w:rsidRDefault="007B52E4" w:rsidP="007B52E4">
            <w:pPr>
              <w:pStyle w:val="ListParagraph"/>
              <w:numPr>
                <w:ilvl w:val="0"/>
                <w:numId w:val="6"/>
              </w:numPr>
              <w:spacing w:before="120" w:after="120"/>
              <w:ind w:left="714" w:hanging="357"/>
              <w:contextualSpacing w:val="0"/>
              <w:rPr>
                <w:rFonts w:ascii="Arial" w:eastAsiaTheme="minorEastAsia" w:hAnsi="Arial" w:cs="Arial"/>
              </w:rPr>
            </w:pPr>
            <w:r w:rsidRPr="00824EF0">
              <w:rPr>
                <w:rFonts w:ascii="Arial" w:eastAsiaTheme="minorEastAsia" w:hAnsi="Arial" w:cs="Arial"/>
                <w:b/>
                <w:bCs/>
              </w:rPr>
              <w:t>HS-005</w:t>
            </w:r>
            <w:r w:rsidRPr="00824EF0">
              <w:rPr>
                <w:rFonts w:ascii="Arial" w:eastAsiaTheme="minorEastAsia" w:hAnsi="Arial" w:cs="Arial"/>
              </w:rPr>
              <w:t xml:space="preserve"> - </w:t>
            </w:r>
            <w:r w:rsidRPr="00824EF0">
              <w:rPr>
                <w:rFonts w:ascii="Arial" w:eastAsia="Arial" w:hAnsi="Arial" w:cs="Arial"/>
              </w:rPr>
              <w:t xml:space="preserve">The number of families with children in temporary accommodation was 38 over the course of Quarter 1 2024-25, above the target of 29 and above the 31 families with children in temporary accommodation over the same period in the previous year. </w:t>
            </w:r>
            <w:r w:rsidRPr="00824EF0">
              <w:rPr>
                <w:rFonts w:ascii="Arial" w:hAnsi="Arial" w:cs="Arial"/>
              </w:rPr>
              <w:t xml:space="preserve">Some of the cases in temporary accommodation at the end of the quarter have offers of accommodation via local RSLs but there continues to be significant delays with void works and a reduced number of family properties being advertised via Under One Roof. The figure includes families in hotel accommodation due to our family unit being at full capacity for a significant period of time. Families are moved to Pennington Lodge as soon as a unit is available where appropriate to </w:t>
            </w:r>
            <w:r w:rsidRPr="005B017D">
              <w:rPr>
                <w:rFonts w:ascii="Arial" w:hAnsi="Arial" w:cs="Arial"/>
              </w:rPr>
              <w:t xml:space="preserve">do so.  </w:t>
            </w:r>
          </w:p>
          <w:p w14:paraId="4CEFE8B4" w14:textId="77777777" w:rsidR="007B52E4" w:rsidRPr="003C0227" w:rsidRDefault="007B52E4" w:rsidP="007B52E4">
            <w:pPr>
              <w:pStyle w:val="ListParagraph"/>
              <w:numPr>
                <w:ilvl w:val="0"/>
                <w:numId w:val="6"/>
              </w:numPr>
              <w:spacing w:before="120" w:after="120"/>
              <w:ind w:left="714" w:hanging="357"/>
              <w:contextualSpacing w:val="0"/>
              <w:rPr>
                <w:rFonts w:ascii="Arial" w:eastAsiaTheme="minorEastAsia" w:hAnsi="Arial" w:cs="Arial"/>
              </w:rPr>
            </w:pPr>
            <w:r w:rsidRPr="005B017D">
              <w:rPr>
                <w:rFonts w:ascii="Arial" w:eastAsiaTheme="minorEastAsia" w:hAnsi="Arial" w:cs="Arial"/>
                <w:b/>
                <w:bCs/>
              </w:rPr>
              <w:t>HS-006</w:t>
            </w:r>
            <w:r w:rsidRPr="005B017D">
              <w:rPr>
                <w:rFonts w:ascii="Arial" w:eastAsiaTheme="minorEastAsia" w:hAnsi="Arial" w:cs="Arial"/>
              </w:rPr>
              <w:t xml:space="preserve"> - </w:t>
            </w:r>
            <w:r w:rsidRPr="005B017D">
              <w:rPr>
                <w:rFonts w:ascii="Arial" w:hAnsi="Arial" w:cs="Arial"/>
              </w:rPr>
              <w:t xml:space="preserve">There were 16 households who had spent time in temporary accommodation where the relief and/or main duty ended during Quarter 1 2024-25, with an average of 8.8 weeks </w:t>
            </w:r>
            <w:r w:rsidRPr="005B017D">
              <w:rPr>
                <w:rFonts w:ascii="Arial" w:eastAsia="Arial" w:hAnsi="Arial" w:cs="Arial"/>
              </w:rPr>
              <w:t>spent in such accommodation</w:t>
            </w:r>
            <w:r w:rsidRPr="005B017D">
              <w:rPr>
                <w:rFonts w:ascii="Arial" w:hAnsi="Arial" w:cs="Arial"/>
              </w:rPr>
              <w:t xml:space="preserve">. </w:t>
            </w:r>
            <w:r w:rsidRPr="005B017D">
              <w:rPr>
                <w:rFonts w:ascii="Arial" w:eastAsia="Arial" w:hAnsi="Arial" w:cs="Arial"/>
              </w:rPr>
              <w:t xml:space="preserve">This is lower than the average of 13.6 weeks spent in such accommodation in the same period of the previous year and is 20% better than target for the quarter. </w:t>
            </w:r>
            <w:r w:rsidRPr="005B017D">
              <w:rPr>
                <w:rFonts w:ascii="Arial" w:hAnsi="Arial" w:cs="Arial"/>
              </w:rPr>
              <w:t xml:space="preserve">There have been some significant delays with allocations via the RSLs which has impacted on time spent in temporary accommodation. Clients are positively encouraged to move on from temporary accommodation as soon as practicable. This figure only includes clients where there was a statutory duty to accommodate, it does not include those households who </w:t>
            </w:r>
            <w:r w:rsidRPr="003C0227">
              <w:rPr>
                <w:rFonts w:ascii="Arial" w:hAnsi="Arial" w:cs="Arial"/>
              </w:rPr>
              <w:t xml:space="preserve">have been accommodated under discretionary powers. </w:t>
            </w:r>
          </w:p>
          <w:p w14:paraId="2ABF19BC" w14:textId="77777777" w:rsidR="007B52E4" w:rsidRPr="006A3085" w:rsidRDefault="007B52E4" w:rsidP="007B52E4">
            <w:pPr>
              <w:pStyle w:val="ListParagraph"/>
              <w:numPr>
                <w:ilvl w:val="0"/>
                <w:numId w:val="6"/>
              </w:numPr>
              <w:spacing w:before="120" w:after="120"/>
              <w:ind w:left="714" w:hanging="357"/>
              <w:contextualSpacing w:val="0"/>
              <w:rPr>
                <w:rFonts w:ascii="Arial" w:eastAsiaTheme="minorEastAsia" w:hAnsi="Arial" w:cs="Arial"/>
              </w:rPr>
            </w:pPr>
            <w:r w:rsidRPr="003C0227">
              <w:rPr>
                <w:rFonts w:ascii="Arial" w:eastAsiaTheme="minorEastAsia" w:hAnsi="Arial" w:cs="Arial"/>
                <w:b/>
                <w:bCs/>
              </w:rPr>
              <w:t>HS-007</w:t>
            </w:r>
            <w:r w:rsidRPr="003C0227">
              <w:rPr>
                <w:rFonts w:ascii="Arial" w:eastAsiaTheme="minorEastAsia" w:hAnsi="Arial" w:cs="Arial"/>
              </w:rPr>
              <w:t xml:space="preserve"> - There were 231 households assisted to reduce fuel poverty in Quarter 1 2024-25, slightly below the target of 250. </w:t>
            </w:r>
            <w:r w:rsidRPr="003C0227">
              <w:rPr>
                <w:rFonts w:ascii="Arial" w:hAnsi="Arial" w:cs="Arial"/>
              </w:rPr>
              <w:t xml:space="preserve">The Affordable Warmth and Welfare team continue to provide services to support highly vulnerable residents contributing to a reduction in fuel poverty within the borough. The services include; assisting clients to access emergency heating repairs/boiler replacements via Housing financial assistance (accessing Energy Company Funding where possible), Housing emergency fund and other externally funded Schemes. The Affordable Warmth &amp; Welfare team have also been assisting clients with welfare benefit advice to maximise income; and providing general energy efficiency/affordable warmth advice. Up to the end of Quarter1 the welfare staff dealt with 178 enquiries for advice and have secured almost £500,000 worth of annual benefit gains and arrears (this includes closed cases from earlier enquiries) for vulnerable residents. The Affordable Warmth service also provided Emergency Fund </w:t>
            </w:r>
            <w:r w:rsidRPr="006A3085">
              <w:rPr>
                <w:rFonts w:ascii="Arial" w:hAnsi="Arial" w:cs="Arial"/>
              </w:rPr>
              <w:t>interventions to 24 properties where householders were at risk of ill-health or hospitalisation, installed 5 major heating improvements (boiler replacement / central heating), and assisted 16 properties with 17 insulation measures via the Council's scheme.</w:t>
            </w:r>
          </w:p>
          <w:p w14:paraId="004AFAB2" w14:textId="77777777" w:rsidR="007B52E4" w:rsidRPr="00CD0236" w:rsidRDefault="007B52E4" w:rsidP="007B52E4">
            <w:pPr>
              <w:pStyle w:val="ListParagraph"/>
              <w:numPr>
                <w:ilvl w:val="0"/>
                <w:numId w:val="6"/>
              </w:numPr>
              <w:spacing w:before="120" w:after="120"/>
              <w:ind w:left="714" w:hanging="357"/>
              <w:contextualSpacing w:val="0"/>
              <w:rPr>
                <w:rFonts w:asciiTheme="minorEastAsia" w:eastAsiaTheme="minorEastAsia" w:hAnsiTheme="minorEastAsia" w:cstheme="minorEastAsia"/>
              </w:rPr>
            </w:pPr>
            <w:r w:rsidRPr="006A3085">
              <w:rPr>
                <w:rFonts w:ascii="Arial" w:eastAsiaTheme="minorEastAsia" w:hAnsi="Arial" w:cs="Arial"/>
                <w:b/>
                <w:bCs/>
              </w:rPr>
              <w:t>G&amp;P-011</w:t>
            </w:r>
            <w:r w:rsidRPr="006A3085">
              <w:rPr>
                <w:rFonts w:ascii="Arial" w:eastAsiaTheme="minorEastAsia" w:hAnsi="Arial" w:cs="Arial"/>
              </w:rPr>
              <w:t xml:space="preserve"> – Over the course of Quarter 1 2024-54 t</w:t>
            </w:r>
            <w:r w:rsidRPr="006A3085">
              <w:rPr>
                <w:rFonts w:ascii="Arial" w:eastAsia="Arial" w:hAnsi="Arial" w:cs="Arial"/>
              </w:rPr>
              <w:t>he indicator for the net increase of housing stock met target and performance is better than the same period last year. A total of 176 net dwellings were completed in Quarter 1 2024-25</w:t>
            </w:r>
            <w:r>
              <w:rPr>
                <w:rFonts w:ascii="Arial" w:eastAsia="Arial" w:hAnsi="Arial" w:cs="Arial"/>
              </w:rPr>
              <w:t xml:space="preserve">, </w:t>
            </w:r>
            <w:r w:rsidRPr="00CD0236">
              <w:rPr>
                <w:rFonts w:ascii="Arial" w:eastAsia="Arial" w:hAnsi="Arial" w:cs="Arial"/>
              </w:rPr>
              <w:t xml:space="preserve">compared to 64 during the same period in the previous year.  A further 339 units are currently under construction across the borough. </w:t>
            </w:r>
            <w:r w:rsidRPr="00CD0236">
              <w:t xml:space="preserve"> </w:t>
            </w:r>
          </w:p>
          <w:p w14:paraId="46F08799" w14:textId="21A416AE" w:rsidR="00864EBC" w:rsidRPr="007B52E4" w:rsidRDefault="007B52E4" w:rsidP="007B52E4">
            <w:pPr>
              <w:pStyle w:val="ListParagraph"/>
              <w:numPr>
                <w:ilvl w:val="0"/>
                <w:numId w:val="6"/>
              </w:numPr>
              <w:spacing w:before="120" w:after="120"/>
              <w:contextualSpacing w:val="0"/>
              <w:rPr>
                <w:rFonts w:ascii="Arial" w:eastAsiaTheme="minorEastAsia" w:hAnsi="Arial" w:cs="Arial"/>
              </w:rPr>
            </w:pPr>
            <w:r w:rsidRPr="00CD0236">
              <w:rPr>
                <w:rFonts w:ascii="Arial" w:eastAsiaTheme="minorEastAsia" w:hAnsi="Arial" w:cs="Arial"/>
                <w:b/>
                <w:bCs/>
              </w:rPr>
              <w:t>G&amp;P-012</w:t>
            </w:r>
            <w:r w:rsidRPr="00CD0236">
              <w:rPr>
                <w:rFonts w:ascii="Arial" w:eastAsiaTheme="minorEastAsia" w:hAnsi="Arial" w:cs="Arial"/>
              </w:rPr>
              <w:t xml:space="preserve"> - There were 62 gross affordable dwelling completions during the first quarter of 2024-25. This equates to 35% of the gross number of completions which was 177. In the same period last year 32% of gross completions were affordable dwellings, which shows an increasing trend. </w:t>
            </w:r>
          </w:p>
        </w:tc>
      </w:tr>
      <w:tr w:rsidR="00864EBC" w14:paraId="353E78B4" w14:textId="77777777" w:rsidTr="00864EBC">
        <w:tc>
          <w:tcPr>
            <w:tcW w:w="15388" w:type="dxa"/>
            <w:gridSpan w:val="2"/>
            <w:shd w:val="clear" w:color="auto" w:fill="9136AF"/>
          </w:tcPr>
          <w:p w14:paraId="45A710DB" w14:textId="77777777" w:rsidR="00864EBC" w:rsidRPr="00D035EE" w:rsidRDefault="00864EBC" w:rsidP="00B03ECF">
            <w:pPr>
              <w:spacing w:after="120"/>
              <w:jc w:val="both"/>
              <w:rPr>
                <w:rFonts w:ascii="Arial" w:hAnsi="Arial" w:cs="Arial"/>
              </w:rPr>
            </w:pPr>
            <w:r w:rsidRPr="00896DF5">
              <w:rPr>
                <w:rFonts w:ascii="Arial" w:hAnsi="Arial" w:cs="Arial"/>
                <w:b/>
                <w:bCs/>
                <w:color w:val="FFFFFF" w:themeColor="background1"/>
              </w:rPr>
              <w:t>Action for Improvement</w:t>
            </w:r>
          </w:p>
        </w:tc>
      </w:tr>
      <w:tr w:rsidR="00864EBC" w14:paraId="7AF63548" w14:textId="77777777" w:rsidTr="7E37D189">
        <w:trPr>
          <w:trHeight w:val="300"/>
        </w:trPr>
        <w:tc>
          <w:tcPr>
            <w:tcW w:w="15388" w:type="dxa"/>
            <w:gridSpan w:val="2"/>
          </w:tcPr>
          <w:p w14:paraId="7F234FDC" w14:textId="367075C7" w:rsidR="00095200" w:rsidRPr="007B52E4" w:rsidRDefault="00A02651" w:rsidP="007B52E4">
            <w:pPr>
              <w:pStyle w:val="ListParagraph"/>
              <w:numPr>
                <w:ilvl w:val="0"/>
                <w:numId w:val="1"/>
              </w:numPr>
              <w:spacing w:before="80" w:after="120"/>
              <w:ind w:left="714" w:hanging="357"/>
              <w:rPr>
                <w:rFonts w:ascii="Arial" w:eastAsiaTheme="minorEastAsia" w:hAnsi="Arial" w:cs="Arial"/>
              </w:rPr>
            </w:pPr>
            <w:r w:rsidRPr="00B6156A">
              <w:rPr>
                <w:rFonts w:ascii="Arial" w:eastAsiaTheme="minorEastAsia" w:hAnsi="Arial" w:cs="Arial"/>
                <w:b/>
                <w:bCs/>
              </w:rPr>
              <w:t>HS-</w:t>
            </w:r>
            <w:r w:rsidRPr="00B6156A">
              <w:rPr>
                <w:rFonts w:ascii="Arial" w:eastAsia="Arial" w:hAnsi="Arial" w:cs="Arial"/>
                <w:b/>
                <w:bCs/>
              </w:rPr>
              <w:t xml:space="preserve">002A / HS-002B </w:t>
            </w:r>
            <w:r>
              <w:rPr>
                <w:rFonts w:ascii="Arial" w:eastAsia="Arial" w:hAnsi="Arial" w:cs="Arial"/>
                <w:b/>
                <w:bCs/>
              </w:rPr>
              <w:t xml:space="preserve">- </w:t>
            </w:r>
            <w:r w:rsidR="40FD9E96" w:rsidRPr="007B52E4">
              <w:rPr>
                <w:rFonts w:ascii="Arial" w:eastAsiaTheme="minorEastAsia" w:hAnsi="Arial" w:cs="Arial"/>
              </w:rPr>
              <w:t xml:space="preserve">The indicators relating to rough sleeping continue to reflect the wider growth in homelessness and rough sleeping nationally. Whilst the focus has been on the immediate response to rough sleeping, in partnership with the wider support agencies, it is recognised that a </w:t>
            </w:r>
            <w:r w:rsidR="75DF7B1B" w:rsidRPr="007B52E4">
              <w:rPr>
                <w:rFonts w:ascii="Arial" w:eastAsiaTheme="minorEastAsia" w:hAnsi="Arial" w:cs="Arial"/>
              </w:rPr>
              <w:t>detailed analysis of each indicator is required and therefore, there will be a review using support from Audit alongside a ‘deep dive’ exercise</w:t>
            </w:r>
            <w:r w:rsidR="0DE9723D" w:rsidRPr="007B52E4">
              <w:rPr>
                <w:rFonts w:ascii="Arial" w:eastAsiaTheme="minorEastAsia" w:hAnsi="Arial" w:cs="Arial"/>
              </w:rPr>
              <w:t xml:space="preserve">. This will include reviewing the almost 50% of people in Quarter 1 recorded as new to rough sleeping to understand the wider systems issues, factors leading to homelessness and to inform the </w:t>
            </w:r>
            <w:r w:rsidR="19178A76" w:rsidRPr="007B52E4">
              <w:rPr>
                <w:rFonts w:ascii="Arial" w:eastAsiaTheme="minorEastAsia" w:hAnsi="Arial" w:cs="Arial"/>
              </w:rPr>
              <w:t xml:space="preserve">actions that can be influenced by local interventions. </w:t>
            </w:r>
          </w:p>
          <w:p w14:paraId="3842EFCC" w14:textId="37E32BC4" w:rsidR="00FA21E3" w:rsidRPr="007B52E4" w:rsidRDefault="00F64D31" w:rsidP="403899F6">
            <w:pPr>
              <w:pStyle w:val="ListParagraph"/>
              <w:numPr>
                <w:ilvl w:val="0"/>
                <w:numId w:val="1"/>
              </w:numPr>
              <w:spacing w:before="80" w:after="120"/>
              <w:ind w:left="714" w:hanging="357"/>
              <w:rPr>
                <w:rFonts w:ascii="Arial" w:eastAsiaTheme="minorEastAsia" w:hAnsi="Arial" w:cs="Arial"/>
              </w:rPr>
            </w:pPr>
            <w:r w:rsidRPr="00824EF0">
              <w:rPr>
                <w:rFonts w:ascii="Arial" w:eastAsiaTheme="minorEastAsia" w:hAnsi="Arial" w:cs="Arial"/>
                <w:b/>
                <w:bCs/>
              </w:rPr>
              <w:t>HS-005</w:t>
            </w:r>
            <w:r w:rsidRPr="00824EF0">
              <w:rPr>
                <w:rFonts w:ascii="Arial" w:eastAsiaTheme="minorEastAsia" w:hAnsi="Arial" w:cs="Arial"/>
              </w:rPr>
              <w:t xml:space="preserve"> </w:t>
            </w:r>
            <w:r>
              <w:rPr>
                <w:rFonts w:ascii="Arial" w:eastAsiaTheme="minorEastAsia" w:hAnsi="Arial" w:cs="Arial"/>
              </w:rPr>
              <w:t>–</w:t>
            </w:r>
            <w:r w:rsidR="7458A998" w:rsidRPr="007B52E4">
              <w:rPr>
                <w:rFonts w:ascii="Arial" w:eastAsiaTheme="minorEastAsia" w:hAnsi="Arial" w:cs="Arial"/>
              </w:rPr>
              <w:t xml:space="preserve"> </w:t>
            </w:r>
            <w:r>
              <w:rPr>
                <w:rFonts w:ascii="Arial" w:eastAsiaTheme="minorEastAsia" w:hAnsi="Arial" w:cs="Arial"/>
              </w:rPr>
              <w:t xml:space="preserve">Monitoring </w:t>
            </w:r>
            <w:r w:rsidR="7458A998" w:rsidRPr="007B52E4">
              <w:rPr>
                <w:rFonts w:ascii="Arial" w:eastAsiaTheme="minorEastAsia" w:hAnsi="Arial" w:cs="Arial"/>
              </w:rPr>
              <w:t xml:space="preserve">the number of families living in temporary </w:t>
            </w:r>
            <w:r w:rsidR="2878899B" w:rsidRPr="007B52E4">
              <w:rPr>
                <w:rFonts w:ascii="Arial" w:eastAsiaTheme="minorEastAsia" w:hAnsi="Arial" w:cs="Arial"/>
              </w:rPr>
              <w:t>accommodation</w:t>
            </w:r>
            <w:r w:rsidR="7458A998" w:rsidRPr="007B52E4">
              <w:rPr>
                <w:rFonts w:ascii="Arial" w:eastAsiaTheme="minorEastAsia" w:hAnsi="Arial" w:cs="Arial"/>
              </w:rPr>
              <w:t xml:space="preserve">, is again demonstrating performance above the target levels. The service continues to work to </w:t>
            </w:r>
            <w:r w:rsidR="0C1053F4" w:rsidRPr="007B52E4">
              <w:rPr>
                <w:rFonts w:ascii="Arial" w:eastAsiaTheme="minorEastAsia" w:hAnsi="Arial" w:cs="Arial"/>
              </w:rPr>
              <w:t>prevent and</w:t>
            </w:r>
            <w:r w:rsidR="7458A998" w:rsidRPr="007B52E4">
              <w:rPr>
                <w:rFonts w:ascii="Arial" w:eastAsiaTheme="minorEastAsia" w:hAnsi="Arial" w:cs="Arial"/>
              </w:rPr>
              <w:t xml:space="preserve"> minimise the use of temporary accommodation, h</w:t>
            </w:r>
            <w:r w:rsidR="4525043F" w:rsidRPr="007B52E4">
              <w:rPr>
                <w:rFonts w:ascii="Arial" w:eastAsiaTheme="minorEastAsia" w:hAnsi="Arial" w:cs="Arial"/>
              </w:rPr>
              <w:t xml:space="preserve">owever due to the scale of demand at present, this is required for applicants, including households with children. Regular reviews are undertaken of this use </w:t>
            </w:r>
            <w:r w:rsidR="0DAD8A4C" w:rsidRPr="007B52E4">
              <w:rPr>
                <w:rFonts w:ascii="Arial" w:eastAsiaTheme="minorEastAsia" w:hAnsi="Arial" w:cs="Arial"/>
              </w:rPr>
              <w:t>by Managers</w:t>
            </w:r>
            <w:r w:rsidR="4525043F" w:rsidRPr="007B52E4">
              <w:rPr>
                <w:rFonts w:ascii="Arial" w:eastAsiaTheme="minorEastAsia" w:hAnsi="Arial" w:cs="Arial"/>
              </w:rPr>
              <w:t xml:space="preserve"> and all methods of minimising the use o</w:t>
            </w:r>
            <w:r w:rsidR="1D7C2F54" w:rsidRPr="007B52E4">
              <w:rPr>
                <w:rFonts w:ascii="Arial" w:eastAsiaTheme="minorEastAsia" w:hAnsi="Arial" w:cs="Arial"/>
              </w:rPr>
              <w:t xml:space="preserve">f temporary accommodation are being made, including prioritising lettings, and working with Registered </w:t>
            </w:r>
            <w:r w:rsidR="72B44A84" w:rsidRPr="403899F6">
              <w:rPr>
                <w:rFonts w:ascii="Arial" w:eastAsiaTheme="minorEastAsia" w:hAnsi="Arial" w:cs="Arial"/>
              </w:rPr>
              <w:t>Social Housing</w:t>
            </w:r>
            <w:r w:rsidR="1D7C2F54" w:rsidRPr="403899F6">
              <w:rPr>
                <w:rFonts w:ascii="Arial" w:eastAsiaTheme="minorEastAsia" w:hAnsi="Arial" w:cs="Arial"/>
              </w:rPr>
              <w:t xml:space="preserve"> </w:t>
            </w:r>
            <w:r w:rsidR="1D7C2F54" w:rsidRPr="007B52E4">
              <w:rPr>
                <w:rFonts w:ascii="Arial" w:eastAsiaTheme="minorEastAsia" w:hAnsi="Arial" w:cs="Arial"/>
              </w:rPr>
              <w:t>Providers to minimise the time taken to</w:t>
            </w:r>
            <w:r w:rsidR="1D0A051C" w:rsidRPr="007B52E4">
              <w:rPr>
                <w:rFonts w:ascii="Arial" w:eastAsiaTheme="minorEastAsia" w:hAnsi="Arial" w:cs="Arial"/>
              </w:rPr>
              <w:t xml:space="preserve"> </w:t>
            </w:r>
            <w:r w:rsidR="1D7C2F54" w:rsidRPr="007B52E4">
              <w:rPr>
                <w:rFonts w:ascii="Arial" w:eastAsiaTheme="minorEastAsia" w:hAnsi="Arial" w:cs="Arial"/>
              </w:rPr>
              <w:t xml:space="preserve">move into permanent accommodation. </w:t>
            </w:r>
          </w:p>
        </w:tc>
      </w:tr>
    </w:tbl>
    <w:p w14:paraId="24D63B09" w14:textId="77777777" w:rsidR="00B0379D" w:rsidRDefault="00B0379D" w:rsidP="00B0379D">
      <w:pPr>
        <w:spacing w:after="120" w:line="240" w:lineRule="auto"/>
        <w:jc w:val="both"/>
        <w:rPr>
          <w:rFonts w:ascii="Arial" w:hAnsi="Arial" w:cs="Arial"/>
        </w:rPr>
      </w:pPr>
    </w:p>
    <w:p w14:paraId="49A38410" w14:textId="77777777" w:rsidR="00B0379D" w:rsidRPr="00DE7343" w:rsidRDefault="00E75E6D" w:rsidP="00B0379D">
      <w:pPr>
        <w:spacing w:after="120" w:line="240" w:lineRule="auto"/>
        <w:jc w:val="both"/>
        <w:rPr>
          <w:rFonts w:ascii="Arial" w:hAnsi="Arial" w:cs="Arial"/>
          <w:sz w:val="24"/>
          <w:szCs w:val="24"/>
        </w:rPr>
      </w:pPr>
      <w:r>
        <w:rPr>
          <w:rFonts w:ascii="Arial" w:hAnsi="Arial" w:cs="Arial"/>
        </w:rPr>
        <w:t>For more information about individual performance indicators that support the achievement of these outcomes please see the scorecard.</w:t>
      </w:r>
    </w:p>
    <w:p w14:paraId="210E31B5" w14:textId="77777777" w:rsidR="00B0379D" w:rsidRPr="00606433" w:rsidRDefault="00B0379D" w:rsidP="00B0379D">
      <w:pPr>
        <w:rPr>
          <w:rFonts w:ascii="Arial" w:eastAsia="Times New Roman" w:hAnsi="Arial" w:cs="Arial"/>
          <w:lang w:eastAsia="en-GB"/>
        </w:rPr>
        <w:sectPr w:rsidR="00B0379D" w:rsidRPr="00606433" w:rsidSect="00EC2ED3">
          <w:pgSz w:w="16838" w:h="11906" w:orient="landscape"/>
          <w:pgMar w:top="720" w:right="720" w:bottom="720" w:left="720" w:header="708" w:footer="708" w:gutter="0"/>
          <w:cols w:space="708"/>
          <w:docGrid w:linePitch="360"/>
        </w:sectPr>
      </w:pPr>
    </w:p>
    <w:p w14:paraId="3895A2B4" w14:textId="77777777" w:rsidR="00B0379D" w:rsidRDefault="00B0379D" w:rsidP="00B0379D">
      <w:pPr>
        <w:pStyle w:val="paragraph"/>
        <w:spacing w:before="0" w:beforeAutospacing="0" w:after="0" w:afterAutospacing="0"/>
        <w:textAlignment w:val="baseline"/>
        <w:rPr>
          <w:rStyle w:val="eop"/>
          <w:rFonts w:ascii="Arial" w:hAnsi="Arial" w:cs="Arial"/>
          <w:color w:val="8B3C45"/>
          <w:sz w:val="22"/>
          <w:szCs w:val="22"/>
        </w:rPr>
      </w:pPr>
    </w:p>
    <w:p w14:paraId="5F8FA4D6" w14:textId="77777777" w:rsidR="00B0379D" w:rsidRPr="005B7130" w:rsidRDefault="00E75E6D" w:rsidP="00B0379D">
      <w:pPr>
        <w:pStyle w:val="Heading2"/>
        <w:rPr>
          <w:b/>
          <w:color w:val="8B3C45"/>
          <w:sz w:val="32"/>
          <w:szCs w:val="32"/>
        </w:rPr>
      </w:pPr>
      <w:bookmarkStart w:id="19" w:name="_Toc174698101"/>
      <w:r w:rsidRPr="005B7130">
        <w:rPr>
          <w:rStyle w:val="normaltextrun"/>
          <w:b/>
          <w:color w:val="8B3C45"/>
          <w:sz w:val="32"/>
          <w:szCs w:val="32"/>
        </w:rPr>
        <w:t>Priority 4 - Support a strong, thriving, inclusive, and well-connected local economy</w:t>
      </w:r>
      <w:bookmarkEnd w:id="19"/>
    </w:p>
    <w:p w14:paraId="24B39098" w14:textId="77777777" w:rsidR="00B0379D" w:rsidRPr="005B7130" w:rsidRDefault="00E75E6D" w:rsidP="00B0379D">
      <w:pPr>
        <w:pStyle w:val="paragraph"/>
        <w:spacing w:before="0" w:beforeAutospacing="0" w:after="0" w:afterAutospacing="0"/>
        <w:textAlignment w:val="baseline"/>
        <w:rPr>
          <w:rFonts w:ascii="Arial" w:hAnsi="Arial" w:cs="Arial"/>
          <w:color w:val="8B3C45"/>
          <w:sz w:val="32"/>
          <w:szCs w:val="32"/>
        </w:rPr>
      </w:pPr>
      <w:r w:rsidRPr="005B7130">
        <w:rPr>
          <w:rStyle w:val="eop"/>
          <w:rFonts w:ascii="Calibri" w:hAnsi="Calibri" w:cs="Calibri"/>
          <w:color w:val="8B3C45"/>
          <w:sz w:val="32"/>
          <w:szCs w:val="32"/>
        </w:rPr>
        <w:t> </w:t>
      </w:r>
    </w:p>
    <w:p w14:paraId="17BECB72" w14:textId="77777777" w:rsidR="00B0379D" w:rsidRPr="005B7130" w:rsidRDefault="00E75E6D" w:rsidP="00B0379D">
      <w:pPr>
        <w:pStyle w:val="paragraph"/>
        <w:spacing w:before="0" w:beforeAutospacing="0" w:after="0" w:afterAutospacing="0"/>
        <w:textAlignment w:val="baseline"/>
        <w:rPr>
          <w:rStyle w:val="eop"/>
          <w:rFonts w:ascii="Arial" w:hAnsi="Arial" w:cs="Arial"/>
          <w:color w:val="8B3C45"/>
        </w:rPr>
      </w:pPr>
      <w:r w:rsidRPr="005B7130">
        <w:rPr>
          <w:rStyle w:val="normaltextrun"/>
          <w:rFonts w:ascii="Arial" w:hAnsi="Arial" w:cs="Arial"/>
          <w:b/>
          <w:color w:val="8B3C45"/>
        </w:rPr>
        <w:t>Outcomes</w:t>
      </w:r>
    </w:p>
    <w:p w14:paraId="0D8F9F0C" w14:textId="77777777" w:rsidR="00B0379D" w:rsidRPr="007F7DFC" w:rsidRDefault="00E75E6D" w:rsidP="00B0379D">
      <w:pPr>
        <w:pStyle w:val="paragraph"/>
        <w:spacing w:before="0" w:beforeAutospacing="0" w:after="0" w:afterAutospacing="0"/>
        <w:textAlignment w:val="baseline"/>
        <w:rPr>
          <w:rFonts w:ascii="Arial" w:hAnsi="Arial" w:cs="Arial"/>
          <w:color w:val="2F5496"/>
          <w:sz w:val="22"/>
          <w:szCs w:val="22"/>
        </w:rPr>
      </w:pPr>
      <w:r>
        <w:rPr>
          <w:noProof/>
        </w:rPr>
        <w:drawing>
          <wp:anchor distT="0" distB="0" distL="114300" distR="114300" simplePos="0" relativeHeight="251658249" behindDoc="0" locked="0" layoutInCell="1" allowOverlap="1" wp14:anchorId="27F8A7D2" wp14:editId="094AF411">
            <wp:simplePos x="0" y="0"/>
            <wp:positionH relativeFrom="column">
              <wp:posOffset>5140159</wp:posOffset>
            </wp:positionH>
            <wp:positionV relativeFrom="paragraph">
              <wp:posOffset>9249</wp:posOffset>
            </wp:positionV>
            <wp:extent cx="1073150" cy="1073150"/>
            <wp:effectExtent l="0" t="0" r="0" b="0"/>
            <wp:wrapSquare wrapText="bothSides"/>
            <wp:docPr id="30" name="Picture 67" descr="P149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496#y1"/>
                    <pic:cNvPicPr/>
                  </pic:nvPicPr>
                  <pic:blipFill>
                    <a:blip r:embed="rId3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margin">
              <wp14:pctWidth>0</wp14:pctWidth>
            </wp14:sizeRelH>
            <wp14:sizeRelV relativeFrom="margin">
              <wp14:pctHeight>0</wp14:pctHeight>
            </wp14:sizeRelV>
          </wp:anchor>
        </w:drawing>
      </w:r>
    </w:p>
    <w:p w14:paraId="59D53F89" w14:textId="77777777" w:rsidR="00B0379D" w:rsidRDefault="00E75E6D" w:rsidP="00726825">
      <w:pPr>
        <w:pStyle w:val="paragraph"/>
        <w:numPr>
          <w:ilvl w:val="0"/>
          <w:numId w:val="22"/>
        </w:numPr>
        <w:spacing w:before="0" w:beforeAutospacing="0" w:after="120" w:afterAutospacing="0"/>
        <w:rPr>
          <w:rFonts w:ascii="Arial" w:eastAsia="Arial" w:hAnsi="Arial" w:cs="Arial"/>
          <w:color w:val="000000" w:themeColor="text1"/>
          <w:sz w:val="22"/>
          <w:szCs w:val="22"/>
        </w:rPr>
      </w:pPr>
      <w:r w:rsidRPr="4276CE28">
        <w:rPr>
          <w:rStyle w:val="eop"/>
          <w:rFonts w:ascii="Arial" w:eastAsia="Arial" w:hAnsi="Arial" w:cs="Arial"/>
          <w:color w:val="000000" w:themeColor="text1"/>
          <w:sz w:val="22"/>
          <w:szCs w:val="22"/>
        </w:rPr>
        <w:t>Our local economy recovers and grows and people’s skills and access to jobs improves</w:t>
      </w:r>
    </w:p>
    <w:p w14:paraId="64F3631A" w14:textId="77777777" w:rsidR="00B0379D" w:rsidRPr="00275383" w:rsidRDefault="00E75E6D" w:rsidP="00726825">
      <w:pPr>
        <w:pStyle w:val="paragraph"/>
        <w:numPr>
          <w:ilvl w:val="0"/>
          <w:numId w:val="22"/>
        </w:numPr>
        <w:spacing w:before="0" w:beforeAutospacing="0" w:after="240" w:afterAutospacing="0"/>
        <w:rPr>
          <w:rStyle w:val="eop"/>
          <w:rFonts w:ascii="Arial" w:eastAsia="Arial" w:hAnsi="Arial" w:cs="Arial"/>
          <w:color w:val="000000" w:themeColor="text1"/>
          <w:sz w:val="22"/>
          <w:szCs w:val="22"/>
        </w:rPr>
      </w:pPr>
      <w:r w:rsidRPr="4276CE28">
        <w:rPr>
          <w:rStyle w:val="eop"/>
          <w:rFonts w:ascii="Arial" w:eastAsia="Arial" w:hAnsi="Arial" w:cs="Arial"/>
          <w:sz w:val="22"/>
          <w:szCs w:val="22"/>
        </w:rPr>
        <w:t>Our town and neighbourhood centres are vibrant places for all to use, value and enjoy</w:t>
      </w:r>
    </w:p>
    <w:p w14:paraId="682DD1B5" w14:textId="77777777" w:rsidR="00B0379D" w:rsidRPr="00275383" w:rsidRDefault="00E75E6D" w:rsidP="00726825">
      <w:pPr>
        <w:pStyle w:val="paragraph"/>
        <w:numPr>
          <w:ilvl w:val="0"/>
          <w:numId w:val="22"/>
        </w:numPr>
        <w:spacing w:before="0" w:beforeAutospacing="0" w:after="120" w:afterAutospacing="0"/>
        <w:rPr>
          <w:rFonts w:ascii="Arial" w:eastAsia="Arial" w:hAnsi="Arial" w:cs="Arial"/>
          <w:color w:val="000000" w:themeColor="text1"/>
          <w:sz w:val="22"/>
          <w:szCs w:val="22"/>
        </w:rPr>
      </w:pPr>
      <w:r w:rsidRPr="4276CE28">
        <w:rPr>
          <w:rFonts w:ascii="Arial" w:hAnsi="Arial" w:cs="Arial"/>
          <w:sz w:val="22"/>
          <w:szCs w:val="22"/>
        </w:rPr>
        <w:t>Our places are well-connected with accessible transport and digital networks</w:t>
      </w:r>
    </w:p>
    <w:p w14:paraId="40D2F0DC" w14:textId="77777777" w:rsidR="00B0379D" w:rsidRPr="005F1AD5" w:rsidRDefault="00E75E6D" w:rsidP="00B0379D">
      <w:pPr>
        <w:pStyle w:val="ListBullet"/>
        <w:numPr>
          <w:ilvl w:val="0"/>
          <w:numId w:val="0"/>
        </w:numPr>
        <w:spacing w:after="240" w:line="240" w:lineRule="auto"/>
        <w:contextualSpacing w:val="0"/>
        <w:rPr>
          <w:rStyle w:val="normaltextrun"/>
          <w:rFonts w:ascii="Arial" w:hAnsi="Arial" w:cs="Arial"/>
          <w:b/>
          <w:bCs/>
          <w:color w:val="8B3C45"/>
          <w:sz w:val="24"/>
          <w:szCs w:val="24"/>
        </w:rPr>
      </w:pPr>
      <w:r w:rsidRPr="005F1AD5">
        <w:rPr>
          <w:rStyle w:val="normaltextrun"/>
          <w:rFonts w:ascii="Arial" w:hAnsi="Arial" w:cs="Arial"/>
          <w:b/>
          <w:bCs/>
          <w:color w:val="8B3C45"/>
          <w:sz w:val="24"/>
          <w:szCs w:val="24"/>
        </w:rPr>
        <w:t>Overview of priority performance</w:t>
      </w:r>
    </w:p>
    <w:p w14:paraId="776EF52B" w14:textId="4C19ADBD" w:rsidR="00B0379D" w:rsidRPr="00451AB5" w:rsidRDefault="00E75E6D" w:rsidP="00B0379D">
      <w:pPr>
        <w:spacing w:after="240" w:line="240" w:lineRule="auto"/>
        <w:jc w:val="both"/>
        <w:rPr>
          <w:rFonts w:ascii="Arial" w:hAnsi="Arial" w:cs="Arial"/>
        </w:rPr>
      </w:pPr>
      <w:r w:rsidRPr="00B8AFBC">
        <w:rPr>
          <w:rFonts w:ascii="Arial" w:hAnsi="Arial" w:cs="Arial"/>
        </w:rPr>
        <w:t xml:space="preserve">The tables below show provide an overview of performance at </w:t>
      </w:r>
      <w:r w:rsidR="008F0D3C" w:rsidRPr="00B8AFBC">
        <w:rPr>
          <w:rFonts w:ascii="Arial" w:hAnsi="Arial" w:cs="Arial"/>
        </w:rPr>
        <w:t>Q</w:t>
      </w:r>
      <w:r w:rsidR="0083437F">
        <w:rPr>
          <w:rFonts w:ascii="Arial" w:hAnsi="Arial" w:cs="Arial"/>
        </w:rPr>
        <w:t xml:space="preserve">uarter </w:t>
      </w:r>
      <w:r w:rsidR="008F0D3C" w:rsidRPr="00B8AFBC">
        <w:rPr>
          <w:rFonts w:ascii="Arial" w:hAnsi="Arial" w:cs="Arial"/>
        </w:rPr>
        <w:t>1 202</w:t>
      </w:r>
      <w:r w:rsidR="00BE7ECD">
        <w:rPr>
          <w:rFonts w:ascii="Arial" w:hAnsi="Arial" w:cs="Arial"/>
        </w:rPr>
        <w:t>4</w:t>
      </w:r>
      <w:r w:rsidR="006F6B04">
        <w:rPr>
          <w:rFonts w:ascii="Arial" w:hAnsi="Arial" w:cs="Arial"/>
        </w:rPr>
        <w:t>-</w:t>
      </w:r>
      <w:r w:rsidR="006D0810">
        <w:rPr>
          <w:rFonts w:ascii="Arial" w:hAnsi="Arial" w:cs="Arial"/>
        </w:rPr>
        <w:t>2</w:t>
      </w:r>
      <w:r w:rsidR="00BE7ECD">
        <w:rPr>
          <w:rFonts w:ascii="Arial" w:hAnsi="Arial" w:cs="Arial"/>
        </w:rPr>
        <w:t>5</w:t>
      </w:r>
      <w:r w:rsidRPr="00B8AFBC">
        <w:rPr>
          <w:rFonts w:ascii="Arial" w:hAnsi="Arial" w:cs="Arial"/>
        </w:rPr>
        <w:t xml:space="preserve"> for the indicators reported.</w:t>
      </w:r>
    </w:p>
    <w:p w14:paraId="76C07D3C" w14:textId="77777777" w:rsidR="00B0379D" w:rsidRPr="00042DEE" w:rsidRDefault="00E75E6D" w:rsidP="00B0379D">
      <w:pPr>
        <w:spacing w:after="240" w:line="240" w:lineRule="auto"/>
        <w:jc w:val="both"/>
        <w:rPr>
          <w:rFonts w:ascii="Arial" w:hAnsi="Arial" w:cs="Arial"/>
          <w:b/>
          <w:bCs/>
          <w:color w:val="FF0000"/>
        </w:rPr>
      </w:pPr>
      <w:r w:rsidRPr="00A86ECC">
        <w:rPr>
          <w:rFonts w:ascii="Arial" w:hAnsi="Arial" w:cs="Arial"/>
          <w:b/>
          <w:bCs/>
          <w:color w:val="8B3C45"/>
        </w:rPr>
        <w:t>Performance Against Target</w:t>
      </w:r>
      <w:r>
        <w:rPr>
          <w:rFonts w:ascii="Arial" w:hAnsi="Arial" w:cs="Arial"/>
          <w:b/>
          <w:bCs/>
          <w:color w:val="8B3C45"/>
        </w:rPr>
        <w:t xml:space="preserve"> </w:t>
      </w:r>
    </w:p>
    <w:tbl>
      <w:tblPr>
        <w:tblStyle w:val="TableGrid"/>
        <w:tblW w:w="0" w:type="auto"/>
        <w:tblBorders>
          <w:top w:val="single" w:sz="4" w:space="0" w:color="823C45"/>
          <w:left w:val="single" w:sz="4" w:space="0" w:color="823C45"/>
          <w:bottom w:val="single" w:sz="4" w:space="0" w:color="823C45"/>
          <w:right w:val="single" w:sz="4" w:space="0" w:color="823C45"/>
          <w:insideH w:val="single" w:sz="4" w:space="0" w:color="823C45"/>
          <w:insideV w:val="single" w:sz="4" w:space="0" w:color="823C45"/>
        </w:tblBorders>
        <w:tblLayout w:type="fixed"/>
        <w:tblLook w:val="04A0" w:firstRow="1" w:lastRow="0" w:firstColumn="1" w:lastColumn="0" w:noHBand="0" w:noVBand="1"/>
      </w:tblPr>
      <w:tblGrid>
        <w:gridCol w:w="2122"/>
        <w:gridCol w:w="2551"/>
        <w:gridCol w:w="2552"/>
        <w:gridCol w:w="2551"/>
      </w:tblGrid>
      <w:tr w:rsidR="00970157" w14:paraId="20578948" w14:textId="77777777" w:rsidTr="00B8AFBC">
        <w:tc>
          <w:tcPr>
            <w:tcW w:w="2122" w:type="dxa"/>
            <w:shd w:val="clear" w:color="auto" w:fill="8B3C45"/>
          </w:tcPr>
          <w:p w14:paraId="5191687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8B3C45"/>
          </w:tcPr>
          <w:p w14:paraId="5262BA2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8B3C45"/>
          </w:tcPr>
          <w:p w14:paraId="308C918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8B3C45"/>
          </w:tcPr>
          <w:p w14:paraId="1BB8EC8C"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69CE7EFB" w14:textId="77777777" w:rsidTr="00B8AFBC">
        <w:tc>
          <w:tcPr>
            <w:tcW w:w="2122" w:type="dxa"/>
            <w:shd w:val="clear" w:color="auto" w:fill="FFFFFF" w:themeFill="background1"/>
            <w:vAlign w:val="center"/>
          </w:tcPr>
          <w:p w14:paraId="593A6180" w14:textId="056DA7D9" w:rsidR="00B0379D" w:rsidRPr="0007113F" w:rsidRDefault="00C25A30" w:rsidP="00B8AFBC">
            <w:pPr>
              <w:spacing w:after="120"/>
              <w:jc w:val="center"/>
              <w:rPr>
                <w:rFonts w:ascii="Arial" w:eastAsia="Arial" w:hAnsi="Arial" w:cs="Arial"/>
              </w:rPr>
            </w:pPr>
            <w:r w:rsidRPr="0007113F">
              <w:rPr>
                <w:rFonts w:ascii="Arial" w:eastAsia="Arial" w:hAnsi="Arial" w:cs="Arial"/>
              </w:rPr>
              <w:t>9</w:t>
            </w:r>
          </w:p>
        </w:tc>
        <w:tc>
          <w:tcPr>
            <w:tcW w:w="2551" w:type="dxa"/>
            <w:shd w:val="clear" w:color="auto" w:fill="FFFFFF" w:themeFill="background1"/>
            <w:vAlign w:val="center"/>
          </w:tcPr>
          <w:p w14:paraId="2FBB5D3E" w14:textId="1804FE92" w:rsidR="00B0379D" w:rsidRPr="0007113F" w:rsidRDefault="0007113F" w:rsidP="00B8AFBC">
            <w:pPr>
              <w:spacing w:after="120"/>
              <w:jc w:val="center"/>
              <w:rPr>
                <w:rFonts w:ascii="Arial" w:eastAsia="Arial" w:hAnsi="Arial" w:cs="Arial"/>
              </w:rPr>
            </w:pPr>
            <w:r w:rsidRPr="0007113F">
              <w:rPr>
                <w:rFonts w:ascii="Arial" w:eastAsia="Arial" w:hAnsi="Arial" w:cs="Arial"/>
              </w:rPr>
              <w:t>67</w:t>
            </w:r>
            <w:r w:rsidR="00E75E6D" w:rsidRPr="0007113F">
              <w:rPr>
                <w:rFonts w:ascii="Arial" w:eastAsia="Arial" w:hAnsi="Arial" w:cs="Arial"/>
              </w:rPr>
              <w:t>% (</w:t>
            </w:r>
            <w:r w:rsidR="00C25A30" w:rsidRPr="0007113F">
              <w:rPr>
                <w:rFonts w:ascii="Arial" w:eastAsia="Arial" w:hAnsi="Arial" w:cs="Arial"/>
              </w:rPr>
              <w:t>6</w:t>
            </w:r>
            <w:r w:rsidR="00E75E6D" w:rsidRPr="0007113F">
              <w:rPr>
                <w:rFonts w:ascii="Arial" w:eastAsia="Arial" w:hAnsi="Arial" w:cs="Arial"/>
              </w:rPr>
              <w:t>)</w:t>
            </w:r>
          </w:p>
        </w:tc>
        <w:tc>
          <w:tcPr>
            <w:tcW w:w="2552" w:type="dxa"/>
            <w:shd w:val="clear" w:color="auto" w:fill="FFFFFF" w:themeFill="background1"/>
            <w:vAlign w:val="center"/>
          </w:tcPr>
          <w:p w14:paraId="41F4E306" w14:textId="6D58D302" w:rsidR="00B0379D" w:rsidRPr="0007113F" w:rsidRDefault="0007113F" w:rsidP="00B8AFBC">
            <w:pPr>
              <w:spacing w:after="120"/>
              <w:jc w:val="center"/>
              <w:rPr>
                <w:rFonts w:ascii="Arial" w:eastAsia="Arial" w:hAnsi="Arial" w:cs="Arial"/>
              </w:rPr>
            </w:pPr>
            <w:r w:rsidRPr="0007113F">
              <w:rPr>
                <w:rFonts w:ascii="Arial" w:eastAsia="Arial" w:hAnsi="Arial" w:cs="Arial"/>
              </w:rPr>
              <w:t>33</w:t>
            </w:r>
            <w:r w:rsidR="00E75E6D" w:rsidRPr="0007113F">
              <w:rPr>
                <w:rFonts w:ascii="Arial" w:eastAsia="Arial" w:hAnsi="Arial" w:cs="Arial"/>
              </w:rPr>
              <w:t>% (</w:t>
            </w:r>
            <w:r w:rsidRPr="0007113F">
              <w:rPr>
                <w:rFonts w:ascii="Arial" w:eastAsia="Arial" w:hAnsi="Arial" w:cs="Arial"/>
              </w:rPr>
              <w:t>3</w:t>
            </w:r>
            <w:r w:rsidR="00E75E6D" w:rsidRPr="0007113F">
              <w:rPr>
                <w:rFonts w:ascii="Arial" w:eastAsia="Arial" w:hAnsi="Arial" w:cs="Arial"/>
              </w:rPr>
              <w:t>)</w:t>
            </w:r>
          </w:p>
        </w:tc>
        <w:tc>
          <w:tcPr>
            <w:tcW w:w="2551" w:type="dxa"/>
            <w:shd w:val="clear" w:color="auto" w:fill="FFFFFF" w:themeFill="background1"/>
            <w:vAlign w:val="center"/>
          </w:tcPr>
          <w:p w14:paraId="6AB62C4D" w14:textId="3D66C510" w:rsidR="00B0379D" w:rsidRPr="0007113F" w:rsidRDefault="0007113F" w:rsidP="00B8AFBC">
            <w:pPr>
              <w:spacing w:after="120"/>
              <w:jc w:val="center"/>
              <w:rPr>
                <w:rFonts w:ascii="Arial" w:eastAsia="Arial" w:hAnsi="Arial" w:cs="Arial"/>
              </w:rPr>
            </w:pPr>
            <w:r w:rsidRPr="0007113F">
              <w:rPr>
                <w:rFonts w:ascii="Arial" w:eastAsia="Arial" w:hAnsi="Arial" w:cs="Arial"/>
              </w:rPr>
              <w:t>0</w:t>
            </w:r>
            <w:r w:rsidR="00E75E6D" w:rsidRPr="0007113F">
              <w:rPr>
                <w:rFonts w:ascii="Arial" w:eastAsia="Arial" w:hAnsi="Arial" w:cs="Arial"/>
              </w:rPr>
              <w:t>% (</w:t>
            </w:r>
            <w:r w:rsidRPr="0007113F">
              <w:rPr>
                <w:rFonts w:ascii="Arial" w:eastAsia="Arial" w:hAnsi="Arial" w:cs="Arial"/>
              </w:rPr>
              <w:t>0</w:t>
            </w:r>
            <w:r w:rsidR="00E75E6D" w:rsidRPr="0007113F">
              <w:rPr>
                <w:rFonts w:ascii="Arial" w:eastAsia="Arial" w:hAnsi="Arial" w:cs="Arial"/>
              </w:rPr>
              <w:t>)</w:t>
            </w:r>
          </w:p>
        </w:tc>
      </w:tr>
    </w:tbl>
    <w:p w14:paraId="31EA4A70" w14:textId="1A7990C1" w:rsidR="00B0379D" w:rsidRPr="00D66202" w:rsidRDefault="00B0379D" w:rsidP="00B0379D">
      <w:pPr>
        <w:spacing w:after="120" w:line="240" w:lineRule="auto"/>
        <w:jc w:val="both"/>
        <w:rPr>
          <w:rFonts w:ascii="Arial" w:hAnsi="Arial" w:cs="Arial"/>
          <w:sz w:val="20"/>
          <w:szCs w:val="20"/>
        </w:rPr>
      </w:pPr>
    </w:p>
    <w:p w14:paraId="043669B5" w14:textId="77777777" w:rsidR="00B0379D" w:rsidRPr="00A86ECC" w:rsidRDefault="00E75E6D" w:rsidP="00B0379D">
      <w:pPr>
        <w:rPr>
          <w:b/>
          <w:bCs/>
          <w:color w:val="8B3C45"/>
        </w:rPr>
      </w:pPr>
      <w:r w:rsidRPr="00814AE0">
        <w:rPr>
          <w:rFonts w:ascii="Arial" w:hAnsi="Arial" w:cs="Arial"/>
          <w:b/>
          <w:color w:val="8B3C45"/>
        </w:rPr>
        <w:t>The Performance Trend</w:t>
      </w:r>
      <w:r>
        <w:rPr>
          <w:rFonts w:ascii="Arial" w:hAnsi="Arial" w:cs="Arial"/>
          <w:b/>
          <w:color w:val="8B3C45"/>
        </w:rPr>
        <w:t xml:space="preserve"> </w:t>
      </w:r>
    </w:p>
    <w:tbl>
      <w:tblPr>
        <w:tblStyle w:val="TableGrid"/>
        <w:tblW w:w="0" w:type="auto"/>
        <w:tblBorders>
          <w:top w:val="single" w:sz="4" w:space="0" w:color="823C45"/>
          <w:left w:val="single" w:sz="4" w:space="0" w:color="823C45"/>
          <w:bottom w:val="single" w:sz="4" w:space="0" w:color="823C45"/>
          <w:right w:val="single" w:sz="4" w:space="0" w:color="823C45"/>
          <w:insideH w:val="single" w:sz="4" w:space="0" w:color="823C45"/>
          <w:insideV w:val="single" w:sz="4" w:space="0" w:color="823C45"/>
        </w:tblBorders>
        <w:tblLayout w:type="fixed"/>
        <w:tblLook w:val="04A0" w:firstRow="1" w:lastRow="0" w:firstColumn="1" w:lastColumn="0" w:noHBand="0" w:noVBand="1"/>
      </w:tblPr>
      <w:tblGrid>
        <w:gridCol w:w="2122"/>
        <w:gridCol w:w="2551"/>
        <w:gridCol w:w="2552"/>
        <w:gridCol w:w="2551"/>
      </w:tblGrid>
      <w:tr w:rsidR="00970157" w14:paraId="68E8398D" w14:textId="77777777" w:rsidTr="00B8AFBC">
        <w:tc>
          <w:tcPr>
            <w:tcW w:w="2122" w:type="dxa"/>
            <w:shd w:val="clear" w:color="auto" w:fill="8B3C45"/>
          </w:tcPr>
          <w:p w14:paraId="3681EF04" w14:textId="77777777" w:rsidR="00B0379D" w:rsidRPr="007A5077" w:rsidRDefault="00E75E6D" w:rsidP="00B0379D">
            <w:pPr>
              <w:spacing w:after="120"/>
              <w:rPr>
                <w:rFonts w:ascii="Arial" w:eastAsia="Arial" w:hAnsi="Arial" w:cs="Arial"/>
                <w:color w:val="FFFFFF" w:themeColor="background1"/>
              </w:rPr>
            </w:pPr>
            <w:r w:rsidRPr="007A5077">
              <w:rPr>
                <w:rFonts w:ascii="Arial" w:eastAsia="Arial" w:hAnsi="Arial" w:cs="Arial"/>
                <w:b/>
                <w:color w:val="FFFFFF" w:themeColor="background1"/>
              </w:rPr>
              <w:t>Number of Indicators with data</w:t>
            </w:r>
          </w:p>
        </w:tc>
        <w:tc>
          <w:tcPr>
            <w:tcW w:w="2551" w:type="dxa"/>
            <w:shd w:val="clear" w:color="auto" w:fill="8B3C45"/>
          </w:tcPr>
          <w:p w14:paraId="31BB3104" w14:textId="77777777" w:rsidR="00B0379D" w:rsidRPr="007A5077" w:rsidRDefault="00E75E6D" w:rsidP="00B0379D">
            <w:pPr>
              <w:spacing w:after="120"/>
              <w:rPr>
                <w:rFonts w:ascii="Arial" w:eastAsia="Arial" w:hAnsi="Arial" w:cs="Arial"/>
                <w:color w:val="FFFFFF" w:themeColor="background1"/>
              </w:rPr>
            </w:pPr>
            <w:r w:rsidRPr="007A5077">
              <w:rPr>
                <w:rFonts w:ascii="Arial" w:eastAsia="Arial" w:hAnsi="Arial" w:cs="Arial"/>
                <w:b/>
                <w:color w:val="FFFFFF" w:themeColor="background1"/>
              </w:rPr>
              <w:t>% improved on last year</w:t>
            </w:r>
          </w:p>
        </w:tc>
        <w:tc>
          <w:tcPr>
            <w:tcW w:w="2552" w:type="dxa"/>
            <w:shd w:val="clear" w:color="auto" w:fill="8B3C45"/>
          </w:tcPr>
          <w:p w14:paraId="755421A5" w14:textId="77777777" w:rsidR="00B0379D" w:rsidRPr="007A5077" w:rsidRDefault="00E75E6D" w:rsidP="00B0379D">
            <w:pPr>
              <w:spacing w:after="120"/>
              <w:rPr>
                <w:rFonts w:ascii="Arial" w:eastAsia="Arial" w:hAnsi="Arial" w:cs="Arial"/>
                <w:color w:val="FFFFFF" w:themeColor="background1"/>
              </w:rPr>
            </w:pPr>
            <w:r w:rsidRPr="007A5077">
              <w:rPr>
                <w:rFonts w:ascii="Arial" w:eastAsia="Arial" w:hAnsi="Arial" w:cs="Arial"/>
                <w:b/>
                <w:color w:val="FFFFFF" w:themeColor="background1"/>
              </w:rPr>
              <w:t>% worse than last year</w:t>
            </w:r>
          </w:p>
        </w:tc>
        <w:tc>
          <w:tcPr>
            <w:tcW w:w="2551" w:type="dxa"/>
            <w:shd w:val="clear" w:color="auto" w:fill="8B3C45"/>
          </w:tcPr>
          <w:p w14:paraId="379BA3D0" w14:textId="77777777" w:rsidR="00B0379D" w:rsidRPr="007A5077" w:rsidRDefault="00E75E6D" w:rsidP="00B0379D">
            <w:pPr>
              <w:spacing w:after="120"/>
              <w:rPr>
                <w:rFonts w:ascii="Arial" w:eastAsia="Arial" w:hAnsi="Arial" w:cs="Arial"/>
                <w:color w:val="FFFFFF" w:themeColor="background1"/>
              </w:rPr>
            </w:pPr>
            <w:r w:rsidRPr="007A5077">
              <w:rPr>
                <w:rFonts w:ascii="Arial" w:eastAsia="Arial" w:hAnsi="Arial" w:cs="Arial"/>
                <w:b/>
                <w:color w:val="FFFFFF" w:themeColor="background1"/>
              </w:rPr>
              <w:t>% the same as last year</w:t>
            </w:r>
          </w:p>
        </w:tc>
      </w:tr>
      <w:tr w:rsidR="00970157" w14:paraId="7E8B95FD" w14:textId="77777777" w:rsidTr="00B8AFBC">
        <w:tc>
          <w:tcPr>
            <w:tcW w:w="2122" w:type="dxa"/>
            <w:shd w:val="clear" w:color="auto" w:fill="FFFFFF" w:themeFill="background1"/>
            <w:vAlign w:val="center"/>
          </w:tcPr>
          <w:p w14:paraId="2FF4D201" w14:textId="355FA1A2" w:rsidR="00B0379D" w:rsidRPr="00756A05" w:rsidRDefault="00907706" w:rsidP="00B8AFBC">
            <w:pPr>
              <w:spacing w:after="120"/>
              <w:jc w:val="center"/>
              <w:rPr>
                <w:rFonts w:ascii="Arial" w:eastAsia="Arial" w:hAnsi="Arial" w:cs="Arial"/>
              </w:rPr>
            </w:pPr>
            <w:r w:rsidRPr="00756A05">
              <w:rPr>
                <w:rFonts w:ascii="Arial" w:eastAsia="Arial" w:hAnsi="Arial" w:cs="Arial"/>
              </w:rPr>
              <w:t>9</w:t>
            </w:r>
          </w:p>
        </w:tc>
        <w:tc>
          <w:tcPr>
            <w:tcW w:w="2551" w:type="dxa"/>
            <w:shd w:val="clear" w:color="auto" w:fill="FFFFFF" w:themeFill="background1"/>
            <w:vAlign w:val="center"/>
          </w:tcPr>
          <w:p w14:paraId="5E294CE6" w14:textId="1A6B491F" w:rsidR="00B0379D" w:rsidRPr="00756A05" w:rsidRDefault="0026403F" w:rsidP="00B8AFBC">
            <w:pPr>
              <w:spacing w:after="120"/>
              <w:jc w:val="center"/>
              <w:rPr>
                <w:rFonts w:ascii="Arial" w:eastAsia="Arial" w:hAnsi="Arial" w:cs="Arial"/>
              </w:rPr>
            </w:pPr>
            <w:r w:rsidRPr="00756A05">
              <w:rPr>
                <w:rFonts w:ascii="Arial" w:eastAsia="Arial" w:hAnsi="Arial" w:cs="Arial"/>
              </w:rPr>
              <w:t>44</w:t>
            </w:r>
            <w:r w:rsidR="00E75E6D" w:rsidRPr="00756A05">
              <w:rPr>
                <w:rFonts w:ascii="Arial" w:eastAsia="Arial" w:hAnsi="Arial" w:cs="Arial"/>
              </w:rPr>
              <w:t>%</w:t>
            </w:r>
            <w:r w:rsidR="00756A05">
              <w:rPr>
                <w:rFonts w:ascii="Arial" w:eastAsia="Arial" w:hAnsi="Arial" w:cs="Arial"/>
              </w:rPr>
              <w:t>*</w:t>
            </w:r>
            <w:r w:rsidR="00E75E6D" w:rsidRPr="00756A05">
              <w:rPr>
                <w:rFonts w:ascii="Arial" w:eastAsia="Arial" w:hAnsi="Arial" w:cs="Arial"/>
              </w:rPr>
              <w:t xml:space="preserve"> (</w:t>
            </w:r>
            <w:r w:rsidR="00907706" w:rsidRPr="00756A05">
              <w:rPr>
                <w:rFonts w:ascii="Arial" w:eastAsia="Arial" w:hAnsi="Arial" w:cs="Arial"/>
              </w:rPr>
              <w:t>4</w:t>
            </w:r>
            <w:r w:rsidR="00E75E6D" w:rsidRPr="00756A05">
              <w:rPr>
                <w:rFonts w:ascii="Arial" w:eastAsia="Arial" w:hAnsi="Arial" w:cs="Arial"/>
              </w:rPr>
              <w:t>)</w:t>
            </w:r>
          </w:p>
        </w:tc>
        <w:tc>
          <w:tcPr>
            <w:tcW w:w="2552" w:type="dxa"/>
            <w:shd w:val="clear" w:color="auto" w:fill="FFFFFF" w:themeFill="background1"/>
            <w:vAlign w:val="center"/>
          </w:tcPr>
          <w:p w14:paraId="7177F9E7" w14:textId="20E0E54F" w:rsidR="00B0379D" w:rsidRPr="00756A05" w:rsidRDefault="0026403F" w:rsidP="00B8AFBC">
            <w:pPr>
              <w:spacing w:after="120"/>
              <w:jc w:val="center"/>
              <w:rPr>
                <w:rFonts w:ascii="Arial" w:eastAsia="Arial" w:hAnsi="Arial" w:cs="Arial"/>
              </w:rPr>
            </w:pPr>
            <w:r w:rsidRPr="00756A05">
              <w:rPr>
                <w:rFonts w:ascii="Arial" w:eastAsia="Arial" w:hAnsi="Arial" w:cs="Arial"/>
              </w:rPr>
              <w:t>44</w:t>
            </w:r>
            <w:r w:rsidR="00E75E6D" w:rsidRPr="00756A05">
              <w:rPr>
                <w:rFonts w:ascii="Arial" w:eastAsia="Arial" w:hAnsi="Arial" w:cs="Arial"/>
              </w:rPr>
              <w:t>%</w:t>
            </w:r>
            <w:r w:rsidR="00756A05">
              <w:rPr>
                <w:rFonts w:ascii="Arial" w:eastAsia="Arial" w:hAnsi="Arial" w:cs="Arial"/>
              </w:rPr>
              <w:t>*</w:t>
            </w:r>
            <w:r w:rsidR="00E75E6D" w:rsidRPr="00756A05">
              <w:rPr>
                <w:rFonts w:ascii="Arial" w:eastAsia="Arial" w:hAnsi="Arial" w:cs="Arial"/>
              </w:rPr>
              <w:t xml:space="preserve"> (</w:t>
            </w:r>
            <w:r w:rsidR="00907706" w:rsidRPr="00756A05">
              <w:rPr>
                <w:rFonts w:ascii="Arial" w:eastAsia="Arial" w:hAnsi="Arial" w:cs="Arial"/>
              </w:rPr>
              <w:t>4</w:t>
            </w:r>
            <w:r w:rsidR="00E75E6D" w:rsidRPr="00756A05">
              <w:rPr>
                <w:rFonts w:ascii="Arial" w:eastAsia="Arial" w:hAnsi="Arial" w:cs="Arial"/>
              </w:rPr>
              <w:t>)</w:t>
            </w:r>
          </w:p>
        </w:tc>
        <w:tc>
          <w:tcPr>
            <w:tcW w:w="2551" w:type="dxa"/>
            <w:shd w:val="clear" w:color="auto" w:fill="FFFFFF" w:themeFill="background1"/>
            <w:vAlign w:val="center"/>
          </w:tcPr>
          <w:p w14:paraId="22BB17C5" w14:textId="6EC9C044" w:rsidR="00B0379D" w:rsidRPr="00756A05" w:rsidRDefault="00756A05" w:rsidP="00B8AFBC">
            <w:pPr>
              <w:spacing w:after="120"/>
              <w:jc w:val="center"/>
              <w:rPr>
                <w:rFonts w:ascii="Arial" w:eastAsia="Arial" w:hAnsi="Arial" w:cs="Arial"/>
              </w:rPr>
            </w:pPr>
            <w:r w:rsidRPr="00756A05">
              <w:rPr>
                <w:rFonts w:ascii="Arial" w:eastAsia="Arial" w:hAnsi="Arial" w:cs="Arial"/>
              </w:rPr>
              <w:t>11</w:t>
            </w:r>
            <w:r w:rsidR="00E75E6D" w:rsidRPr="00756A05">
              <w:rPr>
                <w:rFonts w:ascii="Arial" w:eastAsia="Arial" w:hAnsi="Arial" w:cs="Arial"/>
              </w:rPr>
              <w:t>%</w:t>
            </w:r>
            <w:r>
              <w:rPr>
                <w:rFonts w:ascii="Arial" w:eastAsia="Arial" w:hAnsi="Arial" w:cs="Arial"/>
              </w:rPr>
              <w:t>*</w:t>
            </w:r>
            <w:r w:rsidR="00E75E6D" w:rsidRPr="00756A05">
              <w:rPr>
                <w:rFonts w:ascii="Arial" w:eastAsia="Arial" w:hAnsi="Arial" w:cs="Arial"/>
              </w:rPr>
              <w:t xml:space="preserve"> (</w:t>
            </w:r>
            <w:r w:rsidR="00907706" w:rsidRPr="00756A05">
              <w:rPr>
                <w:rFonts w:ascii="Arial" w:eastAsia="Arial" w:hAnsi="Arial" w:cs="Arial"/>
              </w:rPr>
              <w:t>1</w:t>
            </w:r>
            <w:r w:rsidR="00E75E6D" w:rsidRPr="00756A05">
              <w:rPr>
                <w:rFonts w:ascii="Arial" w:eastAsia="Arial" w:hAnsi="Arial" w:cs="Arial"/>
              </w:rPr>
              <w:t>)</w:t>
            </w:r>
          </w:p>
        </w:tc>
      </w:tr>
    </w:tbl>
    <w:p w14:paraId="1F21F57D" w14:textId="77777777" w:rsidR="00756A05" w:rsidRPr="0007113F" w:rsidRDefault="00756A05" w:rsidP="00756A05">
      <w:pPr>
        <w:rPr>
          <w:rFonts w:ascii="Arial" w:hAnsi="Arial" w:cs="Arial"/>
          <w:sz w:val="20"/>
          <w:szCs w:val="20"/>
        </w:rPr>
      </w:pPr>
      <w:r w:rsidRPr="0007113F">
        <w:rPr>
          <w:rFonts w:ascii="Arial" w:hAnsi="Arial" w:cs="Arial"/>
          <w:sz w:val="20"/>
          <w:szCs w:val="20"/>
        </w:rPr>
        <w:t>NB</w:t>
      </w:r>
      <w:r>
        <w:rPr>
          <w:rFonts w:ascii="Arial" w:hAnsi="Arial" w:cs="Arial"/>
          <w:sz w:val="20"/>
          <w:szCs w:val="20"/>
        </w:rPr>
        <w:t>*</w:t>
      </w:r>
      <w:r w:rsidRPr="0007113F">
        <w:rPr>
          <w:rFonts w:ascii="Arial" w:hAnsi="Arial" w:cs="Arial"/>
          <w:sz w:val="20"/>
          <w:szCs w:val="20"/>
        </w:rPr>
        <w:t xml:space="preserve"> -  Percentages rounded to nearest whole number</w:t>
      </w:r>
    </w:p>
    <w:p w14:paraId="1C13A9AC" w14:textId="77777777" w:rsidR="00B0379D" w:rsidRPr="00A86ECC" w:rsidRDefault="00E75E6D" w:rsidP="00B0379D">
      <w:pPr>
        <w:spacing w:after="240" w:line="240" w:lineRule="auto"/>
        <w:jc w:val="both"/>
        <w:rPr>
          <w:rFonts w:ascii="Arial" w:hAnsi="Arial" w:cs="Arial"/>
          <w:b/>
          <w:bCs/>
          <w:color w:val="8B3C45"/>
        </w:rPr>
      </w:pPr>
      <w:r w:rsidRPr="00A86ECC">
        <w:rPr>
          <w:rFonts w:ascii="Arial" w:hAnsi="Arial" w:cs="Arial"/>
          <w:b/>
          <w:bCs/>
          <w:color w:val="8B3C45"/>
        </w:rPr>
        <w:t>Inter Authority Comparison</w:t>
      </w:r>
    </w:p>
    <w:tbl>
      <w:tblPr>
        <w:tblStyle w:val="TableGrid"/>
        <w:tblW w:w="0" w:type="auto"/>
        <w:tblBorders>
          <w:top w:val="single" w:sz="4" w:space="0" w:color="823C45"/>
          <w:left w:val="single" w:sz="4" w:space="0" w:color="823C45"/>
          <w:bottom w:val="single" w:sz="4" w:space="0" w:color="823C45"/>
          <w:right w:val="single" w:sz="4" w:space="0" w:color="823C45"/>
          <w:insideH w:val="single" w:sz="4" w:space="0" w:color="823C45"/>
          <w:insideV w:val="single" w:sz="4" w:space="0" w:color="823C45"/>
        </w:tblBorders>
        <w:tblLayout w:type="fixed"/>
        <w:tblLook w:val="04A0" w:firstRow="1" w:lastRow="0" w:firstColumn="1" w:lastColumn="0" w:noHBand="0" w:noVBand="1"/>
      </w:tblPr>
      <w:tblGrid>
        <w:gridCol w:w="1838"/>
        <w:gridCol w:w="1985"/>
        <w:gridCol w:w="1984"/>
        <w:gridCol w:w="1985"/>
        <w:gridCol w:w="1984"/>
      </w:tblGrid>
      <w:tr w:rsidR="00970157" w14:paraId="0EFE7E17" w14:textId="77777777" w:rsidTr="00B8AFBC">
        <w:trPr>
          <w:tblHeader/>
        </w:trPr>
        <w:tc>
          <w:tcPr>
            <w:tcW w:w="1838" w:type="dxa"/>
            <w:shd w:val="clear" w:color="auto" w:fill="8B3C45"/>
          </w:tcPr>
          <w:p w14:paraId="3960DD1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8B3C45"/>
          </w:tcPr>
          <w:p w14:paraId="540E784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8B3C45"/>
          </w:tcPr>
          <w:p w14:paraId="4A28E2C1"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8B3C45"/>
          </w:tcPr>
          <w:p w14:paraId="1D8FF157"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8B3C45"/>
          </w:tcPr>
          <w:p w14:paraId="362A474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68A8A524" w14:textId="77777777" w:rsidTr="00B8AFBC">
        <w:tc>
          <w:tcPr>
            <w:tcW w:w="1838" w:type="dxa"/>
            <w:shd w:val="clear" w:color="auto" w:fill="FFFFFF" w:themeFill="background1"/>
            <w:vAlign w:val="center"/>
          </w:tcPr>
          <w:p w14:paraId="5437EA68" w14:textId="1FA0512C" w:rsidR="00862F80" w:rsidRPr="0007113F" w:rsidRDefault="19708D57" w:rsidP="00B8AFBC">
            <w:pPr>
              <w:spacing w:before="40" w:after="40" w:line="259" w:lineRule="auto"/>
              <w:rPr>
                <w:rFonts w:ascii="Arial" w:eastAsia="Arial" w:hAnsi="Arial" w:cs="Arial"/>
              </w:rPr>
            </w:pPr>
            <w:r w:rsidRPr="0007113F">
              <w:rPr>
                <w:rFonts w:ascii="Arial" w:eastAsia="Arial" w:hAnsi="Arial" w:cs="Arial"/>
              </w:rPr>
              <w:t xml:space="preserve">            </w:t>
            </w:r>
            <w:r w:rsidR="00C1222A" w:rsidRPr="0007113F">
              <w:rPr>
                <w:rFonts w:ascii="Arial" w:eastAsia="Arial" w:hAnsi="Arial" w:cs="Arial"/>
              </w:rPr>
              <w:t>6</w:t>
            </w:r>
          </w:p>
        </w:tc>
        <w:tc>
          <w:tcPr>
            <w:tcW w:w="1985" w:type="dxa"/>
            <w:shd w:val="clear" w:color="auto" w:fill="FFFFFF" w:themeFill="background1"/>
            <w:vAlign w:val="center"/>
          </w:tcPr>
          <w:p w14:paraId="00287E83" w14:textId="6BA57349" w:rsidR="00B0379D" w:rsidRPr="0007113F" w:rsidRDefault="00815FBD" w:rsidP="00B8AFBC">
            <w:pPr>
              <w:spacing w:before="40" w:after="40" w:line="259" w:lineRule="auto"/>
              <w:jc w:val="center"/>
              <w:rPr>
                <w:rFonts w:ascii="Arial" w:eastAsia="Arial" w:hAnsi="Arial" w:cs="Arial"/>
              </w:rPr>
            </w:pPr>
            <w:r w:rsidRPr="0007113F">
              <w:rPr>
                <w:rFonts w:ascii="Arial" w:eastAsia="Arial" w:hAnsi="Arial" w:cs="Arial"/>
              </w:rPr>
              <w:t>33</w:t>
            </w:r>
            <w:r w:rsidR="00E75E6D" w:rsidRPr="0007113F">
              <w:rPr>
                <w:rFonts w:ascii="Arial" w:eastAsia="Arial" w:hAnsi="Arial" w:cs="Arial"/>
              </w:rPr>
              <w:t>%</w:t>
            </w:r>
            <w:r w:rsidR="0007113F" w:rsidRPr="0007113F">
              <w:rPr>
                <w:rFonts w:ascii="Arial" w:eastAsia="Arial" w:hAnsi="Arial" w:cs="Arial"/>
              </w:rPr>
              <w:t>*</w:t>
            </w:r>
            <w:r w:rsidR="00E75E6D" w:rsidRPr="0007113F">
              <w:rPr>
                <w:rFonts w:ascii="Arial" w:eastAsia="Arial" w:hAnsi="Arial" w:cs="Arial"/>
              </w:rPr>
              <w:t xml:space="preserve"> (</w:t>
            </w:r>
            <w:r w:rsidR="00786F83" w:rsidRPr="0007113F">
              <w:rPr>
                <w:rFonts w:ascii="Arial" w:eastAsia="Arial" w:hAnsi="Arial" w:cs="Arial"/>
              </w:rPr>
              <w:t>2</w:t>
            </w:r>
            <w:r w:rsidR="00E75E6D" w:rsidRPr="0007113F">
              <w:rPr>
                <w:rFonts w:ascii="Arial" w:eastAsia="Arial" w:hAnsi="Arial" w:cs="Arial"/>
              </w:rPr>
              <w:t>)</w:t>
            </w:r>
          </w:p>
        </w:tc>
        <w:tc>
          <w:tcPr>
            <w:tcW w:w="1984" w:type="dxa"/>
            <w:shd w:val="clear" w:color="auto" w:fill="FFFFFF" w:themeFill="background1"/>
            <w:vAlign w:val="center"/>
          </w:tcPr>
          <w:p w14:paraId="2C8A1C31" w14:textId="4544963B" w:rsidR="00B0379D" w:rsidRPr="0007113F" w:rsidRDefault="0007113F" w:rsidP="00B8AFBC">
            <w:pPr>
              <w:spacing w:before="40" w:after="40" w:line="259" w:lineRule="auto"/>
              <w:jc w:val="center"/>
              <w:rPr>
                <w:rFonts w:ascii="Arial" w:eastAsia="Arial" w:hAnsi="Arial" w:cs="Arial"/>
              </w:rPr>
            </w:pPr>
            <w:r w:rsidRPr="0007113F">
              <w:rPr>
                <w:rFonts w:ascii="Arial" w:eastAsia="Arial" w:hAnsi="Arial" w:cs="Arial"/>
              </w:rPr>
              <w:t>33</w:t>
            </w:r>
            <w:r w:rsidR="00E75E6D" w:rsidRPr="0007113F">
              <w:rPr>
                <w:rFonts w:ascii="Arial" w:eastAsia="Arial" w:hAnsi="Arial" w:cs="Arial"/>
              </w:rPr>
              <w:t>%</w:t>
            </w:r>
            <w:r w:rsidRPr="0007113F">
              <w:rPr>
                <w:rFonts w:ascii="Arial" w:eastAsia="Arial" w:hAnsi="Arial" w:cs="Arial"/>
              </w:rPr>
              <w:t>*</w:t>
            </w:r>
            <w:r w:rsidR="00E75E6D" w:rsidRPr="0007113F">
              <w:rPr>
                <w:rFonts w:ascii="Arial" w:eastAsia="Arial" w:hAnsi="Arial" w:cs="Arial"/>
              </w:rPr>
              <w:t xml:space="preserve"> (</w:t>
            </w:r>
            <w:r w:rsidRPr="0007113F">
              <w:rPr>
                <w:rFonts w:ascii="Arial" w:eastAsia="Arial" w:hAnsi="Arial" w:cs="Arial"/>
              </w:rPr>
              <w:t>2</w:t>
            </w:r>
            <w:r w:rsidR="00E75E6D" w:rsidRPr="0007113F">
              <w:rPr>
                <w:rFonts w:ascii="Arial" w:eastAsia="Arial" w:hAnsi="Arial" w:cs="Arial"/>
              </w:rPr>
              <w:t>)</w:t>
            </w:r>
          </w:p>
        </w:tc>
        <w:tc>
          <w:tcPr>
            <w:tcW w:w="1985" w:type="dxa"/>
            <w:shd w:val="clear" w:color="auto" w:fill="FFFFFF" w:themeFill="background1"/>
            <w:vAlign w:val="center"/>
          </w:tcPr>
          <w:p w14:paraId="49684AE9" w14:textId="01A26D93" w:rsidR="00B0379D" w:rsidRPr="0007113F" w:rsidRDefault="00C1222A" w:rsidP="00B8AFBC">
            <w:pPr>
              <w:spacing w:before="40" w:after="40" w:line="259" w:lineRule="auto"/>
              <w:jc w:val="center"/>
              <w:rPr>
                <w:rFonts w:ascii="Arial" w:eastAsia="Arial" w:hAnsi="Arial" w:cs="Arial"/>
              </w:rPr>
            </w:pPr>
            <w:r w:rsidRPr="0007113F">
              <w:rPr>
                <w:rFonts w:ascii="Arial" w:eastAsia="Arial" w:hAnsi="Arial" w:cs="Arial"/>
              </w:rPr>
              <w:t>0</w:t>
            </w:r>
            <w:r w:rsidR="00E75E6D" w:rsidRPr="0007113F">
              <w:rPr>
                <w:rFonts w:ascii="Arial" w:eastAsia="Arial" w:hAnsi="Arial" w:cs="Arial"/>
              </w:rPr>
              <w:t>% (</w:t>
            </w:r>
            <w:r w:rsidR="0007113F" w:rsidRPr="0007113F">
              <w:rPr>
                <w:rFonts w:ascii="Arial" w:eastAsia="Arial" w:hAnsi="Arial" w:cs="Arial"/>
              </w:rPr>
              <w:t>0</w:t>
            </w:r>
            <w:r w:rsidR="00E75E6D" w:rsidRPr="0007113F">
              <w:rPr>
                <w:rFonts w:ascii="Arial" w:eastAsia="Arial" w:hAnsi="Arial" w:cs="Arial"/>
              </w:rPr>
              <w:t>)</w:t>
            </w:r>
          </w:p>
        </w:tc>
        <w:tc>
          <w:tcPr>
            <w:tcW w:w="1984" w:type="dxa"/>
            <w:shd w:val="clear" w:color="auto" w:fill="FFFFFF" w:themeFill="background1"/>
            <w:vAlign w:val="center"/>
          </w:tcPr>
          <w:p w14:paraId="410E9CF8" w14:textId="73441FAF" w:rsidR="00B0379D" w:rsidRPr="0007113F" w:rsidRDefault="0007113F" w:rsidP="00B8AFBC">
            <w:pPr>
              <w:spacing w:before="40" w:after="40" w:line="259" w:lineRule="auto"/>
              <w:jc w:val="center"/>
              <w:rPr>
                <w:rFonts w:ascii="Arial" w:eastAsia="Arial" w:hAnsi="Arial" w:cs="Arial"/>
              </w:rPr>
            </w:pPr>
            <w:r w:rsidRPr="0007113F">
              <w:rPr>
                <w:rFonts w:ascii="Arial" w:eastAsia="Arial" w:hAnsi="Arial" w:cs="Arial"/>
              </w:rPr>
              <w:t>33</w:t>
            </w:r>
            <w:r w:rsidR="00206FD8" w:rsidRPr="0007113F">
              <w:rPr>
                <w:rFonts w:ascii="Arial" w:eastAsia="Arial" w:hAnsi="Arial" w:cs="Arial"/>
              </w:rPr>
              <w:t>%</w:t>
            </w:r>
            <w:r w:rsidRPr="0007113F">
              <w:rPr>
                <w:rFonts w:ascii="Arial" w:eastAsia="Arial" w:hAnsi="Arial" w:cs="Arial"/>
              </w:rPr>
              <w:t>*</w:t>
            </w:r>
            <w:r w:rsidR="00206FD8" w:rsidRPr="0007113F">
              <w:rPr>
                <w:rFonts w:ascii="Arial" w:eastAsia="Arial" w:hAnsi="Arial" w:cs="Arial"/>
              </w:rPr>
              <w:t xml:space="preserve"> (</w:t>
            </w:r>
            <w:r w:rsidRPr="0007113F">
              <w:rPr>
                <w:rFonts w:ascii="Arial" w:eastAsia="Arial" w:hAnsi="Arial" w:cs="Arial"/>
              </w:rPr>
              <w:t>2</w:t>
            </w:r>
            <w:r w:rsidR="00206FD8" w:rsidRPr="0007113F">
              <w:rPr>
                <w:rFonts w:ascii="Arial" w:eastAsia="Arial" w:hAnsi="Arial" w:cs="Arial"/>
              </w:rPr>
              <w:t>)</w:t>
            </w:r>
          </w:p>
        </w:tc>
      </w:tr>
    </w:tbl>
    <w:p w14:paraId="639E5D00" w14:textId="18360689" w:rsidR="77310A43" w:rsidRPr="0007113F" w:rsidRDefault="0007113F">
      <w:pPr>
        <w:rPr>
          <w:rFonts w:ascii="Arial" w:hAnsi="Arial" w:cs="Arial"/>
          <w:sz w:val="20"/>
          <w:szCs w:val="20"/>
        </w:rPr>
      </w:pPr>
      <w:r w:rsidRPr="0007113F">
        <w:rPr>
          <w:rFonts w:ascii="Arial" w:hAnsi="Arial" w:cs="Arial"/>
          <w:sz w:val="20"/>
          <w:szCs w:val="20"/>
        </w:rPr>
        <w:t>NB</w:t>
      </w:r>
      <w:r>
        <w:rPr>
          <w:rFonts w:ascii="Arial" w:hAnsi="Arial" w:cs="Arial"/>
          <w:sz w:val="20"/>
          <w:szCs w:val="20"/>
        </w:rPr>
        <w:t>*</w:t>
      </w:r>
      <w:r w:rsidRPr="0007113F">
        <w:rPr>
          <w:rFonts w:ascii="Arial" w:hAnsi="Arial" w:cs="Arial"/>
          <w:sz w:val="20"/>
          <w:szCs w:val="20"/>
        </w:rPr>
        <w:t xml:space="preserve"> -  Percentages rounded to nearest whole number</w:t>
      </w:r>
    </w:p>
    <w:p w14:paraId="28D4481F" w14:textId="77777777" w:rsidR="00B0379D" w:rsidRDefault="00B0379D" w:rsidP="00B0379D">
      <w:pPr>
        <w:pStyle w:val="ListBullet"/>
        <w:numPr>
          <w:ilvl w:val="0"/>
          <w:numId w:val="0"/>
        </w:numPr>
        <w:spacing w:after="120" w:line="240" w:lineRule="auto"/>
        <w:contextualSpacing w:val="0"/>
        <w:rPr>
          <w:rStyle w:val="normaltextrun"/>
          <w:rFonts w:ascii="Arial" w:hAnsi="Arial" w:cs="Arial"/>
          <w:b/>
          <w:bCs/>
          <w:color w:val="8B3C45"/>
        </w:rPr>
      </w:pPr>
    </w:p>
    <w:p w14:paraId="72DF9245" w14:textId="77777777" w:rsidR="00B0379D" w:rsidRDefault="00B0379D" w:rsidP="00B0379D">
      <w:pPr>
        <w:pStyle w:val="ListBullet"/>
        <w:numPr>
          <w:ilvl w:val="0"/>
          <w:numId w:val="0"/>
        </w:numPr>
        <w:spacing w:after="120" w:line="240" w:lineRule="auto"/>
        <w:contextualSpacing w:val="0"/>
        <w:rPr>
          <w:rStyle w:val="normaltextrun"/>
          <w:rFonts w:ascii="Arial" w:hAnsi="Arial" w:cs="Arial"/>
          <w:b/>
          <w:bCs/>
          <w:color w:val="8B3C45"/>
        </w:rPr>
        <w:sectPr w:rsidR="00B0379D" w:rsidSect="00EC2ED3">
          <w:headerReference w:type="default" r:id="rId36"/>
          <w:footerReference w:type="default" r:id="rId37"/>
          <w:pgSz w:w="11906" w:h="16838"/>
          <w:pgMar w:top="720" w:right="720" w:bottom="720" w:left="720" w:header="708" w:footer="708" w:gutter="0"/>
          <w:cols w:space="708"/>
          <w:docGrid w:linePitch="360"/>
        </w:sectPr>
      </w:pPr>
    </w:p>
    <w:p w14:paraId="05FB4613" w14:textId="77777777" w:rsidR="00B0379D" w:rsidRPr="001C2F8D" w:rsidRDefault="00B0379D" w:rsidP="00B0379D">
      <w:pPr>
        <w:pStyle w:val="paragraph"/>
        <w:spacing w:before="0" w:beforeAutospacing="0" w:after="120" w:afterAutospacing="0"/>
        <w:ind w:left="709"/>
        <w:textAlignment w:val="baseline"/>
        <w:rPr>
          <w:rStyle w:val="eop"/>
          <w:rFonts w:ascii="Arial" w:hAnsi="Arial" w:cs="Arial"/>
          <w:sz w:val="22"/>
          <w:szCs w:val="22"/>
        </w:rPr>
      </w:pPr>
    </w:p>
    <w:p w14:paraId="13BBF4B0" w14:textId="77777777" w:rsidR="00B0379D" w:rsidRPr="00D23B44" w:rsidRDefault="00E75E6D" w:rsidP="00B0379D">
      <w:pPr>
        <w:rPr>
          <w:rStyle w:val="normaltextrun"/>
          <w:rFonts w:ascii="Arial" w:hAnsi="Arial" w:cs="Arial"/>
          <w:b/>
          <w:color w:val="8B3C45"/>
          <w:sz w:val="32"/>
          <w:szCs w:val="32"/>
        </w:rPr>
      </w:pPr>
      <w:r w:rsidRPr="00D23B44">
        <w:rPr>
          <w:rStyle w:val="normaltextrun"/>
          <w:rFonts w:ascii="Arial" w:hAnsi="Arial" w:cs="Arial"/>
          <w:b/>
          <w:color w:val="8B3C45"/>
          <w:sz w:val="32"/>
          <w:szCs w:val="32"/>
        </w:rPr>
        <w:t>Priority 4</w:t>
      </w:r>
      <w:r w:rsidRPr="00D23B44">
        <w:rPr>
          <w:sz w:val="32"/>
          <w:szCs w:val="32"/>
        </w:rPr>
        <w:t xml:space="preserve"> - </w:t>
      </w:r>
      <w:r w:rsidRPr="00D23B44">
        <w:rPr>
          <w:rStyle w:val="normaltextrun"/>
          <w:rFonts w:ascii="Arial" w:hAnsi="Arial" w:cs="Arial"/>
          <w:b/>
          <w:color w:val="8B3C45"/>
          <w:sz w:val="32"/>
          <w:szCs w:val="32"/>
        </w:rPr>
        <w:t>Support a strong, thriving, inclusive, and well-connected local economy</w:t>
      </w:r>
    </w:p>
    <w:p w14:paraId="2CA6B6BE" w14:textId="77777777" w:rsidR="00B0379D" w:rsidRDefault="00E75E6D" w:rsidP="00B0379D">
      <w:pPr>
        <w:spacing w:after="120" w:line="240" w:lineRule="auto"/>
        <w:rPr>
          <w:rStyle w:val="normaltextrun"/>
          <w:rFonts w:ascii="Arial" w:hAnsi="Arial" w:cs="Arial"/>
          <w:b/>
          <w:bCs/>
          <w:color w:val="8B3C45"/>
          <w:sz w:val="32"/>
          <w:szCs w:val="32"/>
        </w:rPr>
      </w:pPr>
      <w:r w:rsidRPr="0FCDD889">
        <w:rPr>
          <w:rStyle w:val="normaltextrun"/>
          <w:rFonts w:ascii="Arial" w:hAnsi="Arial" w:cs="Arial"/>
          <w:b/>
          <w:bCs/>
          <w:color w:val="8B3C45"/>
          <w:sz w:val="32"/>
          <w:szCs w:val="32"/>
        </w:rPr>
        <w:t>Tier 1</w:t>
      </w:r>
    </w:p>
    <w:tbl>
      <w:tblPr>
        <w:tblW w:w="0" w:type="auto"/>
        <w:tblLook w:val="04A0" w:firstRow="1" w:lastRow="0" w:firstColumn="1" w:lastColumn="0" w:noHBand="0" w:noVBand="1"/>
      </w:tblPr>
      <w:tblGrid>
        <w:gridCol w:w="2237"/>
        <w:gridCol w:w="776"/>
        <w:gridCol w:w="3115"/>
        <w:gridCol w:w="1379"/>
        <w:gridCol w:w="1146"/>
        <w:gridCol w:w="1034"/>
        <w:gridCol w:w="912"/>
        <w:gridCol w:w="978"/>
        <w:gridCol w:w="1057"/>
        <w:gridCol w:w="772"/>
        <w:gridCol w:w="1982"/>
      </w:tblGrid>
      <w:tr w:rsidR="006C78E7" w:rsidRPr="00663284" w14:paraId="3FB1B3E6" w14:textId="77777777" w:rsidTr="471C7DCF">
        <w:trPr>
          <w:trHeight w:val="450"/>
        </w:trPr>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2F7DA6F7"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Outcome</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027B1851"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Ref</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476092F3"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Performance Indicator</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5EF23E9B"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Reporting Frequency</w:t>
            </w:r>
          </w:p>
        </w:tc>
        <w:tc>
          <w:tcPr>
            <w:tcW w:w="0" w:type="auto"/>
            <w:vMerge w:val="restart"/>
            <w:tcBorders>
              <w:top w:val="single" w:sz="4" w:space="0" w:color="8B3C45"/>
              <w:left w:val="single" w:sz="4" w:space="0" w:color="8B3C45"/>
              <w:bottom w:val="single" w:sz="4" w:space="0" w:color="8B3C45"/>
              <w:right w:val="nil"/>
            </w:tcBorders>
            <w:shd w:val="clear" w:color="auto" w:fill="8B3C45"/>
            <w:vAlign w:val="center"/>
            <w:hideMark/>
          </w:tcPr>
          <w:p w14:paraId="0E58B859"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7CA4E15B"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23/24 Outturn</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5C6654A5"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24/25 Target</w:t>
            </w:r>
          </w:p>
        </w:tc>
        <w:tc>
          <w:tcPr>
            <w:tcW w:w="978" w:type="dxa"/>
            <w:tcBorders>
              <w:top w:val="single" w:sz="4" w:space="0" w:color="8B3C45"/>
              <w:left w:val="nil"/>
              <w:bottom w:val="single" w:sz="4" w:space="0" w:color="8B3C45"/>
              <w:right w:val="single" w:sz="4" w:space="0" w:color="8B3C45"/>
            </w:tcBorders>
            <w:shd w:val="clear" w:color="auto" w:fill="8B3C45"/>
            <w:vAlign w:val="center"/>
            <w:hideMark/>
          </w:tcPr>
          <w:p w14:paraId="53A27B6D"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Q1</w:t>
            </w:r>
          </w:p>
        </w:tc>
        <w:tc>
          <w:tcPr>
            <w:tcW w:w="1057" w:type="dxa"/>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2F217434"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3173C489"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Trend</w:t>
            </w:r>
          </w:p>
        </w:tc>
        <w:tc>
          <w:tcPr>
            <w:tcW w:w="0" w:type="auto"/>
            <w:vMerge w:val="restart"/>
            <w:tcBorders>
              <w:top w:val="single" w:sz="4" w:space="0" w:color="8B3C45"/>
              <w:left w:val="single" w:sz="4" w:space="0" w:color="8B3C45"/>
              <w:bottom w:val="single" w:sz="4" w:space="0" w:color="8B3C45"/>
              <w:right w:val="single" w:sz="4" w:space="0" w:color="8B3C45"/>
            </w:tcBorders>
            <w:shd w:val="clear" w:color="auto" w:fill="8B3C45"/>
            <w:vAlign w:val="center"/>
            <w:hideMark/>
          </w:tcPr>
          <w:p w14:paraId="700D0CD1"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Comparative Performance</w:t>
            </w:r>
          </w:p>
        </w:tc>
      </w:tr>
      <w:tr w:rsidR="00663284" w:rsidRPr="00663284" w14:paraId="1D56D34E" w14:textId="77777777" w:rsidTr="471C7DCF">
        <w:trPr>
          <w:trHeight w:val="600"/>
        </w:trPr>
        <w:tc>
          <w:tcPr>
            <w:tcW w:w="0" w:type="auto"/>
            <w:vMerge/>
            <w:vAlign w:val="center"/>
            <w:hideMark/>
          </w:tcPr>
          <w:p w14:paraId="1F4F4FB4"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40B17B5E"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73D689DB"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0873860E"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52EA855A"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0A0AA55D"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5576A831"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978" w:type="dxa"/>
            <w:tcBorders>
              <w:top w:val="nil"/>
              <w:left w:val="nil"/>
              <w:bottom w:val="single" w:sz="4" w:space="0" w:color="8B3C45"/>
              <w:right w:val="single" w:sz="4" w:space="0" w:color="8B3C45"/>
            </w:tcBorders>
            <w:shd w:val="clear" w:color="auto" w:fill="8B3C45"/>
            <w:vAlign w:val="center"/>
            <w:hideMark/>
          </w:tcPr>
          <w:p w14:paraId="7D8B7364" w14:textId="77777777" w:rsidR="00663284" w:rsidRPr="00663284" w:rsidRDefault="00663284" w:rsidP="00663284">
            <w:pPr>
              <w:spacing w:after="0" w:line="240" w:lineRule="auto"/>
              <w:jc w:val="center"/>
              <w:rPr>
                <w:rFonts w:ascii="Arial" w:eastAsia="Times New Roman" w:hAnsi="Arial" w:cs="Arial"/>
                <w:b/>
                <w:bCs/>
                <w:color w:val="FFFFFF"/>
                <w:sz w:val="20"/>
                <w:szCs w:val="20"/>
                <w:lang w:eastAsia="en-GB"/>
              </w:rPr>
            </w:pPr>
            <w:r w:rsidRPr="00663284">
              <w:rPr>
                <w:rFonts w:ascii="Arial" w:eastAsia="Times New Roman" w:hAnsi="Arial" w:cs="Arial"/>
                <w:b/>
                <w:bCs/>
                <w:color w:val="FFFFFF"/>
                <w:sz w:val="20"/>
                <w:szCs w:val="20"/>
                <w:lang w:eastAsia="en-GB"/>
              </w:rPr>
              <w:t>June</w:t>
            </w:r>
          </w:p>
        </w:tc>
        <w:tc>
          <w:tcPr>
            <w:tcW w:w="1057" w:type="dxa"/>
            <w:vMerge/>
            <w:vAlign w:val="center"/>
            <w:hideMark/>
          </w:tcPr>
          <w:p w14:paraId="70CA16B2"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13D5AFE4"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55D31198" w14:textId="77777777" w:rsidR="00663284" w:rsidRPr="00663284" w:rsidRDefault="00663284" w:rsidP="00663284">
            <w:pPr>
              <w:spacing w:after="0" w:line="240" w:lineRule="auto"/>
              <w:rPr>
                <w:rFonts w:ascii="Arial" w:eastAsia="Times New Roman" w:hAnsi="Arial" w:cs="Arial"/>
                <w:b/>
                <w:bCs/>
                <w:color w:val="FFFFFF"/>
                <w:sz w:val="20"/>
                <w:szCs w:val="20"/>
                <w:lang w:eastAsia="en-GB"/>
              </w:rPr>
            </w:pPr>
          </w:p>
        </w:tc>
      </w:tr>
      <w:tr w:rsidR="00663284" w:rsidRPr="00663284" w14:paraId="671AEE62" w14:textId="77777777" w:rsidTr="00CC4E1A">
        <w:trPr>
          <w:trHeight w:val="1560"/>
        </w:trPr>
        <w:tc>
          <w:tcPr>
            <w:tcW w:w="0" w:type="auto"/>
            <w:vMerge w:val="restart"/>
            <w:tcBorders>
              <w:top w:val="nil"/>
              <w:left w:val="single" w:sz="4" w:space="0" w:color="8B3C45"/>
              <w:bottom w:val="nil"/>
              <w:right w:val="single" w:sz="4" w:space="0" w:color="8B3C45"/>
            </w:tcBorders>
            <w:shd w:val="clear" w:color="auto" w:fill="DDB1B6"/>
            <w:vAlign w:val="center"/>
            <w:hideMark/>
          </w:tcPr>
          <w:p w14:paraId="26F51E12" w14:textId="77777777" w:rsidR="00663284" w:rsidRPr="00663284" w:rsidRDefault="00663284" w:rsidP="00663284">
            <w:pPr>
              <w:spacing w:after="0" w:line="240" w:lineRule="auto"/>
              <w:jc w:val="center"/>
              <w:rPr>
                <w:rFonts w:ascii="Arial" w:eastAsia="Times New Roman" w:hAnsi="Arial" w:cs="Arial"/>
                <w:b/>
                <w:bCs/>
                <w:color w:val="000000"/>
                <w:sz w:val="20"/>
                <w:szCs w:val="20"/>
                <w:lang w:eastAsia="en-GB"/>
              </w:rPr>
            </w:pPr>
            <w:r w:rsidRPr="00663284">
              <w:rPr>
                <w:rFonts w:ascii="Arial" w:eastAsia="Times New Roman" w:hAnsi="Arial" w:cs="Arial"/>
                <w:b/>
                <w:bCs/>
                <w:color w:val="000000"/>
                <w:sz w:val="20"/>
                <w:szCs w:val="20"/>
                <w:lang w:eastAsia="en-GB"/>
              </w:rPr>
              <w:t>Our local economy recovers and grows and people's skills and access to jobs improves</w:t>
            </w:r>
          </w:p>
        </w:tc>
        <w:tc>
          <w:tcPr>
            <w:tcW w:w="0" w:type="auto"/>
            <w:tcBorders>
              <w:top w:val="nil"/>
              <w:left w:val="nil"/>
              <w:bottom w:val="single" w:sz="4" w:space="0" w:color="8B3C45"/>
              <w:right w:val="single" w:sz="4" w:space="0" w:color="8B3C45"/>
            </w:tcBorders>
            <w:shd w:val="clear" w:color="auto" w:fill="auto"/>
            <w:vAlign w:val="center"/>
            <w:hideMark/>
          </w:tcPr>
          <w:p w14:paraId="248F5E00"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G&amp;P-003</w:t>
            </w:r>
          </w:p>
        </w:tc>
        <w:tc>
          <w:tcPr>
            <w:tcW w:w="0" w:type="auto"/>
            <w:tcBorders>
              <w:top w:val="nil"/>
              <w:left w:val="nil"/>
              <w:bottom w:val="single" w:sz="4" w:space="0" w:color="8B3C45"/>
              <w:right w:val="single" w:sz="4" w:space="0" w:color="8B3C45"/>
            </w:tcBorders>
            <w:shd w:val="clear" w:color="auto" w:fill="auto"/>
            <w:vAlign w:val="center"/>
            <w:hideMark/>
          </w:tcPr>
          <w:p w14:paraId="2B15E817" w14:textId="77777777" w:rsidR="00663284" w:rsidRPr="00663284" w:rsidRDefault="00663284" w:rsidP="00663284">
            <w:pPr>
              <w:spacing w:after="0" w:line="240" w:lineRule="auto"/>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Number of people supported into Employment, Education and Training through employment support schemes</w:t>
            </w:r>
          </w:p>
        </w:tc>
        <w:tc>
          <w:tcPr>
            <w:tcW w:w="0" w:type="auto"/>
            <w:tcBorders>
              <w:top w:val="nil"/>
              <w:left w:val="nil"/>
              <w:bottom w:val="single" w:sz="4" w:space="0" w:color="8B3C45"/>
              <w:right w:val="single" w:sz="4" w:space="0" w:color="8B3C45"/>
            </w:tcBorders>
            <w:shd w:val="clear" w:color="auto" w:fill="auto"/>
            <w:vAlign w:val="center"/>
            <w:hideMark/>
          </w:tcPr>
          <w:p w14:paraId="027575C7"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nil"/>
            </w:tcBorders>
            <w:shd w:val="clear" w:color="auto" w:fill="FFFFFF" w:themeFill="background1"/>
            <w:vAlign w:val="center"/>
            <w:hideMark/>
          </w:tcPr>
          <w:p w14:paraId="6F340857"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Higher</w:t>
            </w:r>
          </w:p>
        </w:tc>
        <w:tc>
          <w:tcPr>
            <w:tcW w:w="0" w:type="auto"/>
            <w:tcBorders>
              <w:top w:val="nil"/>
              <w:left w:val="single" w:sz="4" w:space="0" w:color="8B3C45"/>
              <w:bottom w:val="single" w:sz="4" w:space="0" w:color="8B3C45"/>
              <w:right w:val="single" w:sz="4" w:space="0" w:color="8B3C45"/>
            </w:tcBorders>
            <w:shd w:val="clear" w:color="auto" w:fill="auto"/>
            <w:vAlign w:val="center"/>
            <w:hideMark/>
          </w:tcPr>
          <w:p w14:paraId="3A30E287"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151</w:t>
            </w:r>
          </w:p>
        </w:tc>
        <w:tc>
          <w:tcPr>
            <w:tcW w:w="0" w:type="auto"/>
            <w:tcBorders>
              <w:top w:val="nil"/>
              <w:left w:val="nil"/>
              <w:bottom w:val="single" w:sz="4" w:space="0" w:color="8B3C45"/>
              <w:right w:val="single" w:sz="4" w:space="0" w:color="8B3C45"/>
            </w:tcBorders>
            <w:shd w:val="clear" w:color="auto" w:fill="auto"/>
            <w:vAlign w:val="center"/>
            <w:hideMark/>
          </w:tcPr>
          <w:p w14:paraId="006F1543" w14:textId="15F458E0" w:rsidR="00663284" w:rsidRPr="00663284" w:rsidRDefault="00D5337D" w:rsidP="0066328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106</w:t>
            </w:r>
          </w:p>
        </w:tc>
        <w:tc>
          <w:tcPr>
            <w:tcW w:w="978" w:type="dxa"/>
            <w:tcBorders>
              <w:top w:val="single" w:sz="4" w:space="0" w:color="5EAA41"/>
              <w:left w:val="single" w:sz="4" w:space="0" w:color="5EAA41"/>
              <w:bottom w:val="single" w:sz="4" w:space="0" w:color="5EAA41"/>
              <w:right w:val="single" w:sz="4" w:space="0" w:color="5EAA41"/>
            </w:tcBorders>
            <w:shd w:val="clear" w:color="auto" w:fill="92D050"/>
            <w:vAlign w:val="center"/>
            <w:hideMark/>
          </w:tcPr>
          <w:p w14:paraId="5549BFB6" w14:textId="188D2D4C" w:rsidR="00663284" w:rsidRPr="00663284" w:rsidRDefault="063F9BA4" w:rsidP="00663284">
            <w:pPr>
              <w:spacing w:after="0" w:line="240" w:lineRule="auto"/>
              <w:jc w:val="center"/>
              <w:rPr>
                <w:rFonts w:ascii="Arial" w:eastAsia="Times New Roman" w:hAnsi="Arial" w:cs="Arial"/>
                <w:color w:val="000000"/>
                <w:sz w:val="20"/>
                <w:szCs w:val="20"/>
                <w:lang w:eastAsia="en-GB"/>
              </w:rPr>
            </w:pPr>
            <w:r w:rsidRPr="200A0D8F">
              <w:rPr>
                <w:rFonts w:ascii="Arial" w:eastAsia="Times New Roman" w:hAnsi="Arial" w:cs="Arial"/>
                <w:color w:val="000000" w:themeColor="text1"/>
                <w:sz w:val="20"/>
                <w:szCs w:val="20"/>
                <w:lang w:eastAsia="en-GB"/>
              </w:rPr>
              <w:t>28</w:t>
            </w:r>
          </w:p>
        </w:tc>
        <w:tc>
          <w:tcPr>
            <w:tcW w:w="1057" w:type="dxa"/>
            <w:tcBorders>
              <w:top w:val="single" w:sz="4" w:space="0" w:color="8B3C45"/>
              <w:left w:val="single" w:sz="4" w:space="0" w:color="8B3C45"/>
              <w:bottom w:val="single" w:sz="4" w:space="0" w:color="8B3C45"/>
              <w:right w:val="single" w:sz="4" w:space="0" w:color="8B3C45"/>
            </w:tcBorders>
            <w:shd w:val="clear" w:color="auto" w:fill="FFFFFF" w:themeFill="background1"/>
            <w:vAlign w:val="center"/>
            <w:hideMark/>
          </w:tcPr>
          <w:p w14:paraId="5B0E9739" w14:textId="46D2480A" w:rsidR="00663284" w:rsidRPr="00CC4E1A" w:rsidRDefault="00CC4E1A" w:rsidP="00663284">
            <w:pPr>
              <w:spacing w:after="0" w:line="240" w:lineRule="auto"/>
              <w:jc w:val="center"/>
              <w:rPr>
                <w:rFonts w:ascii="Arial" w:eastAsia="Times New Roman" w:hAnsi="Arial" w:cs="Arial"/>
                <w:color w:val="D9D9D9"/>
                <w:sz w:val="20"/>
                <w:szCs w:val="20"/>
                <w:lang w:eastAsia="en-GB"/>
              </w:rPr>
            </w:pPr>
            <w:r w:rsidRPr="00CC4E1A">
              <w:rPr>
                <w:rFonts w:ascii="Arial" w:eastAsia="Times New Roman" w:hAnsi="Arial" w:cs="Arial"/>
                <w:color w:val="00B050"/>
                <w:sz w:val="20"/>
                <w:szCs w:val="20"/>
                <w:lang w:eastAsia="en-GB"/>
              </w:rPr>
              <w:t>7.69%</w:t>
            </w:r>
          </w:p>
        </w:tc>
        <w:tc>
          <w:tcPr>
            <w:tcW w:w="0" w:type="auto"/>
            <w:tcBorders>
              <w:top w:val="nil"/>
              <w:left w:val="nil"/>
              <w:bottom w:val="single" w:sz="4" w:space="0" w:color="8B3C45"/>
              <w:right w:val="single" w:sz="4" w:space="0" w:color="8B3C45"/>
            </w:tcBorders>
            <w:shd w:val="clear" w:color="auto" w:fill="FFFFFF" w:themeFill="background1"/>
            <w:vAlign w:val="center"/>
            <w:hideMark/>
          </w:tcPr>
          <w:p w14:paraId="59CC3B80" w14:textId="476D223F" w:rsidR="00663284" w:rsidRPr="00663284" w:rsidRDefault="0088174D"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noProof/>
                <w:color w:val="000000"/>
                <w:sz w:val="20"/>
                <w:szCs w:val="20"/>
                <w:lang w:eastAsia="en-GB"/>
              </w:rPr>
              <w:drawing>
                <wp:anchor distT="0" distB="0" distL="114300" distR="114300" simplePos="0" relativeHeight="251658340" behindDoc="0" locked="0" layoutInCell="1" allowOverlap="1" wp14:anchorId="40C7B79C" wp14:editId="703F0DBF">
                  <wp:simplePos x="0" y="0"/>
                  <wp:positionH relativeFrom="column">
                    <wp:posOffset>60325</wp:posOffset>
                  </wp:positionH>
                  <wp:positionV relativeFrom="paragraph">
                    <wp:posOffset>81915</wp:posOffset>
                  </wp:positionV>
                  <wp:extent cx="298450" cy="241300"/>
                  <wp:effectExtent l="0" t="0" r="6350" b="6350"/>
                  <wp:wrapNone/>
                  <wp:docPr id="97299919" name="Picture 68" descr="P1602C42T31#y1">
                    <a:extLst xmlns:a="http://schemas.openxmlformats.org/drawingml/2006/main">
                      <a:ext uri="{FF2B5EF4-FFF2-40B4-BE49-F238E27FC236}">
                        <a16:creationId xmlns:a16="http://schemas.microsoft.com/office/drawing/2014/main" id="{3F4D27C6-AA53-4073-8819-1A9008E30922}"/>
                      </a:ext>
                      <a:ext uri="{147F2762-F138-4A5C-976F-8EAC2B608ADB}">
                        <a16:predDERef xmlns:a16="http://schemas.microsoft.com/office/drawing/2014/main" pred="{239C59B3-8778-406F-B256-673D8C8C75EC}"/>
                      </a:ext>
                    </a:extLst>
                  </wp:docPr>
                  <wp:cNvGraphicFramePr/>
                  <a:graphic xmlns:a="http://schemas.openxmlformats.org/drawingml/2006/main">
                    <a:graphicData uri="http://schemas.openxmlformats.org/drawingml/2006/picture">
                      <pic:pic xmlns:pic="http://schemas.openxmlformats.org/drawingml/2006/picture">
                        <pic:nvPicPr>
                          <pic:cNvPr id="18" name="Picture 54" descr="P1602C42T31#y1">
                            <a:extLst>
                              <a:ext uri="{FF2B5EF4-FFF2-40B4-BE49-F238E27FC236}">
                                <a16:creationId xmlns:a16="http://schemas.microsoft.com/office/drawing/2014/main" id="{3F4D27C6-AA53-4073-8819-1A9008E30922}"/>
                              </a:ext>
                              <a:ext uri="{147F2762-F138-4A5C-976F-8EAC2B608ADB}">
                                <a16:predDERef xmlns:a16="http://schemas.microsoft.com/office/drawing/2014/main" pred="{239C59B3-8778-406F-B256-673D8C8C75E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8B3C45"/>
              <w:right w:val="single" w:sz="4" w:space="0" w:color="8B3C45"/>
            </w:tcBorders>
            <w:shd w:val="clear" w:color="auto" w:fill="auto"/>
            <w:vAlign w:val="center"/>
            <w:hideMark/>
          </w:tcPr>
          <w:p w14:paraId="04B677B4"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N/A</w:t>
            </w:r>
          </w:p>
        </w:tc>
      </w:tr>
      <w:tr w:rsidR="00663284" w:rsidRPr="00663284" w14:paraId="5170FA98" w14:textId="77777777" w:rsidTr="471C7DCF">
        <w:trPr>
          <w:trHeight w:val="1560"/>
        </w:trPr>
        <w:tc>
          <w:tcPr>
            <w:tcW w:w="0" w:type="auto"/>
            <w:vMerge/>
            <w:vAlign w:val="center"/>
            <w:hideMark/>
          </w:tcPr>
          <w:p w14:paraId="0F381612" w14:textId="77777777" w:rsidR="00663284" w:rsidRPr="00663284" w:rsidRDefault="00663284" w:rsidP="00663284">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75B37CAA"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G&amp;P-005A</w:t>
            </w:r>
          </w:p>
        </w:tc>
        <w:tc>
          <w:tcPr>
            <w:tcW w:w="0" w:type="auto"/>
            <w:tcBorders>
              <w:top w:val="nil"/>
              <w:left w:val="nil"/>
              <w:bottom w:val="single" w:sz="4" w:space="0" w:color="8B3C45"/>
              <w:right w:val="single" w:sz="4" w:space="0" w:color="8B3C45"/>
            </w:tcBorders>
            <w:shd w:val="clear" w:color="auto" w:fill="auto"/>
            <w:vAlign w:val="center"/>
            <w:hideMark/>
          </w:tcPr>
          <w:p w14:paraId="01C27495" w14:textId="77777777" w:rsidR="00663284" w:rsidRPr="00663284" w:rsidRDefault="00663284" w:rsidP="00663284">
            <w:pPr>
              <w:spacing w:after="0" w:line="240" w:lineRule="auto"/>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Rate of employment (working age)</w:t>
            </w:r>
          </w:p>
        </w:tc>
        <w:tc>
          <w:tcPr>
            <w:tcW w:w="0" w:type="auto"/>
            <w:tcBorders>
              <w:top w:val="nil"/>
              <w:left w:val="nil"/>
              <w:bottom w:val="single" w:sz="4" w:space="0" w:color="8B3C45"/>
              <w:right w:val="single" w:sz="4" w:space="0" w:color="8B3C45"/>
            </w:tcBorders>
            <w:shd w:val="clear" w:color="auto" w:fill="auto"/>
            <w:vAlign w:val="center"/>
            <w:hideMark/>
          </w:tcPr>
          <w:p w14:paraId="1BFF1E1F"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nil"/>
            </w:tcBorders>
            <w:shd w:val="clear" w:color="auto" w:fill="FFFFFF" w:themeFill="background1"/>
            <w:vAlign w:val="center"/>
            <w:hideMark/>
          </w:tcPr>
          <w:p w14:paraId="25334243"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Higher</w:t>
            </w:r>
          </w:p>
        </w:tc>
        <w:tc>
          <w:tcPr>
            <w:tcW w:w="0" w:type="auto"/>
            <w:tcBorders>
              <w:top w:val="single" w:sz="4" w:space="0" w:color="5EAA41"/>
              <w:left w:val="single" w:sz="4" w:space="0" w:color="5EAA41"/>
              <w:bottom w:val="single" w:sz="4" w:space="0" w:color="5EAA41"/>
              <w:right w:val="single" w:sz="4" w:space="0" w:color="5EAA41"/>
            </w:tcBorders>
            <w:shd w:val="clear" w:color="auto" w:fill="FF0000"/>
            <w:vAlign w:val="center"/>
            <w:hideMark/>
          </w:tcPr>
          <w:p w14:paraId="3A81DB42"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74.4%</w:t>
            </w:r>
          </w:p>
        </w:tc>
        <w:tc>
          <w:tcPr>
            <w:tcW w:w="0" w:type="auto"/>
            <w:tcBorders>
              <w:top w:val="nil"/>
              <w:left w:val="single" w:sz="4" w:space="0" w:color="8B3C45"/>
              <w:bottom w:val="single" w:sz="4" w:space="0" w:color="8B3C45"/>
              <w:right w:val="single" w:sz="4" w:space="0" w:color="8B3C45"/>
            </w:tcBorders>
            <w:shd w:val="clear" w:color="auto" w:fill="auto"/>
            <w:vAlign w:val="center"/>
            <w:hideMark/>
          </w:tcPr>
          <w:p w14:paraId="22C5416E"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78%</w:t>
            </w:r>
          </w:p>
        </w:tc>
        <w:tc>
          <w:tcPr>
            <w:tcW w:w="978" w:type="dxa"/>
            <w:tcBorders>
              <w:top w:val="single" w:sz="4" w:space="0" w:color="5EAA41"/>
              <w:left w:val="single" w:sz="4" w:space="0" w:color="5EAA41"/>
              <w:bottom w:val="single" w:sz="4" w:space="0" w:color="5EAA41"/>
              <w:right w:val="single" w:sz="4" w:space="0" w:color="5EAA41"/>
            </w:tcBorders>
            <w:shd w:val="clear" w:color="auto" w:fill="FFC000"/>
            <w:vAlign w:val="center"/>
            <w:hideMark/>
          </w:tcPr>
          <w:p w14:paraId="37944A97"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74.4</w:t>
            </w:r>
          </w:p>
        </w:tc>
        <w:tc>
          <w:tcPr>
            <w:tcW w:w="1057" w:type="dxa"/>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10703C3E" w14:textId="77777777" w:rsidR="00663284" w:rsidRPr="00DB6318" w:rsidRDefault="00663284" w:rsidP="00663284">
            <w:pPr>
              <w:spacing w:after="0" w:line="240" w:lineRule="auto"/>
              <w:jc w:val="center"/>
              <w:rPr>
                <w:rFonts w:ascii="Arial" w:eastAsia="Times New Roman" w:hAnsi="Arial" w:cs="Arial"/>
                <w:sz w:val="20"/>
                <w:szCs w:val="20"/>
                <w:lang w:eastAsia="en-GB"/>
              </w:rPr>
            </w:pPr>
            <w:r w:rsidRPr="00DB6318">
              <w:rPr>
                <w:rFonts w:ascii="Arial" w:eastAsia="Times New Roman" w:hAnsi="Arial" w:cs="Arial"/>
                <w:sz w:val="20"/>
                <w:szCs w:val="20"/>
                <w:lang w:eastAsia="en-GB"/>
              </w:rPr>
              <w:t>-4.62%</w:t>
            </w:r>
          </w:p>
        </w:tc>
        <w:tc>
          <w:tcPr>
            <w:tcW w:w="0" w:type="auto"/>
            <w:tcBorders>
              <w:top w:val="nil"/>
              <w:left w:val="nil"/>
              <w:bottom w:val="single" w:sz="4" w:space="0" w:color="8B3C45"/>
              <w:right w:val="single" w:sz="4" w:space="0" w:color="8B3C45"/>
            </w:tcBorders>
            <w:shd w:val="clear" w:color="auto" w:fill="FFFFFF" w:themeFill="background1"/>
            <w:vAlign w:val="center"/>
            <w:hideMark/>
          </w:tcPr>
          <w:p w14:paraId="3CC3D4B7" w14:textId="03E679CA"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noProof/>
                <w:color w:val="000000"/>
                <w:sz w:val="20"/>
                <w:szCs w:val="20"/>
                <w:lang w:eastAsia="en-GB"/>
              </w:rPr>
              <w:drawing>
                <wp:anchor distT="0" distB="0" distL="114300" distR="114300" simplePos="0" relativeHeight="251658294" behindDoc="0" locked="0" layoutInCell="1" allowOverlap="1" wp14:anchorId="3CA3C2FD" wp14:editId="7C50D7FD">
                  <wp:simplePos x="0" y="0"/>
                  <wp:positionH relativeFrom="column">
                    <wp:posOffset>65405</wp:posOffset>
                  </wp:positionH>
                  <wp:positionV relativeFrom="paragraph">
                    <wp:posOffset>-30480</wp:posOffset>
                  </wp:positionV>
                  <wp:extent cx="260350" cy="247650"/>
                  <wp:effectExtent l="0" t="0" r="6350" b="0"/>
                  <wp:wrapNone/>
                  <wp:docPr id="339505650" name="Picture 69" descr="P1590C32T31#y1">
                    <a:extLst xmlns:a="http://schemas.openxmlformats.org/drawingml/2006/main">
                      <a:ext uri="{FF2B5EF4-FFF2-40B4-BE49-F238E27FC236}">
                        <a16:creationId xmlns:a16="http://schemas.microsoft.com/office/drawing/2014/main" id="{8269B6AE-6FF7-42A2-B9FB-E116A986024C}"/>
                      </a:ext>
                      <a:ext uri="{147F2762-F138-4A5C-976F-8EAC2B608ADB}">
                        <a16:predDERef xmlns:a16="http://schemas.microsoft.com/office/drawing/2014/main" pred="{42F21487-07A2-40F0-965E-6A2B590F545A}"/>
                      </a:ext>
                    </a:extLst>
                  </wp:docPr>
                  <wp:cNvGraphicFramePr/>
                  <a:graphic xmlns:a="http://schemas.openxmlformats.org/drawingml/2006/main">
                    <a:graphicData uri="http://schemas.openxmlformats.org/drawingml/2006/picture">
                      <pic:pic xmlns:pic="http://schemas.openxmlformats.org/drawingml/2006/picture">
                        <pic:nvPicPr>
                          <pic:cNvPr id="339505650" name="Picture 55" descr="P1590C32T31#y1">
                            <a:extLst>
                              <a:ext uri="{FF2B5EF4-FFF2-40B4-BE49-F238E27FC236}">
                                <a16:creationId xmlns:a16="http://schemas.microsoft.com/office/drawing/2014/main" id="{8269B6AE-6FF7-42A2-B9FB-E116A986024C}"/>
                              </a:ext>
                              <a:ext uri="{147F2762-F138-4A5C-976F-8EAC2B608ADB}">
                                <a16:predDERef xmlns:a16="http://schemas.microsoft.com/office/drawing/2014/main" pred="{42F21487-07A2-40F0-965E-6A2B590F545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603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8B3C45"/>
              <w:bottom w:val="single" w:sz="4" w:space="0" w:color="8B3C45"/>
              <w:right w:val="single" w:sz="4" w:space="0" w:color="8B3C45"/>
            </w:tcBorders>
            <w:shd w:val="clear" w:color="auto" w:fill="FFFF00"/>
            <w:vAlign w:val="center"/>
            <w:hideMark/>
          </w:tcPr>
          <w:p w14:paraId="67054D3D" w14:textId="7238B0E0"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2nd Quartile Eng Av. 76  LA Av. 74.2 (Jan - Dec 2023)</w:t>
            </w:r>
          </w:p>
        </w:tc>
      </w:tr>
      <w:tr w:rsidR="00663284" w:rsidRPr="00663284" w14:paraId="542B0DA4" w14:textId="77777777" w:rsidTr="471C7DCF">
        <w:trPr>
          <w:trHeight w:val="1560"/>
        </w:trPr>
        <w:tc>
          <w:tcPr>
            <w:tcW w:w="0" w:type="auto"/>
            <w:vMerge/>
            <w:vAlign w:val="center"/>
            <w:hideMark/>
          </w:tcPr>
          <w:p w14:paraId="764A8676" w14:textId="77777777" w:rsidR="00663284" w:rsidRPr="00663284" w:rsidRDefault="00663284" w:rsidP="00663284">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241556A1"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G&amp;P-005B</w:t>
            </w:r>
          </w:p>
        </w:tc>
        <w:tc>
          <w:tcPr>
            <w:tcW w:w="0" w:type="auto"/>
            <w:tcBorders>
              <w:top w:val="nil"/>
              <w:left w:val="nil"/>
              <w:bottom w:val="single" w:sz="4" w:space="0" w:color="8B3C45"/>
              <w:right w:val="single" w:sz="4" w:space="0" w:color="8B3C45"/>
            </w:tcBorders>
            <w:shd w:val="clear" w:color="auto" w:fill="auto"/>
            <w:vAlign w:val="center"/>
            <w:hideMark/>
          </w:tcPr>
          <w:p w14:paraId="61A91868" w14:textId="77777777" w:rsidR="00663284" w:rsidRPr="00663284" w:rsidRDefault="00663284" w:rsidP="00663284">
            <w:pPr>
              <w:spacing w:after="0" w:line="240" w:lineRule="auto"/>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Number of claimants 18-24 as a proportion of all residents of the same age</w:t>
            </w:r>
          </w:p>
        </w:tc>
        <w:tc>
          <w:tcPr>
            <w:tcW w:w="0" w:type="auto"/>
            <w:tcBorders>
              <w:top w:val="nil"/>
              <w:left w:val="nil"/>
              <w:bottom w:val="single" w:sz="4" w:space="0" w:color="8B3C45"/>
              <w:right w:val="single" w:sz="4" w:space="0" w:color="8B3C45"/>
            </w:tcBorders>
            <w:shd w:val="clear" w:color="auto" w:fill="auto"/>
            <w:vAlign w:val="center"/>
            <w:hideMark/>
          </w:tcPr>
          <w:p w14:paraId="2F1A3748"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nil"/>
            </w:tcBorders>
            <w:shd w:val="clear" w:color="auto" w:fill="FFFFFF" w:themeFill="background1"/>
            <w:vAlign w:val="center"/>
            <w:hideMark/>
          </w:tcPr>
          <w:p w14:paraId="1BC79568"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Lower</w:t>
            </w:r>
          </w:p>
        </w:tc>
        <w:tc>
          <w:tcPr>
            <w:tcW w:w="0" w:type="auto"/>
            <w:tcBorders>
              <w:top w:val="nil"/>
              <w:left w:val="single" w:sz="4" w:space="0" w:color="5EAA41"/>
              <w:bottom w:val="single" w:sz="4" w:space="0" w:color="5EAA41"/>
              <w:right w:val="single" w:sz="4" w:space="0" w:color="5EAA41"/>
            </w:tcBorders>
            <w:shd w:val="clear" w:color="auto" w:fill="FF0000"/>
            <w:vAlign w:val="center"/>
            <w:hideMark/>
          </w:tcPr>
          <w:p w14:paraId="52BB7EDD"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8%</w:t>
            </w:r>
          </w:p>
        </w:tc>
        <w:tc>
          <w:tcPr>
            <w:tcW w:w="0" w:type="auto"/>
            <w:tcBorders>
              <w:top w:val="nil"/>
              <w:left w:val="single" w:sz="4" w:space="0" w:color="8B3C45"/>
              <w:bottom w:val="single" w:sz="4" w:space="0" w:color="8B3C45"/>
              <w:right w:val="single" w:sz="4" w:space="0" w:color="8B3C45"/>
            </w:tcBorders>
            <w:shd w:val="clear" w:color="auto" w:fill="auto"/>
            <w:vAlign w:val="center"/>
            <w:hideMark/>
          </w:tcPr>
          <w:p w14:paraId="7DFEB415"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7.7%</w:t>
            </w:r>
          </w:p>
        </w:tc>
        <w:tc>
          <w:tcPr>
            <w:tcW w:w="978" w:type="dxa"/>
            <w:tcBorders>
              <w:top w:val="single" w:sz="4" w:space="0" w:color="5EAA41"/>
              <w:left w:val="single" w:sz="4" w:space="0" w:color="5EAA41"/>
              <w:bottom w:val="single" w:sz="4" w:space="0" w:color="5EAA41"/>
              <w:right w:val="single" w:sz="4" w:space="0" w:color="5EAA41"/>
            </w:tcBorders>
            <w:shd w:val="clear" w:color="auto" w:fill="FFC000"/>
            <w:vAlign w:val="center"/>
            <w:hideMark/>
          </w:tcPr>
          <w:p w14:paraId="163A06A7"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8</w:t>
            </w:r>
          </w:p>
        </w:tc>
        <w:tc>
          <w:tcPr>
            <w:tcW w:w="1057" w:type="dxa"/>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579BAB60" w14:textId="77777777" w:rsidR="00663284" w:rsidRPr="00DB6318" w:rsidRDefault="00663284" w:rsidP="00663284">
            <w:pPr>
              <w:spacing w:after="0" w:line="240" w:lineRule="auto"/>
              <w:jc w:val="center"/>
              <w:rPr>
                <w:rFonts w:ascii="Arial" w:eastAsia="Times New Roman" w:hAnsi="Arial" w:cs="Arial"/>
                <w:sz w:val="20"/>
                <w:szCs w:val="20"/>
                <w:lang w:eastAsia="en-GB"/>
              </w:rPr>
            </w:pPr>
            <w:r w:rsidRPr="00DB6318">
              <w:rPr>
                <w:rFonts w:ascii="Arial" w:eastAsia="Times New Roman" w:hAnsi="Arial" w:cs="Arial"/>
                <w:sz w:val="20"/>
                <w:szCs w:val="20"/>
                <w:lang w:eastAsia="en-GB"/>
              </w:rPr>
              <w:t>-3.9%</w:t>
            </w:r>
          </w:p>
        </w:tc>
        <w:tc>
          <w:tcPr>
            <w:tcW w:w="0" w:type="auto"/>
            <w:tcBorders>
              <w:top w:val="nil"/>
              <w:left w:val="nil"/>
              <w:bottom w:val="single" w:sz="4" w:space="0" w:color="8B3C45"/>
              <w:right w:val="single" w:sz="4" w:space="0" w:color="8B3C45"/>
            </w:tcBorders>
            <w:shd w:val="clear" w:color="auto" w:fill="FFFFFF" w:themeFill="background1"/>
            <w:vAlign w:val="center"/>
            <w:hideMark/>
          </w:tcPr>
          <w:p w14:paraId="0A0A732C" w14:textId="2A76C58E"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noProof/>
                <w:color w:val="000000"/>
                <w:sz w:val="20"/>
                <w:szCs w:val="20"/>
                <w:lang w:eastAsia="en-GB"/>
              </w:rPr>
              <w:drawing>
                <wp:anchor distT="0" distB="0" distL="114300" distR="114300" simplePos="0" relativeHeight="251658296" behindDoc="0" locked="0" layoutInCell="1" allowOverlap="1" wp14:anchorId="717C3AD3" wp14:editId="7153FF31">
                  <wp:simplePos x="0" y="0"/>
                  <wp:positionH relativeFrom="column">
                    <wp:posOffset>30480</wp:posOffset>
                  </wp:positionH>
                  <wp:positionV relativeFrom="paragraph">
                    <wp:posOffset>102235</wp:posOffset>
                  </wp:positionV>
                  <wp:extent cx="298450" cy="241300"/>
                  <wp:effectExtent l="0" t="0" r="6350" b="6350"/>
                  <wp:wrapNone/>
                  <wp:docPr id="18" name="Picture 70" descr="P1602C42T31#y1">
                    <a:extLst xmlns:a="http://schemas.openxmlformats.org/drawingml/2006/main">
                      <a:ext uri="{FF2B5EF4-FFF2-40B4-BE49-F238E27FC236}">
                        <a16:creationId xmlns:a16="http://schemas.microsoft.com/office/drawing/2014/main" id="{3F4D27C6-AA53-4073-8819-1A9008E30922}"/>
                      </a:ext>
                      <a:ext uri="{147F2762-F138-4A5C-976F-8EAC2B608ADB}">
                        <a16:predDERef xmlns:a16="http://schemas.microsoft.com/office/drawing/2014/main" pred="{239C59B3-8778-406F-B256-673D8C8C75EC}"/>
                      </a:ext>
                    </a:extLst>
                  </wp:docPr>
                  <wp:cNvGraphicFramePr/>
                  <a:graphic xmlns:a="http://schemas.openxmlformats.org/drawingml/2006/main">
                    <a:graphicData uri="http://schemas.openxmlformats.org/drawingml/2006/picture">
                      <pic:pic xmlns:pic="http://schemas.openxmlformats.org/drawingml/2006/picture">
                        <pic:nvPicPr>
                          <pic:cNvPr id="18" name="Picture 54" descr="P1602C42T31#y1">
                            <a:extLst>
                              <a:ext uri="{FF2B5EF4-FFF2-40B4-BE49-F238E27FC236}">
                                <a16:creationId xmlns:a16="http://schemas.microsoft.com/office/drawing/2014/main" id="{3F4D27C6-AA53-4073-8819-1A9008E30922}"/>
                              </a:ext>
                              <a:ext uri="{147F2762-F138-4A5C-976F-8EAC2B608ADB}">
                                <a16:predDERef xmlns:a16="http://schemas.microsoft.com/office/drawing/2014/main" pred="{239C59B3-8778-406F-B256-673D8C8C75E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8B3C45"/>
              <w:bottom w:val="single" w:sz="4" w:space="0" w:color="8B3C45"/>
              <w:right w:val="single" w:sz="4" w:space="0" w:color="8B3C45"/>
            </w:tcBorders>
            <w:shd w:val="clear" w:color="auto" w:fill="FF0000"/>
            <w:vAlign w:val="center"/>
            <w:hideMark/>
          </w:tcPr>
          <w:p w14:paraId="324D2256" w14:textId="2EFC91EC"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4th Quartile Eng Av. 5.2  LA Av. 7.4 (Apr 2024)</w:t>
            </w:r>
          </w:p>
        </w:tc>
      </w:tr>
      <w:tr w:rsidR="00663284" w:rsidRPr="00663284" w14:paraId="394BE7DF" w14:textId="77777777" w:rsidTr="471C7DCF">
        <w:trPr>
          <w:trHeight w:val="1560"/>
        </w:trPr>
        <w:tc>
          <w:tcPr>
            <w:tcW w:w="0" w:type="auto"/>
            <w:vMerge/>
            <w:vAlign w:val="center"/>
            <w:hideMark/>
          </w:tcPr>
          <w:p w14:paraId="12B72299" w14:textId="77777777" w:rsidR="00663284" w:rsidRPr="00663284" w:rsidRDefault="00663284" w:rsidP="00663284">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16B70F24"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G&amp;P-007</w:t>
            </w:r>
          </w:p>
        </w:tc>
        <w:tc>
          <w:tcPr>
            <w:tcW w:w="0" w:type="auto"/>
            <w:tcBorders>
              <w:top w:val="nil"/>
              <w:left w:val="nil"/>
              <w:bottom w:val="single" w:sz="4" w:space="0" w:color="8B3C45"/>
              <w:right w:val="single" w:sz="4" w:space="0" w:color="8B3C45"/>
            </w:tcBorders>
            <w:shd w:val="clear" w:color="auto" w:fill="auto"/>
            <w:vAlign w:val="center"/>
            <w:hideMark/>
          </w:tcPr>
          <w:p w14:paraId="07CC9D77" w14:textId="6AC8655E" w:rsidR="00663284" w:rsidRPr="00663284" w:rsidRDefault="00663284" w:rsidP="00663284">
            <w:pPr>
              <w:spacing w:after="0" w:line="240" w:lineRule="auto"/>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 xml:space="preserve">Percentage of residents economically inactive due to long-term sickness as a percentage of all economically inactive residents (16-64 </w:t>
            </w:r>
            <w:r w:rsidR="008C23AD" w:rsidRPr="00663284">
              <w:rPr>
                <w:rFonts w:ascii="Arial" w:eastAsia="Times New Roman" w:hAnsi="Arial" w:cs="Arial"/>
                <w:color w:val="000000"/>
                <w:sz w:val="20"/>
                <w:szCs w:val="20"/>
                <w:lang w:eastAsia="en-GB"/>
              </w:rPr>
              <w:t>yrs.</w:t>
            </w:r>
            <w:r w:rsidRPr="00663284">
              <w:rPr>
                <w:rFonts w:ascii="Arial" w:eastAsia="Times New Roman" w:hAnsi="Arial" w:cs="Arial"/>
                <w:color w:val="000000"/>
                <w:sz w:val="20"/>
                <w:szCs w:val="20"/>
                <w:lang w:eastAsia="en-GB"/>
              </w:rPr>
              <w:t>).</w:t>
            </w:r>
          </w:p>
        </w:tc>
        <w:tc>
          <w:tcPr>
            <w:tcW w:w="0" w:type="auto"/>
            <w:tcBorders>
              <w:top w:val="nil"/>
              <w:left w:val="nil"/>
              <w:bottom w:val="single" w:sz="4" w:space="0" w:color="8B3C45"/>
              <w:right w:val="single" w:sz="4" w:space="0" w:color="8B3C45"/>
            </w:tcBorders>
            <w:shd w:val="clear" w:color="auto" w:fill="auto"/>
            <w:vAlign w:val="center"/>
            <w:hideMark/>
          </w:tcPr>
          <w:p w14:paraId="4FC19959"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nil"/>
            </w:tcBorders>
            <w:shd w:val="clear" w:color="auto" w:fill="FFFFFF" w:themeFill="background1"/>
            <w:vAlign w:val="center"/>
            <w:hideMark/>
          </w:tcPr>
          <w:p w14:paraId="5124D13C"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Lower</w:t>
            </w:r>
          </w:p>
        </w:tc>
        <w:tc>
          <w:tcPr>
            <w:tcW w:w="0" w:type="auto"/>
            <w:tcBorders>
              <w:top w:val="single" w:sz="4" w:space="0" w:color="5EAA41"/>
              <w:left w:val="single" w:sz="4" w:space="0" w:color="5EAA41"/>
              <w:bottom w:val="single" w:sz="4" w:space="0" w:color="5EAA41"/>
              <w:right w:val="single" w:sz="4" w:space="0" w:color="5EAA41"/>
            </w:tcBorders>
            <w:shd w:val="clear" w:color="auto" w:fill="FF0000"/>
            <w:vAlign w:val="center"/>
            <w:hideMark/>
          </w:tcPr>
          <w:p w14:paraId="0C7BC5D7" w14:textId="77777777"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44.5%</w:t>
            </w:r>
          </w:p>
        </w:tc>
        <w:tc>
          <w:tcPr>
            <w:tcW w:w="0" w:type="auto"/>
            <w:tcBorders>
              <w:top w:val="nil"/>
              <w:left w:val="single" w:sz="4" w:space="0" w:color="8B3C45"/>
              <w:bottom w:val="single" w:sz="4" w:space="0" w:color="8B3C45"/>
              <w:right w:val="single" w:sz="4" w:space="0" w:color="8B3C45"/>
            </w:tcBorders>
            <w:shd w:val="clear" w:color="auto" w:fill="auto"/>
            <w:vAlign w:val="center"/>
            <w:hideMark/>
          </w:tcPr>
          <w:p w14:paraId="036170D2" w14:textId="77777777"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45%</w:t>
            </w:r>
          </w:p>
        </w:tc>
        <w:tc>
          <w:tcPr>
            <w:tcW w:w="978" w:type="dxa"/>
            <w:tcBorders>
              <w:top w:val="single" w:sz="4" w:space="0" w:color="5EAA41"/>
              <w:left w:val="single" w:sz="4" w:space="0" w:color="5EAA41"/>
              <w:bottom w:val="single" w:sz="4" w:space="0" w:color="5EAA41"/>
              <w:right w:val="single" w:sz="4" w:space="0" w:color="5EAA41"/>
            </w:tcBorders>
            <w:shd w:val="clear" w:color="auto" w:fill="92D050"/>
            <w:vAlign w:val="center"/>
            <w:hideMark/>
          </w:tcPr>
          <w:p w14:paraId="31556E07" w14:textId="36B76EFE"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color w:val="000000"/>
                <w:sz w:val="20"/>
                <w:szCs w:val="20"/>
                <w:lang w:eastAsia="en-GB"/>
              </w:rPr>
              <w:t>4</w:t>
            </w:r>
            <w:r w:rsidR="00E17D14">
              <w:rPr>
                <w:rFonts w:ascii="Arial" w:eastAsia="Times New Roman" w:hAnsi="Arial" w:cs="Arial"/>
                <w:color w:val="000000"/>
                <w:sz w:val="20"/>
                <w:szCs w:val="20"/>
                <w:lang w:eastAsia="en-GB"/>
              </w:rPr>
              <w:t>4</w:t>
            </w:r>
            <w:r w:rsidRPr="00663284">
              <w:rPr>
                <w:rFonts w:ascii="Arial" w:eastAsia="Times New Roman" w:hAnsi="Arial" w:cs="Arial"/>
                <w:color w:val="000000"/>
                <w:sz w:val="20"/>
                <w:szCs w:val="20"/>
                <w:lang w:eastAsia="en-GB"/>
              </w:rPr>
              <w:t>.5</w:t>
            </w:r>
          </w:p>
        </w:tc>
        <w:tc>
          <w:tcPr>
            <w:tcW w:w="1057" w:type="dxa"/>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6086E269" w14:textId="77777777" w:rsidR="00663284" w:rsidRPr="00663284" w:rsidRDefault="00663284" w:rsidP="00663284">
            <w:pPr>
              <w:spacing w:after="0" w:line="240" w:lineRule="auto"/>
              <w:jc w:val="center"/>
              <w:rPr>
                <w:rFonts w:ascii="Arial" w:eastAsia="Times New Roman" w:hAnsi="Arial" w:cs="Arial"/>
                <w:color w:val="00B050"/>
                <w:sz w:val="20"/>
                <w:szCs w:val="20"/>
                <w:lang w:eastAsia="en-GB"/>
              </w:rPr>
            </w:pPr>
            <w:r w:rsidRPr="00663284">
              <w:rPr>
                <w:rFonts w:ascii="Arial" w:eastAsia="Times New Roman" w:hAnsi="Arial" w:cs="Arial"/>
                <w:color w:val="00B050"/>
                <w:sz w:val="20"/>
                <w:szCs w:val="20"/>
                <w:lang w:eastAsia="en-GB"/>
              </w:rPr>
              <w:t>1.11%</w:t>
            </w:r>
          </w:p>
        </w:tc>
        <w:tc>
          <w:tcPr>
            <w:tcW w:w="0" w:type="auto"/>
            <w:tcBorders>
              <w:top w:val="nil"/>
              <w:left w:val="nil"/>
              <w:bottom w:val="single" w:sz="4" w:space="0" w:color="8B3C45"/>
              <w:right w:val="single" w:sz="4" w:space="0" w:color="8B3C45"/>
            </w:tcBorders>
            <w:shd w:val="clear" w:color="auto" w:fill="FFFFFF" w:themeFill="background1"/>
            <w:vAlign w:val="center"/>
            <w:hideMark/>
          </w:tcPr>
          <w:p w14:paraId="31A8AEA3" w14:textId="5D4E0DE9" w:rsidR="00663284" w:rsidRPr="00663284" w:rsidRDefault="00663284" w:rsidP="00663284">
            <w:pPr>
              <w:spacing w:after="0" w:line="240" w:lineRule="auto"/>
              <w:jc w:val="center"/>
              <w:rPr>
                <w:rFonts w:ascii="Arial" w:eastAsia="Times New Roman" w:hAnsi="Arial" w:cs="Arial"/>
                <w:color w:val="000000"/>
                <w:sz w:val="20"/>
                <w:szCs w:val="20"/>
                <w:lang w:eastAsia="en-GB"/>
              </w:rPr>
            </w:pPr>
            <w:r w:rsidRPr="00663284">
              <w:rPr>
                <w:rFonts w:ascii="Arial" w:eastAsia="Times New Roman" w:hAnsi="Arial" w:cs="Arial"/>
                <w:noProof/>
                <w:color w:val="000000"/>
                <w:sz w:val="20"/>
                <w:szCs w:val="20"/>
                <w:lang w:eastAsia="en-GB"/>
              </w:rPr>
              <w:drawing>
                <wp:anchor distT="0" distB="0" distL="114300" distR="114300" simplePos="0" relativeHeight="251658295" behindDoc="0" locked="0" layoutInCell="1" allowOverlap="1" wp14:anchorId="45E9A577" wp14:editId="1FD2F04D">
                  <wp:simplePos x="0" y="0"/>
                  <wp:positionH relativeFrom="column">
                    <wp:posOffset>19685</wp:posOffset>
                  </wp:positionH>
                  <wp:positionV relativeFrom="paragraph">
                    <wp:posOffset>38100</wp:posOffset>
                  </wp:positionV>
                  <wp:extent cx="298450" cy="247650"/>
                  <wp:effectExtent l="0" t="0" r="6350" b="0"/>
                  <wp:wrapNone/>
                  <wp:docPr id="14" name="Picture 71" descr="P1614C52T31#y1">
                    <a:extLst xmlns:a="http://schemas.openxmlformats.org/drawingml/2006/main">
                      <a:ext uri="{FF2B5EF4-FFF2-40B4-BE49-F238E27FC236}">
                        <a16:creationId xmlns:a16="http://schemas.microsoft.com/office/drawing/2014/main" id="{B6AC9FD6-2828-4146-AF6B-FBBC0CDA5713}"/>
                      </a:ext>
                      <a:ext uri="{147F2762-F138-4A5C-976F-8EAC2B608ADB}">
                        <a16:predDERef xmlns:a16="http://schemas.microsoft.com/office/drawing/2014/main" pred="{239C59B3-8778-406F-B256-673D8C8C75EC}"/>
                      </a:ext>
                    </a:extLst>
                  </wp:docPr>
                  <wp:cNvGraphicFramePr/>
                  <a:graphic xmlns:a="http://schemas.openxmlformats.org/drawingml/2006/main">
                    <a:graphicData uri="http://schemas.openxmlformats.org/drawingml/2006/picture">
                      <pic:pic xmlns:pic="http://schemas.openxmlformats.org/drawingml/2006/picture">
                        <pic:nvPicPr>
                          <pic:cNvPr id="14" name="Picture 53" descr="P1614C52T31#y1">
                            <a:extLst>
                              <a:ext uri="{FF2B5EF4-FFF2-40B4-BE49-F238E27FC236}">
                                <a16:creationId xmlns:a16="http://schemas.microsoft.com/office/drawing/2014/main" id="{B6AC9FD6-2828-4146-AF6B-FBBC0CDA5713}"/>
                              </a:ext>
                              <a:ext uri="{147F2762-F138-4A5C-976F-8EAC2B608ADB}">
                                <a16:predDERef xmlns:a16="http://schemas.microsoft.com/office/drawing/2014/main" pred="{239C59B3-8778-406F-B256-673D8C8C75E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8B3C45"/>
              <w:bottom w:val="single" w:sz="4" w:space="0" w:color="8B3C45"/>
              <w:right w:val="single" w:sz="4" w:space="0" w:color="8B3C45"/>
            </w:tcBorders>
            <w:shd w:val="clear" w:color="auto" w:fill="FF0000"/>
            <w:vAlign w:val="center"/>
            <w:hideMark/>
          </w:tcPr>
          <w:p w14:paraId="554453B3" w14:textId="11F41ECB" w:rsidR="00663284" w:rsidRPr="00663284" w:rsidRDefault="00663284" w:rsidP="00663284">
            <w:pPr>
              <w:spacing w:after="0" w:line="240" w:lineRule="auto"/>
              <w:jc w:val="center"/>
              <w:rPr>
                <w:rFonts w:ascii="Arial" w:eastAsia="Times New Roman" w:hAnsi="Arial" w:cs="Arial"/>
                <w:sz w:val="20"/>
                <w:szCs w:val="20"/>
                <w:lang w:eastAsia="en-GB"/>
              </w:rPr>
            </w:pPr>
            <w:r w:rsidRPr="00663284">
              <w:rPr>
                <w:rFonts w:ascii="Arial" w:eastAsia="Times New Roman" w:hAnsi="Arial" w:cs="Arial"/>
                <w:sz w:val="20"/>
                <w:szCs w:val="20"/>
                <w:lang w:eastAsia="en-GB"/>
              </w:rPr>
              <w:t>4th Quartile Eng Av. 26  LA Av. 35 (Jan - Dec 2023)</w:t>
            </w:r>
          </w:p>
        </w:tc>
      </w:tr>
    </w:tbl>
    <w:p w14:paraId="1398425C" w14:textId="77777777" w:rsidR="00265B17" w:rsidRDefault="00265B17" w:rsidP="00B0379D">
      <w:pPr>
        <w:spacing w:after="120" w:line="240" w:lineRule="auto"/>
        <w:rPr>
          <w:rFonts w:ascii="Arial" w:hAnsi="Arial" w:cs="Arial"/>
          <w:b/>
          <w:color w:val="8B3C45"/>
        </w:rPr>
      </w:pPr>
    </w:p>
    <w:p w14:paraId="75209B44" w14:textId="77777777" w:rsidR="00CE3D5F" w:rsidRDefault="00CE3D5F" w:rsidP="009342A0">
      <w:pPr>
        <w:rPr>
          <w:rStyle w:val="normaltextrun"/>
          <w:rFonts w:ascii="Arial" w:hAnsi="Arial" w:cs="Arial"/>
          <w:b/>
          <w:bCs/>
          <w:color w:val="8B3C45"/>
          <w:sz w:val="32"/>
          <w:szCs w:val="32"/>
        </w:rPr>
      </w:pPr>
    </w:p>
    <w:p w14:paraId="2E42469A" w14:textId="49DE6DA1" w:rsidR="00B0379D" w:rsidRDefault="00E75E6D" w:rsidP="009342A0">
      <w:pPr>
        <w:rPr>
          <w:rStyle w:val="normaltextrun"/>
          <w:rFonts w:ascii="Arial" w:hAnsi="Arial" w:cs="Arial"/>
          <w:b/>
          <w:color w:val="8B3C45"/>
          <w:sz w:val="32"/>
          <w:szCs w:val="32"/>
        </w:rPr>
      </w:pPr>
      <w:r w:rsidRPr="4276CE28">
        <w:rPr>
          <w:rStyle w:val="normaltextrun"/>
          <w:rFonts w:ascii="Arial" w:hAnsi="Arial" w:cs="Arial"/>
          <w:b/>
          <w:bCs/>
          <w:color w:val="8B3C45"/>
          <w:sz w:val="32"/>
          <w:szCs w:val="32"/>
        </w:rPr>
        <w:t>Tier 2</w:t>
      </w:r>
    </w:p>
    <w:tbl>
      <w:tblPr>
        <w:tblW w:w="0" w:type="auto"/>
        <w:tblLook w:val="04A0" w:firstRow="1" w:lastRow="0" w:firstColumn="1" w:lastColumn="0" w:noHBand="0" w:noVBand="1"/>
      </w:tblPr>
      <w:tblGrid>
        <w:gridCol w:w="2492"/>
        <w:gridCol w:w="745"/>
        <w:gridCol w:w="3346"/>
        <w:gridCol w:w="1348"/>
        <w:gridCol w:w="1095"/>
        <w:gridCol w:w="1017"/>
        <w:gridCol w:w="895"/>
        <w:gridCol w:w="717"/>
        <w:gridCol w:w="1290"/>
        <w:gridCol w:w="772"/>
        <w:gridCol w:w="1671"/>
      </w:tblGrid>
      <w:tr w:rsidR="00784BF3" w:rsidRPr="00784BF3" w14:paraId="312BD0B9" w14:textId="77777777" w:rsidTr="00784BF3">
        <w:trPr>
          <w:trHeight w:val="778"/>
        </w:trPr>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429EE2B7"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Outcome</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646C63EA"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Ref</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2D41F541"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Performance Indicator</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566A9202"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Reporting Frequency</w:t>
            </w:r>
          </w:p>
        </w:tc>
        <w:tc>
          <w:tcPr>
            <w:tcW w:w="0" w:type="auto"/>
            <w:vMerge w:val="restart"/>
            <w:tcBorders>
              <w:top w:val="single" w:sz="4" w:space="0" w:color="8B3C45"/>
              <w:left w:val="single" w:sz="4" w:space="0" w:color="8B3C45"/>
              <w:bottom w:val="single" w:sz="4" w:space="0" w:color="8B3C45"/>
              <w:right w:val="nil"/>
            </w:tcBorders>
            <w:shd w:val="clear" w:color="000000" w:fill="8B3C45"/>
            <w:vAlign w:val="center"/>
            <w:hideMark/>
          </w:tcPr>
          <w:p w14:paraId="517036EF"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58F8515B" w14:textId="0308E378"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3</w:t>
            </w:r>
            <w:r w:rsidRPr="00784BF3">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4</w:t>
            </w:r>
            <w:r w:rsidRPr="00784BF3">
              <w:rPr>
                <w:rFonts w:ascii="Arial" w:eastAsia="Times New Roman" w:hAnsi="Arial" w:cs="Arial"/>
                <w:b/>
                <w:bCs/>
                <w:color w:val="FFFFFF"/>
                <w:sz w:val="20"/>
                <w:szCs w:val="20"/>
                <w:lang w:eastAsia="en-GB"/>
              </w:rPr>
              <w:t xml:space="preserve"> Outturn</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4955E46D" w14:textId="2BAEEE2A"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4</w:t>
            </w:r>
            <w:r w:rsidRPr="00784BF3">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5</w:t>
            </w:r>
            <w:r w:rsidRPr="00784BF3">
              <w:rPr>
                <w:rFonts w:ascii="Arial" w:eastAsia="Times New Roman" w:hAnsi="Arial" w:cs="Arial"/>
                <w:b/>
                <w:bCs/>
                <w:color w:val="FFFFFF"/>
                <w:sz w:val="20"/>
                <w:szCs w:val="20"/>
                <w:lang w:eastAsia="en-GB"/>
              </w:rPr>
              <w:t xml:space="preserve"> Target</w:t>
            </w:r>
          </w:p>
        </w:tc>
        <w:tc>
          <w:tcPr>
            <w:tcW w:w="0" w:type="auto"/>
            <w:tcBorders>
              <w:top w:val="single" w:sz="4" w:space="0" w:color="8B3C45"/>
              <w:left w:val="nil"/>
              <w:bottom w:val="single" w:sz="4" w:space="0" w:color="8B3C45"/>
              <w:right w:val="single" w:sz="4" w:space="0" w:color="8B3C45"/>
            </w:tcBorders>
            <w:shd w:val="clear" w:color="000000" w:fill="8B3C45"/>
            <w:vAlign w:val="center"/>
            <w:hideMark/>
          </w:tcPr>
          <w:p w14:paraId="667DCE70"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Q1</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6C766388"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14D552C4"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Trend</w:t>
            </w:r>
          </w:p>
        </w:tc>
        <w:tc>
          <w:tcPr>
            <w:tcW w:w="0" w:type="auto"/>
            <w:vMerge w:val="restart"/>
            <w:tcBorders>
              <w:top w:val="single" w:sz="4" w:space="0" w:color="8B3C45"/>
              <w:left w:val="single" w:sz="4" w:space="0" w:color="8B3C45"/>
              <w:bottom w:val="single" w:sz="4" w:space="0" w:color="8B3C45"/>
              <w:right w:val="single" w:sz="4" w:space="0" w:color="8B3C45"/>
            </w:tcBorders>
            <w:shd w:val="clear" w:color="000000" w:fill="8B3C45"/>
            <w:vAlign w:val="center"/>
            <w:hideMark/>
          </w:tcPr>
          <w:p w14:paraId="42B4E7C2"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Comparative Performance</w:t>
            </w:r>
          </w:p>
        </w:tc>
      </w:tr>
      <w:tr w:rsidR="00784BF3" w:rsidRPr="00784BF3" w14:paraId="4878E7AC" w14:textId="77777777" w:rsidTr="00784BF3">
        <w:trPr>
          <w:trHeight w:val="523"/>
        </w:trPr>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78F31B7A"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21720218"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2DC7266A"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4C19863A"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nil"/>
            </w:tcBorders>
            <w:vAlign w:val="center"/>
            <w:hideMark/>
          </w:tcPr>
          <w:p w14:paraId="0A3F311F"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354C21C4"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44B83C30"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tcBorders>
              <w:top w:val="nil"/>
              <w:left w:val="nil"/>
              <w:bottom w:val="nil"/>
              <w:right w:val="single" w:sz="4" w:space="0" w:color="8B3C45"/>
            </w:tcBorders>
            <w:shd w:val="clear" w:color="000000" w:fill="8B3C45"/>
            <w:vAlign w:val="center"/>
            <w:hideMark/>
          </w:tcPr>
          <w:p w14:paraId="2620058C" w14:textId="77777777" w:rsidR="00784BF3" w:rsidRPr="00784BF3" w:rsidRDefault="00784BF3" w:rsidP="00784BF3">
            <w:pPr>
              <w:spacing w:after="0" w:line="240" w:lineRule="auto"/>
              <w:jc w:val="center"/>
              <w:rPr>
                <w:rFonts w:ascii="Arial" w:eastAsia="Times New Roman" w:hAnsi="Arial" w:cs="Arial"/>
                <w:b/>
                <w:bCs/>
                <w:color w:val="FFFFFF"/>
                <w:sz w:val="20"/>
                <w:szCs w:val="20"/>
                <w:lang w:eastAsia="en-GB"/>
              </w:rPr>
            </w:pPr>
            <w:r w:rsidRPr="00784BF3">
              <w:rPr>
                <w:rFonts w:ascii="Arial" w:eastAsia="Times New Roman" w:hAnsi="Arial" w:cs="Arial"/>
                <w:b/>
                <w:bCs/>
                <w:color w:val="FFFFFF"/>
                <w:sz w:val="20"/>
                <w:szCs w:val="20"/>
                <w:lang w:eastAsia="en-GB"/>
              </w:rPr>
              <w:t>June</w:t>
            </w: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46DEB6CE"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6917E968"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2FE03C5F" w14:textId="77777777" w:rsidR="00784BF3" w:rsidRPr="00784BF3" w:rsidRDefault="00784BF3" w:rsidP="00784BF3">
            <w:pPr>
              <w:spacing w:after="0" w:line="240" w:lineRule="auto"/>
              <w:rPr>
                <w:rFonts w:ascii="Arial" w:eastAsia="Times New Roman" w:hAnsi="Arial" w:cs="Arial"/>
                <w:b/>
                <w:bCs/>
                <w:color w:val="FFFFFF"/>
                <w:sz w:val="20"/>
                <w:szCs w:val="20"/>
                <w:lang w:eastAsia="en-GB"/>
              </w:rPr>
            </w:pPr>
          </w:p>
        </w:tc>
      </w:tr>
      <w:tr w:rsidR="00784BF3" w:rsidRPr="00784BF3" w14:paraId="22D6CA02" w14:textId="77777777" w:rsidTr="00784BF3">
        <w:trPr>
          <w:trHeight w:val="1378"/>
        </w:trPr>
        <w:tc>
          <w:tcPr>
            <w:tcW w:w="0" w:type="auto"/>
            <w:vMerge w:val="restart"/>
            <w:tcBorders>
              <w:top w:val="single" w:sz="4" w:space="0" w:color="8B3C45"/>
              <w:left w:val="single" w:sz="4" w:space="0" w:color="8B3C45"/>
              <w:bottom w:val="single" w:sz="4" w:space="0" w:color="8B3C45"/>
              <w:right w:val="single" w:sz="4" w:space="0" w:color="8B3C45"/>
            </w:tcBorders>
            <w:shd w:val="clear" w:color="000000" w:fill="DDB1B6"/>
            <w:vAlign w:val="center"/>
            <w:hideMark/>
          </w:tcPr>
          <w:p w14:paraId="615C7F2F" w14:textId="77777777" w:rsidR="00784BF3" w:rsidRPr="00784BF3" w:rsidRDefault="00784BF3" w:rsidP="00784BF3">
            <w:pPr>
              <w:spacing w:after="0" w:line="240" w:lineRule="auto"/>
              <w:jc w:val="center"/>
              <w:rPr>
                <w:rFonts w:ascii="Arial" w:eastAsia="Times New Roman" w:hAnsi="Arial" w:cs="Arial"/>
                <w:b/>
                <w:bCs/>
                <w:color w:val="000000"/>
                <w:sz w:val="20"/>
                <w:szCs w:val="20"/>
                <w:lang w:eastAsia="en-GB"/>
              </w:rPr>
            </w:pPr>
            <w:r w:rsidRPr="00784BF3">
              <w:rPr>
                <w:rFonts w:ascii="Arial" w:eastAsia="Times New Roman" w:hAnsi="Arial" w:cs="Arial"/>
                <w:b/>
                <w:bCs/>
                <w:color w:val="000000"/>
                <w:sz w:val="20"/>
                <w:szCs w:val="20"/>
                <w:lang w:eastAsia="en-GB"/>
              </w:rPr>
              <w:t>Our town and neighbourhood centres are vibrant places for all to use, value and enjoy</w:t>
            </w:r>
          </w:p>
        </w:tc>
        <w:tc>
          <w:tcPr>
            <w:tcW w:w="0" w:type="auto"/>
            <w:tcBorders>
              <w:top w:val="single" w:sz="4" w:space="0" w:color="8B3C45"/>
              <w:left w:val="nil"/>
              <w:bottom w:val="single" w:sz="4" w:space="0" w:color="8B3C45"/>
              <w:right w:val="single" w:sz="4" w:space="0" w:color="8B3C45"/>
            </w:tcBorders>
            <w:shd w:val="clear" w:color="auto" w:fill="auto"/>
            <w:vAlign w:val="center"/>
            <w:hideMark/>
          </w:tcPr>
          <w:p w14:paraId="348815C7"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G&amp;P-013</w:t>
            </w:r>
          </w:p>
        </w:tc>
        <w:tc>
          <w:tcPr>
            <w:tcW w:w="0" w:type="auto"/>
            <w:tcBorders>
              <w:top w:val="single" w:sz="4" w:space="0" w:color="8B3C45"/>
              <w:left w:val="nil"/>
              <w:bottom w:val="single" w:sz="4" w:space="0" w:color="8B3C45"/>
              <w:right w:val="single" w:sz="4" w:space="0" w:color="8B3C45"/>
            </w:tcBorders>
            <w:shd w:val="clear" w:color="auto" w:fill="auto"/>
            <w:vAlign w:val="center"/>
            <w:hideMark/>
          </w:tcPr>
          <w:p w14:paraId="63B835C1" w14:textId="77777777" w:rsidR="00784BF3" w:rsidRPr="00784BF3" w:rsidRDefault="00784BF3" w:rsidP="00784BF3">
            <w:pPr>
              <w:spacing w:after="0" w:line="240" w:lineRule="auto"/>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Percentage of major planning applications determined within 13 weeks or within an agreed extension in time.</w:t>
            </w:r>
          </w:p>
        </w:tc>
        <w:tc>
          <w:tcPr>
            <w:tcW w:w="0" w:type="auto"/>
            <w:tcBorders>
              <w:top w:val="single" w:sz="4" w:space="0" w:color="8B3C45"/>
              <w:left w:val="nil"/>
              <w:bottom w:val="single" w:sz="4" w:space="0" w:color="8B3C45"/>
              <w:right w:val="single" w:sz="4" w:space="0" w:color="8B3C45"/>
            </w:tcBorders>
            <w:shd w:val="clear" w:color="auto" w:fill="auto"/>
            <w:vAlign w:val="center"/>
            <w:hideMark/>
          </w:tcPr>
          <w:p w14:paraId="2CF30B60"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Quarterly</w:t>
            </w:r>
          </w:p>
        </w:tc>
        <w:tc>
          <w:tcPr>
            <w:tcW w:w="0" w:type="auto"/>
            <w:tcBorders>
              <w:top w:val="single" w:sz="4" w:space="0" w:color="8B3C45"/>
              <w:left w:val="nil"/>
              <w:bottom w:val="single" w:sz="4" w:space="0" w:color="8B3C45"/>
              <w:right w:val="single" w:sz="4" w:space="0" w:color="8B3C45"/>
            </w:tcBorders>
            <w:shd w:val="clear" w:color="000000" w:fill="FFFFFF"/>
            <w:vAlign w:val="center"/>
            <w:hideMark/>
          </w:tcPr>
          <w:p w14:paraId="030828B0"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Higher</w:t>
            </w:r>
          </w:p>
        </w:tc>
        <w:tc>
          <w:tcPr>
            <w:tcW w:w="0" w:type="auto"/>
            <w:tcBorders>
              <w:top w:val="single" w:sz="4" w:space="0" w:color="8B3C45"/>
              <w:left w:val="nil"/>
              <w:bottom w:val="single" w:sz="4" w:space="0" w:color="8B3C45"/>
              <w:right w:val="single" w:sz="4" w:space="0" w:color="8B3C45"/>
            </w:tcBorders>
            <w:shd w:val="clear" w:color="000000" w:fill="FF0000"/>
            <w:vAlign w:val="center"/>
            <w:hideMark/>
          </w:tcPr>
          <w:p w14:paraId="6B0D8E00"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92.59%</w:t>
            </w:r>
          </w:p>
        </w:tc>
        <w:tc>
          <w:tcPr>
            <w:tcW w:w="0" w:type="auto"/>
            <w:tcBorders>
              <w:top w:val="single" w:sz="4" w:space="0" w:color="8B3C45"/>
              <w:left w:val="nil"/>
              <w:bottom w:val="single" w:sz="4" w:space="0" w:color="8B3C45"/>
              <w:right w:val="single" w:sz="4" w:space="0" w:color="8B3C45"/>
            </w:tcBorders>
            <w:shd w:val="clear" w:color="auto" w:fill="auto"/>
            <w:vAlign w:val="center"/>
            <w:hideMark/>
          </w:tcPr>
          <w:p w14:paraId="020D7A56"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90%</w:t>
            </w:r>
          </w:p>
        </w:tc>
        <w:tc>
          <w:tcPr>
            <w:tcW w:w="0" w:type="auto"/>
            <w:tcBorders>
              <w:top w:val="single" w:sz="4" w:space="0" w:color="8B3C45"/>
              <w:left w:val="single" w:sz="4" w:space="0" w:color="8B3C45"/>
              <w:bottom w:val="single" w:sz="4" w:space="0" w:color="8B3C45"/>
              <w:right w:val="single" w:sz="4" w:space="0" w:color="8B3C45"/>
            </w:tcBorders>
            <w:shd w:val="clear" w:color="000000" w:fill="92D050"/>
            <w:vAlign w:val="center"/>
            <w:hideMark/>
          </w:tcPr>
          <w:p w14:paraId="545078AC"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100</w:t>
            </w:r>
          </w:p>
        </w:tc>
        <w:tc>
          <w:tcPr>
            <w:tcW w:w="0" w:type="auto"/>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5B988C6E" w14:textId="77777777" w:rsidR="00784BF3" w:rsidRPr="00784BF3" w:rsidRDefault="00784BF3" w:rsidP="00784BF3">
            <w:pPr>
              <w:spacing w:after="0" w:line="240" w:lineRule="auto"/>
              <w:jc w:val="center"/>
              <w:rPr>
                <w:rFonts w:ascii="Arial" w:eastAsia="Times New Roman" w:hAnsi="Arial" w:cs="Arial"/>
                <w:color w:val="00B050"/>
                <w:sz w:val="20"/>
                <w:szCs w:val="20"/>
                <w:lang w:eastAsia="en-GB"/>
              </w:rPr>
            </w:pPr>
            <w:r w:rsidRPr="00784BF3">
              <w:rPr>
                <w:rFonts w:ascii="Arial" w:eastAsia="Times New Roman" w:hAnsi="Arial" w:cs="Arial"/>
                <w:color w:val="00B050"/>
                <w:sz w:val="20"/>
                <w:szCs w:val="20"/>
                <w:lang w:eastAsia="en-GB"/>
              </w:rPr>
              <w:t>0%</w:t>
            </w:r>
          </w:p>
        </w:tc>
        <w:tc>
          <w:tcPr>
            <w:tcW w:w="0" w:type="auto"/>
            <w:tcBorders>
              <w:top w:val="single" w:sz="4" w:space="0" w:color="8B3C45"/>
              <w:left w:val="nil"/>
              <w:bottom w:val="single" w:sz="4" w:space="0" w:color="8B3C45"/>
              <w:right w:val="single" w:sz="4" w:space="0" w:color="8B3C45"/>
            </w:tcBorders>
            <w:shd w:val="clear" w:color="000000" w:fill="FFFFFF"/>
            <w:noWrap/>
            <w:vAlign w:val="bottom"/>
            <w:hideMark/>
          </w:tcPr>
          <w:p w14:paraId="06503CAB" w14:textId="5D255CD0" w:rsidR="00784BF3" w:rsidRPr="00784BF3" w:rsidRDefault="00784BF3" w:rsidP="00784BF3">
            <w:pPr>
              <w:spacing w:after="0" w:line="240" w:lineRule="auto"/>
              <w:rPr>
                <w:rFonts w:ascii="Calibri" w:eastAsia="Times New Roman" w:hAnsi="Calibri" w:cs="Calibri"/>
                <w:color w:val="000000"/>
                <w:sz w:val="20"/>
                <w:szCs w:val="20"/>
                <w:lang w:eastAsia="en-GB"/>
              </w:rPr>
            </w:pPr>
            <w:r w:rsidRPr="00784BF3">
              <w:rPr>
                <w:rFonts w:ascii="Calibri" w:eastAsia="Times New Roman" w:hAnsi="Calibri" w:cs="Calibri"/>
                <w:noProof/>
                <w:color w:val="000000"/>
                <w:sz w:val="20"/>
                <w:szCs w:val="20"/>
                <w:lang w:eastAsia="en-GB"/>
              </w:rPr>
              <w:drawing>
                <wp:anchor distT="0" distB="0" distL="114300" distR="114300" simplePos="0" relativeHeight="251658301" behindDoc="0" locked="0" layoutInCell="1" allowOverlap="1" wp14:anchorId="517900B9" wp14:editId="687D59FF">
                  <wp:simplePos x="0" y="0"/>
                  <wp:positionH relativeFrom="column">
                    <wp:posOffset>59690</wp:posOffset>
                  </wp:positionH>
                  <wp:positionV relativeFrom="paragraph">
                    <wp:posOffset>-532765</wp:posOffset>
                  </wp:positionV>
                  <wp:extent cx="273050" cy="260350"/>
                  <wp:effectExtent l="0" t="0" r="0" b="0"/>
                  <wp:wrapNone/>
                  <wp:docPr id="11" name="Picture 72" descr="P1653C22T32#y1">
                    <a:extLst xmlns:a="http://schemas.openxmlformats.org/drawingml/2006/main">
                      <a:ext uri="{FF2B5EF4-FFF2-40B4-BE49-F238E27FC236}">
                        <a16:creationId xmlns:a16="http://schemas.microsoft.com/office/drawing/2014/main" id="{453D6299-02B3-4447-9C6C-5B8679282721}"/>
                      </a:ext>
                      <a:ext uri="{147F2762-F138-4A5C-976F-8EAC2B608ADB}">
                        <a16:predDERef xmlns:a16="http://schemas.microsoft.com/office/drawing/2014/main" pred="{8269B6AE-6FF7-42A2-B9FB-E116A986024C}"/>
                      </a:ext>
                    </a:extLst>
                  </wp:docPr>
                  <wp:cNvGraphicFramePr/>
                  <a:graphic xmlns:a="http://schemas.openxmlformats.org/drawingml/2006/main">
                    <a:graphicData uri="http://schemas.openxmlformats.org/drawingml/2006/picture">
                      <pic:pic xmlns:pic="http://schemas.openxmlformats.org/drawingml/2006/picture">
                        <pic:nvPicPr>
                          <pic:cNvPr id="11" name="Picture 60" descr="P1653C22T32#y1">
                            <a:extLst>
                              <a:ext uri="{FF2B5EF4-FFF2-40B4-BE49-F238E27FC236}">
                                <a16:creationId xmlns:a16="http://schemas.microsoft.com/office/drawing/2014/main" id="{453D6299-02B3-4447-9C6C-5B8679282721}"/>
                              </a:ext>
                              <a:ext uri="{147F2762-F138-4A5C-976F-8EAC2B608ADB}">
                                <a16:predDERef xmlns:a16="http://schemas.microsoft.com/office/drawing/2014/main" pred="{8269B6AE-6FF7-42A2-B9FB-E116A986024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30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8B3C45"/>
              <w:left w:val="nil"/>
              <w:bottom w:val="single" w:sz="4" w:space="0" w:color="8B3C45"/>
              <w:right w:val="single" w:sz="4" w:space="0" w:color="8B3C45"/>
            </w:tcBorders>
            <w:shd w:val="clear" w:color="000000" w:fill="92D050"/>
            <w:vAlign w:val="center"/>
            <w:hideMark/>
          </w:tcPr>
          <w:p w14:paraId="1E64F9FB" w14:textId="16873C6A"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1st Quartile</w:t>
            </w:r>
            <w:r w:rsidRPr="00784BF3">
              <w:rPr>
                <w:rFonts w:ascii="Arial" w:eastAsia="Times New Roman" w:hAnsi="Arial" w:cs="Arial"/>
                <w:sz w:val="20"/>
                <w:szCs w:val="20"/>
                <w:lang w:eastAsia="en-GB"/>
              </w:rPr>
              <w:br/>
              <w:t>Eng Av. 86.0</w:t>
            </w:r>
            <w:r w:rsidRPr="00784BF3">
              <w:rPr>
                <w:rFonts w:ascii="Arial" w:eastAsia="Times New Roman" w:hAnsi="Arial" w:cs="Arial"/>
                <w:sz w:val="20"/>
                <w:szCs w:val="20"/>
                <w:lang w:eastAsia="en-GB"/>
              </w:rPr>
              <w:br/>
              <w:t>LA Av. 95.9 (Q1, 2023/24)</w:t>
            </w:r>
          </w:p>
        </w:tc>
      </w:tr>
      <w:tr w:rsidR="00784BF3" w:rsidRPr="00784BF3" w14:paraId="0D4B4A47" w14:textId="77777777" w:rsidTr="00784BF3">
        <w:trPr>
          <w:trHeight w:val="1378"/>
        </w:trPr>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25106E91" w14:textId="77777777" w:rsidR="00784BF3" w:rsidRPr="00784BF3" w:rsidRDefault="00784BF3" w:rsidP="00784BF3">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026E813A"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G&amp;P-014</w:t>
            </w:r>
          </w:p>
        </w:tc>
        <w:tc>
          <w:tcPr>
            <w:tcW w:w="0" w:type="auto"/>
            <w:tcBorders>
              <w:top w:val="nil"/>
              <w:left w:val="nil"/>
              <w:bottom w:val="single" w:sz="4" w:space="0" w:color="8B3C45"/>
              <w:right w:val="single" w:sz="4" w:space="0" w:color="8B3C45"/>
            </w:tcBorders>
            <w:shd w:val="clear" w:color="auto" w:fill="auto"/>
            <w:vAlign w:val="center"/>
            <w:hideMark/>
          </w:tcPr>
          <w:p w14:paraId="64604BA9" w14:textId="77777777" w:rsidR="00784BF3" w:rsidRPr="00784BF3" w:rsidRDefault="00784BF3" w:rsidP="00784BF3">
            <w:pPr>
              <w:spacing w:after="0" w:line="240" w:lineRule="auto"/>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Percentage of minor and other applications determined within 8 weeks or an agreed extension time</w:t>
            </w:r>
          </w:p>
        </w:tc>
        <w:tc>
          <w:tcPr>
            <w:tcW w:w="0" w:type="auto"/>
            <w:tcBorders>
              <w:top w:val="nil"/>
              <w:left w:val="nil"/>
              <w:bottom w:val="single" w:sz="4" w:space="0" w:color="8B3C45"/>
              <w:right w:val="single" w:sz="4" w:space="0" w:color="8B3C45"/>
            </w:tcBorders>
            <w:shd w:val="clear" w:color="auto" w:fill="auto"/>
            <w:vAlign w:val="center"/>
            <w:hideMark/>
          </w:tcPr>
          <w:p w14:paraId="5D437813"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single" w:sz="4" w:space="0" w:color="8B3C45"/>
            </w:tcBorders>
            <w:shd w:val="clear" w:color="000000" w:fill="FFFFFF"/>
            <w:vAlign w:val="center"/>
            <w:hideMark/>
          </w:tcPr>
          <w:p w14:paraId="00624E0B"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Higher</w:t>
            </w:r>
          </w:p>
        </w:tc>
        <w:tc>
          <w:tcPr>
            <w:tcW w:w="0" w:type="auto"/>
            <w:tcBorders>
              <w:top w:val="nil"/>
              <w:left w:val="nil"/>
              <w:bottom w:val="single" w:sz="4" w:space="0" w:color="8B3C45"/>
              <w:right w:val="single" w:sz="4" w:space="0" w:color="8B3C45"/>
            </w:tcBorders>
            <w:shd w:val="clear" w:color="000000" w:fill="92D050"/>
            <w:vAlign w:val="center"/>
            <w:hideMark/>
          </w:tcPr>
          <w:p w14:paraId="5658A701"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98.14%</w:t>
            </w:r>
          </w:p>
        </w:tc>
        <w:tc>
          <w:tcPr>
            <w:tcW w:w="0" w:type="auto"/>
            <w:tcBorders>
              <w:top w:val="nil"/>
              <w:left w:val="nil"/>
              <w:bottom w:val="single" w:sz="4" w:space="0" w:color="8B3C45"/>
              <w:right w:val="single" w:sz="4" w:space="0" w:color="8B3C45"/>
            </w:tcBorders>
            <w:shd w:val="clear" w:color="auto" w:fill="auto"/>
            <w:vAlign w:val="center"/>
            <w:hideMark/>
          </w:tcPr>
          <w:p w14:paraId="220BB53F"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81%</w:t>
            </w:r>
          </w:p>
        </w:tc>
        <w:tc>
          <w:tcPr>
            <w:tcW w:w="0" w:type="auto"/>
            <w:tcBorders>
              <w:top w:val="single" w:sz="4" w:space="0" w:color="8B3C45"/>
              <w:left w:val="single" w:sz="4" w:space="0" w:color="8B3C45"/>
              <w:bottom w:val="single" w:sz="4" w:space="0" w:color="8B3C45"/>
              <w:right w:val="single" w:sz="4" w:space="0" w:color="8B3C45"/>
            </w:tcBorders>
            <w:shd w:val="clear" w:color="000000" w:fill="92D050"/>
            <w:vAlign w:val="center"/>
            <w:hideMark/>
          </w:tcPr>
          <w:p w14:paraId="2932B139"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100</w:t>
            </w:r>
          </w:p>
        </w:tc>
        <w:tc>
          <w:tcPr>
            <w:tcW w:w="0" w:type="auto"/>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6FA9E286" w14:textId="77777777" w:rsidR="00784BF3" w:rsidRPr="00784BF3" w:rsidRDefault="00784BF3" w:rsidP="00784BF3">
            <w:pPr>
              <w:spacing w:after="0" w:line="240" w:lineRule="auto"/>
              <w:jc w:val="center"/>
              <w:rPr>
                <w:rFonts w:ascii="Arial" w:eastAsia="Times New Roman" w:hAnsi="Arial" w:cs="Arial"/>
                <w:color w:val="00B050"/>
                <w:sz w:val="20"/>
                <w:szCs w:val="20"/>
                <w:lang w:eastAsia="en-GB"/>
              </w:rPr>
            </w:pPr>
            <w:r w:rsidRPr="00784BF3">
              <w:rPr>
                <w:rFonts w:ascii="Arial" w:eastAsia="Times New Roman" w:hAnsi="Arial" w:cs="Arial"/>
                <w:color w:val="00B050"/>
                <w:sz w:val="20"/>
                <w:szCs w:val="20"/>
                <w:lang w:eastAsia="en-GB"/>
              </w:rPr>
              <w:t>23.46%</w:t>
            </w:r>
          </w:p>
        </w:tc>
        <w:tc>
          <w:tcPr>
            <w:tcW w:w="0" w:type="auto"/>
            <w:tcBorders>
              <w:top w:val="nil"/>
              <w:left w:val="nil"/>
              <w:bottom w:val="single" w:sz="4" w:space="0" w:color="8B3C45"/>
              <w:right w:val="single" w:sz="4" w:space="0" w:color="8B3C45"/>
            </w:tcBorders>
            <w:shd w:val="clear" w:color="000000" w:fill="FFFFFF"/>
            <w:noWrap/>
            <w:vAlign w:val="bottom"/>
            <w:hideMark/>
          </w:tcPr>
          <w:p w14:paraId="63643074" w14:textId="0E1B1D05" w:rsidR="00784BF3" w:rsidRPr="00784BF3" w:rsidRDefault="00784BF3" w:rsidP="00784BF3">
            <w:pPr>
              <w:spacing w:after="0" w:line="240" w:lineRule="auto"/>
              <w:rPr>
                <w:rFonts w:ascii="Calibri" w:eastAsia="Times New Roman" w:hAnsi="Calibri" w:cs="Calibri"/>
                <w:color w:val="000000"/>
                <w:sz w:val="20"/>
                <w:szCs w:val="20"/>
                <w:lang w:eastAsia="en-GB"/>
              </w:rPr>
            </w:pPr>
            <w:r w:rsidRPr="00784BF3">
              <w:rPr>
                <w:rFonts w:ascii="Calibri" w:eastAsia="Times New Roman" w:hAnsi="Calibri" w:cs="Calibri"/>
                <w:noProof/>
                <w:color w:val="000000"/>
                <w:sz w:val="20"/>
                <w:szCs w:val="20"/>
                <w:lang w:eastAsia="en-GB"/>
              </w:rPr>
              <w:drawing>
                <wp:anchor distT="0" distB="0" distL="114300" distR="114300" simplePos="0" relativeHeight="251658300" behindDoc="0" locked="0" layoutInCell="1" allowOverlap="1" wp14:anchorId="2A1D9B37" wp14:editId="59CF86C7">
                  <wp:simplePos x="0" y="0"/>
                  <wp:positionH relativeFrom="column">
                    <wp:posOffset>60325</wp:posOffset>
                  </wp:positionH>
                  <wp:positionV relativeFrom="paragraph">
                    <wp:posOffset>-521335</wp:posOffset>
                  </wp:positionV>
                  <wp:extent cx="292100" cy="241300"/>
                  <wp:effectExtent l="0" t="0" r="0" b="6350"/>
                  <wp:wrapNone/>
                  <wp:docPr id="1528889943" name="Picture 73" descr="P1665C32T32#y1">
                    <a:extLst xmlns:a="http://schemas.openxmlformats.org/drawingml/2006/main">
                      <a:ext uri="{FF2B5EF4-FFF2-40B4-BE49-F238E27FC236}">
                        <a16:creationId xmlns:a16="http://schemas.microsoft.com/office/drawing/2014/main" id="{0DCF24B9-732C-4A71-A176-50759EF03BE3}"/>
                      </a:ext>
                    </a:extLst>
                  </wp:docPr>
                  <wp:cNvGraphicFramePr/>
                  <a:graphic xmlns:a="http://schemas.openxmlformats.org/drawingml/2006/main">
                    <a:graphicData uri="http://schemas.openxmlformats.org/drawingml/2006/picture">
                      <pic:pic xmlns:pic="http://schemas.openxmlformats.org/drawingml/2006/picture">
                        <pic:nvPicPr>
                          <pic:cNvPr id="1528889943" name="Picture 59" descr="P1665C32T32#y1">
                            <a:extLst>
                              <a:ext uri="{FF2B5EF4-FFF2-40B4-BE49-F238E27FC236}">
                                <a16:creationId xmlns:a16="http://schemas.microsoft.com/office/drawing/2014/main" id="{0DCF24B9-732C-4A71-A176-50759EF03BE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8B3C45"/>
              <w:right w:val="single" w:sz="4" w:space="0" w:color="8B3C45"/>
            </w:tcBorders>
            <w:shd w:val="clear" w:color="000000" w:fill="FFFF00"/>
            <w:vAlign w:val="center"/>
            <w:hideMark/>
          </w:tcPr>
          <w:p w14:paraId="467EE606" w14:textId="0E312312"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2nd Quartile</w:t>
            </w:r>
            <w:r w:rsidRPr="00784BF3">
              <w:rPr>
                <w:rFonts w:ascii="Arial" w:eastAsia="Times New Roman" w:hAnsi="Arial" w:cs="Arial"/>
                <w:sz w:val="20"/>
                <w:szCs w:val="20"/>
                <w:lang w:eastAsia="en-GB"/>
              </w:rPr>
              <w:br/>
              <w:t>Eng Av. 80.0</w:t>
            </w:r>
            <w:r w:rsidRPr="00784BF3">
              <w:rPr>
                <w:rFonts w:ascii="Arial" w:eastAsia="Times New Roman" w:hAnsi="Arial" w:cs="Arial"/>
                <w:sz w:val="20"/>
                <w:szCs w:val="20"/>
                <w:lang w:eastAsia="en-GB"/>
              </w:rPr>
              <w:br/>
              <w:t>LA Av. 89.4 (Q1, 2023/24)</w:t>
            </w:r>
          </w:p>
        </w:tc>
      </w:tr>
      <w:tr w:rsidR="00784BF3" w:rsidRPr="00784BF3" w14:paraId="4103D6B7" w14:textId="77777777" w:rsidTr="00784BF3">
        <w:trPr>
          <w:trHeight w:val="1363"/>
        </w:trPr>
        <w:tc>
          <w:tcPr>
            <w:tcW w:w="0" w:type="auto"/>
            <w:vMerge/>
            <w:tcBorders>
              <w:top w:val="single" w:sz="4" w:space="0" w:color="8B3C45"/>
              <w:left w:val="single" w:sz="4" w:space="0" w:color="8B3C45"/>
              <w:bottom w:val="single" w:sz="4" w:space="0" w:color="8B3C45"/>
              <w:right w:val="single" w:sz="4" w:space="0" w:color="8B3C45"/>
            </w:tcBorders>
            <w:vAlign w:val="center"/>
            <w:hideMark/>
          </w:tcPr>
          <w:p w14:paraId="1C6D2DF5" w14:textId="77777777" w:rsidR="00784BF3" w:rsidRPr="00784BF3" w:rsidRDefault="00784BF3" w:rsidP="00784BF3">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2388D145"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G&amp;P-015</w:t>
            </w:r>
          </w:p>
        </w:tc>
        <w:tc>
          <w:tcPr>
            <w:tcW w:w="0" w:type="auto"/>
            <w:tcBorders>
              <w:top w:val="nil"/>
              <w:left w:val="nil"/>
              <w:bottom w:val="single" w:sz="4" w:space="0" w:color="8B3C45"/>
              <w:right w:val="single" w:sz="4" w:space="0" w:color="8B3C45"/>
            </w:tcBorders>
            <w:shd w:val="clear" w:color="auto" w:fill="auto"/>
            <w:vAlign w:val="center"/>
            <w:hideMark/>
          </w:tcPr>
          <w:p w14:paraId="52D0FF8F" w14:textId="77777777" w:rsidR="00784BF3" w:rsidRPr="00784BF3" w:rsidRDefault="00784BF3" w:rsidP="00784BF3">
            <w:pPr>
              <w:spacing w:after="0" w:line="240" w:lineRule="auto"/>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The percentage of planning appeals granted as a percentage of all appeals</w:t>
            </w:r>
          </w:p>
        </w:tc>
        <w:tc>
          <w:tcPr>
            <w:tcW w:w="0" w:type="auto"/>
            <w:tcBorders>
              <w:top w:val="nil"/>
              <w:left w:val="nil"/>
              <w:bottom w:val="single" w:sz="4" w:space="0" w:color="8B3C45"/>
              <w:right w:val="single" w:sz="4" w:space="0" w:color="8B3C45"/>
            </w:tcBorders>
            <w:shd w:val="clear" w:color="auto" w:fill="auto"/>
            <w:vAlign w:val="center"/>
            <w:hideMark/>
          </w:tcPr>
          <w:p w14:paraId="36E8F355"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single" w:sz="4" w:space="0" w:color="8B3C45"/>
            </w:tcBorders>
            <w:shd w:val="clear" w:color="000000" w:fill="FFFFFF"/>
            <w:vAlign w:val="center"/>
            <w:hideMark/>
          </w:tcPr>
          <w:p w14:paraId="21CBCA50"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Lower</w:t>
            </w:r>
          </w:p>
        </w:tc>
        <w:tc>
          <w:tcPr>
            <w:tcW w:w="0" w:type="auto"/>
            <w:tcBorders>
              <w:top w:val="nil"/>
              <w:left w:val="nil"/>
              <w:bottom w:val="single" w:sz="4" w:space="0" w:color="8B3C45"/>
              <w:right w:val="single" w:sz="4" w:space="0" w:color="8B3C45"/>
            </w:tcBorders>
            <w:shd w:val="clear" w:color="000000" w:fill="92D050"/>
            <w:vAlign w:val="center"/>
            <w:hideMark/>
          </w:tcPr>
          <w:p w14:paraId="221D2F03"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22%</w:t>
            </w:r>
          </w:p>
        </w:tc>
        <w:tc>
          <w:tcPr>
            <w:tcW w:w="0" w:type="auto"/>
            <w:tcBorders>
              <w:top w:val="nil"/>
              <w:left w:val="nil"/>
              <w:bottom w:val="single" w:sz="4" w:space="0" w:color="8B3C45"/>
              <w:right w:val="single" w:sz="4" w:space="0" w:color="8B3C45"/>
            </w:tcBorders>
            <w:shd w:val="clear" w:color="auto" w:fill="auto"/>
            <w:vAlign w:val="center"/>
            <w:hideMark/>
          </w:tcPr>
          <w:p w14:paraId="54A158A9"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27%</w:t>
            </w:r>
          </w:p>
        </w:tc>
        <w:tc>
          <w:tcPr>
            <w:tcW w:w="0" w:type="auto"/>
            <w:tcBorders>
              <w:top w:val="single" w:sz="4" w:space="0" w:color="8B3C45"/>
              <w:left w:val="single" w:sz="4" w:space="0" w:color="8B3C45"/>
              <w:bottom w:val="single" w:sz="4" w:space="0" w:color="8B3C45"/>
              <w:right w:val="single" w:sz="4" w:space="0" w:color="8B3C45"/>
            </w:tcBorders>
            <w:shd w:val="clear" w:color="000000" w:fill="92D050"/>
            <w:vAlign w:val="center"/>
            <w:hideMark/>
          </w:tcPr>
          <w:p w14:paraId="5C3F7558"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0</w:t>
            </w:r>
          </w:p>
        </w:tc>
        <w:tc>
          <w:tcPr>
            <w:tcW w:w="0" w:type="auto"/>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677AC735" w14:textId="77777777" w:rsidR="00784BF3" w:rsidRPr="00784BF3" w:rsidRDefault="00784BF3" w:rsidP="00784BF3">
            <w:pPr>
              <w:spacing w:after="0" w:line="240" w:lineRule="auto"/>
              <w:jc w:val="center"/>
              <w:rPr>
                <w:rFonts w:ascii="Arial" w:eastAsia="Times New Roman" w:hAnsi="Arial" w:cs="Arial"/>
                <w:color w:val="00B050"/>
                <w:sz w:val="20"/>
                <w:szCs w:val="20"/>
                <w:lang w:eastAsia="en-GB"/>
              </w:rPr>
            </w:pPr>
            <w:r w:rsidRPr="00784BF3">
              <w:rPr>
                <w:rFonts w:ascii="Arial" w:eastAsia="Times New Roman" w:hAnsi="Arial" w:cs="Arial"/>
                <w:color w:val="00B050"/>
                <w:sz w:val="20"/>
                <w:szCs w:val="20"/>
                <w:lang w:eastAsia="en-GB"/>
              </w:rPr>
              <w:t>100%</w:t>
            </w:r>
          </w:p>
        </w:tc>
        <w:tc>
          <w:tcPr>
            <w:tcW w:w="0" w:type="auto"/>
            <w:tcBorders>
              <w:top w:val="nil"/>
              <w:left w:val="nil"/>
              <w:bottom w:val="single" w:sz="4" w:space="0" w:color="8B3C45"/>
              <w:right w:val="single" w:sz="4" w:space="0" w:color="8B3C45"/>
            </w:tcBorders>
            <w:shd w:val="clear" w:color="000000" w:fill="FFFFFF"/>
            <w:vAlign w:val="center"/>
            <w:hideMark/>
          </w:tcPr>
          <w:p w14:paraId="6C39326A" w14:textId="3EDC186D"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noProof/>
                <w:sz w:val="20"/>
                <w:szCs w:val="20"/>
                <w:lang w:eastAsia="en-GB"/>
              </w:rPr>
              <mc:AlternateContent>
                <mc:Choice Requires="wps">
                  <w:drawing>
                    <wp:anchor distT="0" distB="0" distL="114300" distR="114300" simplePos="0" relativeHeight="251658297" behindDoc="0" locked="0" layoutInCell="1" allowOverlap="1" wp14:anchorId="4CD856EF" wp14:editId="1C2CE45C">
                      <wp:simplePos x="0" y="0"/>
                      <wp:positionH relativeFrom="column">
                        <wp:posOffset>22225</wp:posOffset>
                      </wp:positionH>
                      <wp:positionV relativeFrom="paragraph">
                        <wp:posOffset>82550</wp:posOffset>
                      </wp:positionV>
                      <wp:extent cx="355600" cy="266700"/>
                      <wp:effectExtent l="0" t="0" r="25400" b="19050"/>
                      <wp:wrapNone/>
                      <wp:docPr id="1364007144" name="Arrow: Left-Right 74" descr="P1677C42T32#y1">
                        <a:extLst xmlns:a="http://schemas.openxmlformats.org/drawingml/2006/main">
                          <a:ext uri="{FF2B5EF4-FFF2-40B4-BE49-F238E27FC236}">
                            <a16:creationId xmlns:a16="http://schemas.microsoft.com/office/drawing/2014/main" id="{B977F616-1B6C-4064-9E0C-B38668B4E7A5}"/>
                          </a:ext>
                          <a:ext uri="{147F2762-F138-4A5C-976F-8EAC2B608ADB}">
                            <a16:predDERef xmlns:a16="http://schemas.microsoft.com/office/drawing/2014/main" pred="{5BB0020B-77E4-449D-9963-81EFC3C2B035}"/>
                          </a:ext>
                        </a:extLst>
                      </wp:docPr>
                      <wp:cNvGraphicFramePr/>
                      <a:graphic xmlns:a="http://schemas.openxmlformats.org/drawingml/2006/main">
                        <a:graphicData uri="http://schemas.microsoft.com/office/word/2010/wordprocessingShape">
                          <wps:wsp>
                            <wps:cNvSpPr/>
                            <wps:spPr>
                              <a:xfrm>
                                <a:off x="0" y="0"/>
                                <a:ext cx="355600" cy="2667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A579C0" id="Arrow: Left-Right 74" o:spid="_x0000_s1026" type="#_x0000_t69" alt="P1677C42T32#y1" style="position:absolute;margin-left:1.75pt;margin-top:6.5pt;width:28pt;height:2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" adj="8100" fillcolor="black [3200]" strokecolor="black [1600]" strokeweight="2pt"/>
                  </w:pict>
                </mc:Fallback>
              </mc:AlternateContent>
            </w:r>
          </w:p>
        </w:tc>
        <w:tc>
          <w:tcPr>
            <w:tcW w:w="0" w:type="auto"/>
            <w:tcBorders>
              <w:top w:val="nil"/>
              <w:left w:val="nil"/>
              <w:bottom w:val="single" w:sz="4" w:space="0" w:color="8B3C45"/>
              <w:right w:val="single" w:sz="4" w:space="0" w:color="8B3C45"/>
            </w:tcBorders>
            <w:shd w:val="clear" w:color="000000" w:fill="92D050"/>
            <w:vAlign w:val="center"/>
            <w:hideMark/>
          </w:tcPr>
          <w:p w14:paraId="3BD6F864"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1st Quartile</w:t>
            </w:r>
            <w:r w:rsidRPr="00784BF3">
              <w:rPr>
                <w:rFonts w:ascii="Arial" w:eastAsia="Times New Roman" w:hAnsi="Arial" w:cs="Arial"/>
                <w:sz w:val="20"/>
                <w:szCs w:val="20"/>
                <w:lang w:eastAsia="en-GB"/>
              </w:rPr>
              <w:br/>
              <w:t>Eng Av. 28.7 LA Av. 28.5 (2022/23)</w:t>
            </w:r>
          </w:p>
        </w:tc>
      </w:tr>
      <w:tr w:rsidR="00784BF3" w:rsidRPr="00784BF3" w14:paraId="39E3AEFD" w14:textId="77777777" w:rsidTr="00784BF3">
        <w:trPr>
          <w:trHeight w:val="1363"/>
        </w:trPr>
        <w:tc>
          <w:tcPr>
            <w:tcW w:w="0" w:type="auto"/>
            <w:vMerge w:val="restart"/>
            <w:tcBorders>
              <w:top w:val="nil"/>
              <w:left w:val="single" w:sz="4" w:space="0" w:color="8B3C45"/>
              <w:bottom w:val="single" w:sz="4" w:space="0" w:color="8B3C45"/>
              <w:right w:val="single" w:sz="4" w:space="0" w:color="8B3C45"/>
            </w:tcBorders>
            <w:shd w:val="clear" w:color="000000" w:fill="DDB1B6"/>
            <w:vAlign w:val="center"/>
            <w:hideMark/>
          </w:tcPr>
          <w:p w14:paraId="4B5101C6" w14:textId="77777777" w:rsidR="00784BF3" w:rsidRPr="00784BF3" w:rsidRDefault="00784BF3" w:rsidP="00784BF3">
            <w:pPr>
              <w:spacing w:after="0" w:line="240" w:lineRule="auto"/>
              <w:jc w:val="center"/>
              <w:rPr>
                <w:rFonts w:ascii="Arial" w:eastAsia="Times New Roman" w:hAnsi="Arial" w:cs="Arial"/>
                <w:b/>
                <w:bCs/>
                <w:color w:val="000000"/>
                <w:sz w:val="20"/>
                <w:szCs w:val="20"/>
                <w:lang w:eastAsia="en-GB"/>
              </w:rPr>
            </w:pPr>
            <w:r w:rsidRPr="00784BF3">
              <w:rPr>
                <w:rFonts w:ascii="Arial" w:eastAsia="Times New Roman" w:hAnsi="Arial" w:cs="Arial"/>
                <w:b/>
                <w:bCs/>
                <w:color w:val="000000"/>
                <w:sz w:val="20"/>
                <w:szCs w:val="20"/>
                <w:lang w:eastAsia="en-GB"/>
              </w:rPr>
              <w:t>Our places are well-connected with accessible transport and digital networks</w:t>
            </w:r>
          </w:p>
        </w:tc>
        <w:tc>
          <w:tcPr>
            <w:tcW w:w="0" w:type="auto"/>
            <w:tcBorders>
              <w:top w:val="nil"/>
              <w:left w:val="nil"/>
              <w:bottom w:val="single" w:sz="4" w:space="0" w:color="8B3C45"/>
              <w:right w:val="single" w:sz="4" w:space="0" w:color="8B3C45"/>
            </w:tcBorders>
            <w:shd w:val="clear" w:color="auto" w:fill="auto"/>
            <w:vAlign w:val="center"/>
            <w:hideMark/>
          </w:tcPr>
          <w:p w14:paraId="7DBDD3DB"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ENV-014</w:t>
            </w:r>
          </w:p>
        </w:tc>
        <w:tc>
          <w:tcPr>
            <w:tcW w:w="0" w:type="auto"/>
            <w:tcBorders>
              <w:top w:val="nil"/>
              <w:left w:val="nil"/>
              <w:bottom w:val="single" w:sz="4" w:space="0" w:color="8B3C45"/>
              <w:right w:val="single" w:sz="4" w:space="0" w:color="8B3C45"/>
            </w:tcBorders>
            <w:shd w:val="clear" w:color="auto" w:fill="auto"/>
            <w:vAlign w:val="center"/>
            <w:hideMark/>
          </w:tcPr>
          <w:p w14:paraId="76756AF9" w14:textId="77777777" w:rsidR="00784BF3" w:rsidRPr="00784BF3" w:rsidRDefault="00784BF3" w:rsidP="00784BF3">
            <w:pPr>
              <w:spacing w:after="0" w:line="240" w:lineRule="auto"/>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Percentage of Highway Inspections for footway and carriageway planned inspections completed in accordance with the Highway Code of Practice</w:t>
            </w:r>
          </w:p>
        </w:tc>
        <w:tc>
          <w:tcPr>
            <w:tcW w:w="0" w:type="auto"/>
            <w:tcBorders>
              <w:top w:val="nil"/>
              <w:left w:val="nil"/>
              <w:bottom w:val="single" w:sz="4" w:space="0" w:color="8B3C45"/>
              <w:right w:val="single" w:sz="4" w:space="0" w:color="8B3C45"/>
            </w:tcBorders>
            <w:shd w:val="clear" w:color="auto" w:fill="auto"/>
            <w:vAlign w:val="center"/>
            <w:hideMark/>
          </w:tcPr>
          <w:p w14:paraId="1195BA63"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single" w:sz="4" w:space="0" w:color="8B3C45"/>
            </w:tcBorders>
            <w:shd w:val="clear" w:color="000000" w:fill="FFFFFF"/>
            <w:vAlign w:val="center"/>
            <w:hideMark/>
          </w:tcPr>
          <w:p w14:paraId="381C190B"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Higher</w:t>
            </w:r>
          </w:p>
        </w:tc>
        <w:tc>
          <w:tcPr>
            <w:tcW w:w="0" w:type="auto"/>
            <w:tcBorders>
              <w:top w:val="nil"/>
              <w:left w:val="nil"/>
              <w:bottom w:val="single" w:sz="4" w:space="0" w:color="8B3C45"/>
              <w:right w:val="single" w:sz="4" w:space="0" w:color="8B3C45"/>
            </w:tcBorders>
            <w:shd w:val="clear" w:color="000000" w:fill="92D050"/>
            <w:vAlign w:val="center"/>
            <w:hideMark/>
          </w:tcPr>
          <w:p w14:paraId="28F993DD"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96%</w:t>
            </w:r>
          </w:p>
        </w:tc>
        <w:tc>
          <w:tcPr>
            <w:tcW w:w="0" w:type="auto"/>
            <w:tcBorders>
              <w:top w:val="nil"/>
              <w:left w:val="nil"/>
              <w:bottom w:val="single" w:sz="4" w:space="0" w:color="8B3C45"/>
              <w:right w:val="single" w:sz="4" w:space="0" w:color="8B3C45"/>
            </w:tcBorders>
            <w:shd w:val="clear" w:color="auto" w:fill="auto"/>
            <w:vAlign w:val="center"/>
            <w:hideMark/>
          </w:tcPr>
          <w:p w14:paraId="09AA4919"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92.5%</w:t>
            </w:r>
          </w:p>
        </w:tc>
        <w:tc>
          <w:tcPr>
            <w:tcW w:w="0" w:type="auto"/>
            <w:tcBorders>
              <w:top w:val="single" w:sz="4" w:space="0" w:color="8B3C45"/>
              <w:left w:val="single" w:sz="4" w:space="0" w:color="8B3C45"/>
              <w:bottom w:val="single" w:sz="4" w:space="0" w:color="8B3C45"/>
              <w:right w:val="single" w:sz="4" w:space="0" w:color="8B3C45"/>
            </w:tcBorders>
            <w:shd w:val="clear" w:color="000000" w:fill="FFC000"/>
            <w:vAlign w:val="center"/>
            <w:hideMark/>
          </w:tcPr>
          <w:p w14:paraId="28D64125"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90</w:t>
            </w:r>
          </w:p>
        </w:tc>
        <w:tc>
          <w:tcPr>
            <w:tcW w:w="0" w:type="auto"/>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67FA8156" w14:textId="77777777" w:rsidR="00784BF3" w:rsidRPr="00784BF3" w:rsidRDefault="00784BF3" w:rsidP="00784BF3">
            <w:pPr>
              <w:spacing w:after="0" w:line="240" w:lineRule="auto"/>
              <w:jc w:val="center"/>
              <w:rPr>
                <w:rFonts w:ascii="Arial" w:eastAsia="Times New Roman" w:hAnsi="Arial" w:cs="Arial"/>
                <w:color w:val="FF0000"/>
                <w:sz w:val="20"/>
                <w:szCs w:val="20"/>
                <w:lang w:eastAsia="en-GB"/>
              </w:rPr>
            </w:pPr>
            <w:r w:rsidRPr="00DB6318">
              <w:rPr>
                <w:rFonts w:ascii="Arial" w:eastAsia="Times New Roman" w:hAnsi="Arial" w:cs="Arial"/>
                <w:sz w:val="20"/>
                <w:szCs w:val="20"/>
                <w:lang w:eastAsia="en-GB"/>
              </w:rPr>
              <w:t>-2.7%</w:t>
            </w:r>
          </w:p>
        </w:tc>
        <w:tc>
          <w:tcPr>
            <w:tcW w:w="0" w:type="auto"/>
            <w:tcBorders>
              <w:top w:val="nil"/>
              <w:left w:val="nil"/>
              <w:bottom w:val="single" w:sz="4" w:space="0" w:color="8B3C45"/>
              <w:right w:val="single" w:sz="4" w:space="0" w:color="8B3C45"/>
            </w:tcBorders>
            <w:shd w:val="clear" w:color="000000" w:fill="FFFFFF"/>
            <w:vAlign w:val="center"/>
            <w:hideMark/>
          </w:tcPr>
          <w:p w14:paraId="1040AF24" w14:textId="0A908042"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noProof/>
                <w:sz w:val="20"/>
                <w:szCs w:val="20"/>
                <w:lang w:eastAsia="en-GB"/>
              </w:rPr>
              <w:drawing>
                <wp:anchor distT="0" distB="0" distL="114300" distR="114300" simplePos="0" relativeHeight="251658298" behindDoc="0" locked="0" layoutInCell="1" allowOverlap="1" wp14:anchorId="228BF361" wp14:editId="349A2AA0">
                  <wp:simplePos x="0" y="0"/>
                  <wp:positionH relativeFrom="column">
                    <wp:posOffset>57785</wp:posOffset>
                  </wp:positionH>
                  <wp:positionV relativeFrom="paragraph">
                    <wp:posOffset>106045</wp:posOffset>
                  </wp:positionV>
                  <wp:extent cx="273050" cy="254000"/>
                  <wp:effectExtent l="0" t="0" r="0" b="0"/>
                  <wp:wrapNone/>
                  <wp:docPr id="100686460" name="Picture 75" descr="P1689C53T32#y1">
                    <a:extLst xmlns:a="http://schemas.openxmlformats.org/drawingml/2006/main">
                      <a:ext uri="{FF2B5EF4-FFF2-40B4-BE49-F238E27FC236}">
                        <a16:creationId xmlns:a16="http://schemas.microsoft.com/office/drawing/2014/main" id="{1E8F4981-0965-41A5-83B7-E0410D3EA220}"/>
                      </a:ext>
                      <a:ext uri="{147F2762-F138-4A5C-976F-8EAC2B608ADB}">
                        <a16:predDERef xmlns:a16="http://schemas.microsoft.com/office/drawing/2014/main" pred="{42F21487-07A2-40F0-965E-6A2B590F545A}"/>
                      </a:ext>
                    </a:extLst>
                  </wp:docPr>
                  <wp:cNvGraphicFramePr/>
                  <a:graphic xmlns:a="http://schemas.openxmlformats.org/drawingml/2006/main">
                    <a:graphicData uri="http://schemas.openxmlformats.org/drawingml/2006/picture">
                      <pic:pic xmlns:pic="http://schemas.openxmlformats.org/drawingml/2006/picture">
                        <pic:nvPicPr>
                          <pic:cNvPr id="100686460" name="Picture 57" descr="P1689C53T32#y1">
                            <a:extLst>
                              <a:ext uri="{FF2B5EF4-FFF2-40B4-BE49-F238E27FC236}">
                                <a16:creationId xmlns:a16="http://schemas.microsoft.com/office/drawing/2014/main" id="{1E8F4981-0965-41A5-83B7-E0410D3EA220}"/>
                              </a:ext>
                              <a:ext uri="{147F2762-F138-4A5C-976F-8EAC2B608ADB}">
                                <a16:predDERef xmlns:a16="http://schemas.microsoft.com/office/drawing/2014/main" pred="{42F21487-07A2-40F0-965E-6A2B590F545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8B3C45"/>
              <w:right w:val="single" w:sz="4" w:space="0" w:color="8B3C45"/>
            </w:tcBorders>
            <w:shd w:val="clear" w:color="000000" w:fill="FFFFFF"/>
            <w:vAlign w:val="center"/>
            <w:hideMark/>
          </w:tcPr>
          <w:p w14:paraId="344443A4"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N/A</w:t>
            </w:r>
          </w:p>
        </w:tc>
      </w:tr>
      <w:tr w:rsidR="00784BF3" w:rsidRPr="00784BF3" w14:paraId="104DF4EE" w14:textId="77777777" w:rsidTr="00784BF3">
        <w:trPr>
          <w:trHeight w:val="1363"/>
        </w:trPr>
        <w:tc>
          <w:tcPr>
            <w:tcW w:w="0" w:type="auto"/>
            <w:vMerge/>
            <w:tcBorders>
              <w:top w:val="nil"/>
              <w:left w:val="single" w:sz="4" w:space="0" w:color="8B3C45"/>
              <w:bottom w:val="single" w:sz="4" w:space="0" w:color="8B3C45"/>
              <w:right w:val="single" w:sz="4" w:space="0" w:color="8B3C45"/>
            </w:tcBorders>
            <w:vAlign w:val="center"/>
            <w:hideMark/>
          </w:tcPr>
          <w:p w14:paraId="6EBCF387" w14:textId="77777777" w:rsidR="00784BF3" w:rsidRPr="00784BF3" w:rsidRDefault="00784BF3" w:rsidP="00784BF3">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8B3C45"/>
              <w:right w:val="single" w:sz="4" w:space="0" w:color="8B3C45"/>
            </w:tcBorders>
            <w:shd w:val="clear" w:color="auto" w:fill="auto"/>
            <w:vAlign w:val="center"/>
            <w:hideMark/>
          </w:tcPr>
          <w:p w14:paraId="61D77727"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ENV-015</w:t>
            </w:r>
          </w:p>
        </w:tc>
        <w:tc>
          <w:tcPr>
            <w:tcW w:w="0" w:type="auto"/>
            <w:tcBorders>
              <w:top w:val="nil"/>
              <w:left w:val="nil"/>
              <w:bottom w:val="single" w:sz="4" w:space="0" w:color="8B3C45"/>
              <w:right w:val="single" w:sz="4" w:space="0" w:color="8B3C45"/>
            </w:tcBorders>
            <w:shd w:val="clear" w:color="auto" w:fill="auto"/>
            <w:vAlign w:val="center"/>
            <w:hideMark/>
          </w:tcPr>
          <w:p w14:paraId="22030FC7" w14:textId="77777777" w:rsidR="00784BF3" w:rsidRPr="00784BF3" w:rsidRDefault="00784BF3" w:rsidP="00784BF3">
            <w:pPr>
              <w:spacing w:after="0" w:line="240" w:lineRule="auto"/>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The percentage of Call Out for Priority (1,2 &amp; 3) Highway defects (Footway and Carriageway) repaired or made safe within the specified period in accordance with the Highway Code of Practice.</w:t>
            </w:r>
          </w:p>
        </w:tc>
        <w:tc>
          <w:tcPr>
            <w:tcW w:w="0" w:type="auto"/>
            <w:tcBorders>
              <w:top w:val="nil"/>
              <w:left w:val="nil"/>
              <w:bottom w:val="single" w:sz="4" w:space="0" w:color="8B3C45"/>
              <w:right w:val="single" w:sz="4" w:space="0" w:color="8B3C45"/>
            </w:tcBorders>
            <w:shd w:val="clear" w:color="auto" w:fill="auto"/>
            <w:vAlign w:val="center"/>
            <w:hideMark/>
          </w:tcPr>
          <w:p w14:paraId="6A80FB64"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Quarterly</w:t>
            </w:r>
          </w:p>
        </w:tc>
        <w:tc>
          <w:tcPr>
            <w:tcW w:w="0" w:type="auto"/>
            <w:tcBorders>
              <w:top w:val="nil"/>
              <w:left w:val="nil"/>
              <w:bottom w:val="single" w:sz="4" w:space="0" w:color="8B3C45"/>
              <w:right w:val="single" w:sz="4" w:space="0" w:color="8B3C45"/>
            </w:tcBorders>
            <w:shd w:val="clear" w:color="000000" w:fill="FFFFFF"/>
            <w:vAlign w:val="center"/>
            <w:hideMark/>
          </w:tcPr>
          <w:p w14:paraId="71390AB6"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Higher</w:t>
            </w:r>
          </w:p>
        </w:tc>
        <w:tc>
          <w:tcPr>
            <w:tcW w:w="0" w:type="auto"/>
            <w:tcBorders>
              <w:top w:val="nil"/>
              <w:left w:val="nil"/>
              <w:bottom w:val="single" w:sz="4" w:space="0" w:color="8B3C45"/>
              <w:right w:val="single" w:sz="4" w:space="0" w:color="8B3C45"/>
            </w:tcBorders>
            <w:shd w:val="clear" w:color="000000" w:fill="92D050"/>
            <w:vAlign w:val="center"/>
            <w:hideMark/>
          </w:tcPr>
          <w:p w14:paraId="345CCAB9"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95%</w:t>
            </w:r>
          </w:p>
        </w:tc>
        <w:tc>
          <w:tcPr>
            <w:tcW w:w="0" w:type="auto"/>
            <w:tcBorders>
              <w:top w:val="nil"/>
              <w:left w:val="nil"/>
              <w:bottom w:val="single" w:sz="4" w:space="0" w:color="8B3C45"/>
              <w:right w:val="single" w:sz="4" w:space="0" w:color="8B3C45"/>
            </w:tcBorders>
            <w:shd w:val="clear" w:color="auto" w:fill="auto"/>
            <w:vAlign w:val="center"/>
            <w:hideMark/>
          </w:tcPr>
          <w:p w14:paraId="66D9F68B"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92.5%</w:t>
            </w:r>
          </w:p>
        </w:tc>
        <w:tc>
          <w:tcPr>
            <w:tcW w:w="0" w:type="auto"/>
            <w:tcBorders>
              <w:top w:val="single" w:sz="4" w:space="0" w:color="8B3C45"/>
              <w:left w:val="single" w:sz="4" w:space="0" w:color="8B3C45"/>
              <w:bottom w:val="single" w:sz="4" w:space="0" w:color="8B3C45"/>
              <w:right w:val="single" w:sz="4" w:space="0" w:color="8B3C45"/>
            </w:tcBorders>
            <w:shd w:val="clear" w:color="000000" w:fill="92D050"/>
            <w:vAlign w:val="center"/>
            <w:hideMark/>
          </w:tcPr>
          <w:p w14:paraId="2E54151C" w14:textId="77777777" w:rsidR="00784BF3" w:rsidRPr="00784BF3" w:rsidRDefault="00784BF3" w:rsidP="00784BF3">
            <w:pPr>
              <w:spacing w:after="0" w:line="240" w:lineRule="auto"/>
              <w:jc w:val="center"/>
              <w:rPr>
                <w:rFonts w:ascii="Arial" w:eastAsia="Times New Roman" w:hAnsi="Arial" w:cs="Arial"/>
                <w:color w:val="000000"/>
                <w:sz w:val="20"/>
                <w:szCs w:val="20"/>
                <w:lang w:eastAsia="en-GB"/>
              </w:rPr>
            </w:pPr>
            <w:r w:rsidRPr="00784BF3">
              <w:rPr>
                <w:rFonts w:ascii="Arial" w:eastAsia="Times New Roman" w:hAnsi="Arial" w:cs="Arial"/>
                <w:color w:val="000000"/>
                <w:sz w:val="20"/>
                <w:szCs w:val="20"/>
                <w:lang w:eastAsia="en-GB"/>
              </w:rPr>
              <w:t>98.74</w:t>
            </w:r>
          </w:p>
        </w:tc>
        <w:tc>
          <w:tcPr>
            <w:tcW w:w="0" w:type="auto"/>
            <w:tcBorders>
              <w:top w:val="single" w:sz="4" w:space="0" w:color="8B3C45"/>
              <w:left w:val="single" w:sz="4" w:space="0" w:color="8B3C45"/>
              <w:bottom w:val="single" w:sz="4" w:space="0" w:color="8B3C45"/>
              <w:right w:val="single" w:sz="4" w:space="0" w:color="8B3C45"/>
            </w:tcBorders>
            <w:shd w:val="clear" w:color="auto" w:fill="auto"/>
            <w:vAlign w:val="center"/>
            <w:hideMark/>
          </w:tcPr>
          <w:p w14:paraId="15EE04E1" w14:textId="77777777" w:rsidR="00784BF3" w:rsidRPr="00784BF3" w:rsidRDefault="00784BF3" w:rsidP="00784BF3">
            <w:pPr>
              <w:spacing w:after="0" w:line="240" w:lineRule="auto"/>
              <w:jc w:val="center"/>
              <w:rPr>
                <w:rFonts w:ascii="Arial" w:eastAsia="Times New Roman" w:hAnsi="Arial" w:cs="Arial"/>
                <w:color w:val="00B050"/>
                <w:sz w:val="20"/>
                <w:szCs w:val="20"/>
                <w:lang w:eastAsia="en-GB"/>
              </w:rPr>
            </w:pPr>
            <w:r w:rsidRPr="00784BF3">
              <w:rPr>
                <w:rFonts w:ascii="Arial" w:eastAsia="Times New Roman" w:hAnsi="Arial" w:cs="Arial"/>
                <w:color w:val="00B050"/>
                <w:sz w:val="20"/>
                <w:szCs w:val="20"/>
                <w:lang w:eastAsia="en-GB"/>
              </w:rPr>
              <w:t>6.75%</w:t>
            </w:r>
          </w:p>
        </w:tc>
        <w:tc>
          <w:tcPr>
            <w:tcW w:w="0" w:type="auto"/>
            <w:tcBorders>
              <w:top w:val="nil"/>
              <w:left w:val="nil"/>
              <w:bottom w:val="single" w:sz="4" w:space="0" w:color="8B3C45"/>
              <w:right w:val="single" w:sz="4" w:space="0" w:color="8B3C45"/>
            </w:tcBorders>
            <w:shd w:val="clear" w:color="000000" w:fill="FFFFFF"/>
            <w:vAlign w:val="center"/>
            <w:hideMark/>
          </w:tcPr>
          <w:p w14:paraId="673DDB3E" w14:textId="4E07442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noProof/>
                <w:sz w:val="20"/>
                <w:szCs w:val="20"/>
                <w:lang w:eastAsia="en-GB"/>
              </w:rPr>
              <w:drawing>
                <wp:anchor distT="0" distB="0" distL="114300" distR="114300" simplePos="0" relativeHeight="251658299" behindDoc="0" locked="0" layoutInCell="1" allowOverlap="1" wp14:anchorId="6E04A0EF" wp14:editId="2D90760D">
                  <wp:simplePos x="0" y="0"/>
                  <wp:positionH relativeFrom="column">
                    <wp:posOffset>24130</wp:posOffset>
                  </wp:positionH>
                  <wp:positionV relativeFrom="paragraph">
                    <wp:posOffset>50800</wp:posOffset>
                  </wp:positionV>
                  <wp:extent cx="273050" cy="247650"/>
                  <wp:effectExtent l="0" t="0" r="0" b="0"/>
                  <wp:wrapNone/>
                  <wp:docPr id="2" name="Picture 76" descr="P1701C63T32#y1">
                    <a:extLst xmlns:a="http://schemas.openxmlformats.org/drawingml/2006/main">
                      <a:ext uri="{FF2B5EF4-FFF2-40B4-BE49-F238E27FC236}">
                        <a16:creationId xmlns:a16="http://schemas.microsoft.com/office/drawing/2014/main" id="{BD61FBA1-5D7D-414B-93FA-F737D00A37FC}"/>
                      </a:ext>
                      <a:ext uri="{147F2762-F138-4A5C-976F-8EAC2B608ADB}">
                        <a16:predDERef xmlns:a16="http://schemas.microsoft.com/office/drawing/2014/main" pred="{8269B6AE-6FF7-42A2-B9FB-E116A986024C}"/>
                      </a:ext>
                    </a:extLst>
                  </wp:docPr>
                  <wp:cNvGraphicFramePr/>
                  <a:graphic xmlns:a="http://schemas.openxmlformats.org/drawingml/2006/main">
                    <a:graphicData uri="http://schemas.openxmlformats.org/drawingml/2006/picture">
                      <pic:pic xmlns:pic="http://schemas.openxmlformats.org/drawingml/2006/picture">
                        <pic:nvPicPr>
                          <pic:cNvPr id="2" name="Picture 56" descr="P1701C63T32#y1">
                            <a:extLst>
                              <a:ext uri="{FF2B5EF4-FFF2-40B4-BE49-F238E27FC236}">
                                <a16:creationId xmlns:a16="http://schemas.microsoft.com/office/drawing/2014/main" id="{BD61FBA1-5D7D-414B-93FA-F737D00A37FC}"/>
                              </a:ext>
                              <a:ext uri="{147F2762-F138-4A5C-976F-8EAC2B608ADB}">
                                <a16:predDERef xmlns:a16="http://schemas.microsoft.com/office/drawing/2014/main" pred="{8269B6AE-6FF7-42A2-B9FB-E116A986024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30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8B3C45"/>
              <w:right w:val="single" w:sz="4" w:space="0" w:color="8B3C45"/>
            </w:tcBorders>
            <w:shd w:val="clear" w:color="000000" w:fill="FFFFFF"/>
            <w:vAlign w:val="center"/>
            <w:hideMark/>
          </w:tcPr>
          <w:p w14:paraId="5BA97DDA" w14:textId="77777777" w:rsidR="00784BF3" w:rsidRPr="00784BF3" w:rsidRDefault="00784BF3" w:rsidP="00784BF3">
            <w:pPr>
              <w:spacing w:after="0" w:line="240" w:lineRule="auto"/>
              <w:jc w:val="center"/>
              <w:rPr>
                <w:rFonts w:ascii="Arial" w:eastAsia="Times New Roman" w:hAnsi="Arial" w:cs="Arial"/>
                <w:sz w:val="20"/>
                <w:szCs w:val="20"/>
                <w:lang w:eastAsia="en-GB"/>
              </w:rPr>
            </w:pPr>
            <w:r w:rsidRPr="00784BF3">
              <w:rPr>
                <w:rFonts w:ascii="Arial" w:eastAsia="Times New Roman" w:hAnsi="Arial" w:cs="Arial"/>
                <w:sz w:val="20"/>
                <w:szCs w:val="20"/>
                <w:lang w:eastAsia="en-GB"/>
              </w:rPr>
              <w:t>N/A</w:t>
            </w:r>
          </w:p>
        </w:tc>
      </w:tr>
    </w:tbl>
    <w:p w14:paraId="08FE9EB2" w14:textId="77777777" w:rsidR="00456AB7" w:rsidRPr="00D23B44" w:rsidRDefault="00456AB7" w:rsidP="009342A0">
      <w:pPr>
        <w:rPr>
          <w:rFonts w:ascii="Arial" w:hAnsi="Arial" w:cs="Arial"/>
          <w:b/>
          <w:color w:val="8B3C45"/>
          <w:sz w:val="32"/>
          <w:szCs w:val="32"/>
        </w:rPr>
      </w:pPr>
    </w:p>
    <w:p w14:paraId="45FFB915" w14:textId="77777777" w:rsidR="00B0379D" w:rsidRPr="00D23B44" w:rsidRDefault="00E75E6D" w:rsidP="00B0379D">
      <w:pPr>
        <w:spacing w:after="240" w:line="240" w:lineRule="auto"/>
        <w:jc w:val="both"/>
        <w:rPr>
          <w:rStyle w:val="normaltextrun"/>
          <w:rFonts w:ascii="Arial" w:hAnsi="Arial" w:cs="Arial"/>
          <w:b/>
          <w:color w:val="8B3C45"/>
          <w:sz w:val="32"/>
          <w:szCs w:val="32"/>
        </w:rPr>
      </w:pPr>
      <w:r w:rsidRPr="00D23B44">
        <w:rPr>
          <w:rFonts w:ascii="Arial" w:hAnsi="Arial" w:cs="Arial"/>
          <w:b/>
          <w:color w:val="8B3C45"/>
          <w:sz w:val="32"/>
          <w:szCs w:val="32"/>
        </w:rPr>
        <w:t>Summary of Performance against outcome and action for improvement</w:t>
      </w:r>
    </w:p>
    <w:p w14:paraId="7E6C3FB4" w14:textId="77777777" w:rsidR="00B0379D" w:rsidRPr="00D23B44" w:rsidRDefault="00E75E6D" w:rsidP="00B0379D">
      <w:pPr>
        <w:pStyle w:val="ListBullet"/>
        <w:numPr>
          <w:ilvl w:val="0"/>
          <w:numId w:val="0"/>
        </w:numPr>
        <w:spacing w:after="120" w:line="240" w:lineRule="auto"/>
        <w:contextualSpacing w:val="0"/>
        <w:rPr>
          <w:rStyle w:val="normaltextrun"/>
          <w:rFonts w:ascii="Arial" w:hAnsi="Arial" w:cs="Arial"/>
          <w:b/>
          <w:color w:val="8B3C45"/>
          <w:sz w:val="32"/>
          <w:szCs w:val="32"/>
        </w:rPr>
      </w:pPr>
      <w:r w:rsidRPr="00D23B44">
        <w:rPr>
          <w:rStyle w:val="normaltextrun"/>
          <w:rFonts w:ascii="Arial" w:hAnsi="Arial" w:cs="Arial"/>
          <w:b/>
          <w:color w:val="8B3C45"/>
          <w:sz w:val="32"/>
          <w:szCs w:val="32"/>
        </w:rPr>
        <w:t>Outcome – Our local economy recovers and grows and people’s skills and access to jobs improves</w:t>
      </w:r>
    </w:p>
    <w:tbl>
      <w:tblPr>
        <w:tblStyle w:val="TableGrid"/>
        <w:tblW w:w="0" w:type="auto"/>
        <w:tblBorders>
          <w:top w:val="single" w:sz="4" w:space="0" w:color="8B3C45"/>
          <w:left w:val="single" w:sz="4" w:space="0" w:color="8B3C45"/>
          <w:bottom w:val="single" w:sz="4" w:space="0" w:color="8B3C45"/>
          <w:right w:val="single" w:sz="4" w:space="0" w:color="8B3C45"/>
          <w:insideH w:val="single" w:sz="4" w:space="0" w:color="8B3C45"/>
          <w:insideV w:val="single" w:sz="4" w:space="0" w:color="8B3C45"/>
        </w:tblBorders>
        <w:tblLook w:val="04A0" w:firstRow="1" w:lastRow="0" w:firstColumn="1" w:lastColumn="0" w:noHBand="0" w:noVBand="1"/>
      </w:tblPr>
      <w:tblGrid>
        <w:gridCol w:w="8359"/>
        <w:gridCol w:w="7029"/>
      </w:tblGrid>
      <w:tr w:rsidR="00970157" w14:paraId="24E7005C" w14:textId="77777777" w:rsidTr="00BF338A">
        <w:tc>
          <w:tcPr>
            <w:tcW w:w="8359" w:type="dxa"/>
            <w:shd w:val="clear" w:color="auto" w:fill="8B3C45"/>
          </w:tcPr>
          <w:p w14:paraId="19D4DDDF"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8B3C45"/>
          </w:tcPr>
          <w:p w14:paraId="165062B2" w14:textId="77777777" w:rsidR="00B0379D" w:rsidRPr="00896DF5" w:rsidRDefault="00B0379D" w:rsidP="00B0379D">
            <w:pPr>
              <w:spacing w:after="120"/>
              <w:jc w:val="both"/>
              <w:rPr>
                <w:rFonts w:ascii="Arial" w:hAnsi="Arial" w:cs="Arial"/>
                <w:b/>
                <w:bCs/>
                <w:color w:val="FFFFFF" w:themeColor="background1"/>
              </w:rPr>
            </w:pPr>
          </w:p>
        </w:tc>
      </w:tr>
      <w:tr w:rsidR="00970157" w14:paraId="6F863F21" w14:textId="77777777" w:rsidTr="00BF338A">
        <w:tc>
          <w:tcPr>
            <w:tcW w:w="15388" w:type="dxa"/>
            <w:gridSpan w:val="2"/>
          </w:tcPr>
          <w:p w14:paraId="55D80959" w14:textId="3EEC4EC5" w:rsidR="00BF338A" w:rsidRPr="002875DC" w:rsidRDefault="00BF338A" w:rsidP="5CFE7C4C">
            <w:pPr>
              <w:pStyle w:val="ListParagraph"/>
              <w:numPr>
                <w:ilvl w:val="0"/>
                <w:numId w:val="28"/>
              </w:numPr>
              <w:spacing w:before="120" w:after="120"/>
              <w:ind w:left="714" w:hanging="357"/>
              <w:rPr>
                <w:rFonts w:ascii="Arial" w:hAnsi="Arial" w:cs="Arial"/>
              </w:rPr>
            </w:pPr>
            <w:r w:rsidRPr="38E522B3">
              <w:rPr>
                <w:rFonts w:ascii="Arial" w:eastAsiaTheme="minorEastAsia" w:hAnsi="Arial" w:cs="Arial"/>
                <w:b/>
              </w:rPr>
              <w:t>G&amp;P-003</w:t>
            </w:r>
            <w:r w:rsidRPr="38E522B3">
              <w:rPr>
                <w:rFonts w:ascii="Arial" w:eastAsiaTheme="minorEastAsia" w:hAnsi="Arial" w:cs="Arial"/>
              </w:rPr>
              <w:t xml:space="preserve"> - </w:t>
            </w:r>
            <w:r w:rsidRPr="38E522B3">
              <w:rPr>
                <w:rFonts w:ascii="Arial" w:hAnsi="Arial" w:cs="Arial"/>
              </w:rPr>
              <w:t xml:space="preserve">The number of people supported into Employment, Education and Training through the </w:t>
            </w:r>
            <w:r w:rsidRPr="38E522B3">
              <w:rPr>
                <w:rFonts w:ascii="Arial" w:hAnsi="Arial" w:cs="Arial"/>
                <w:shd w:val="clear" w:color="auto" w:fill="FFFFFF"/>
              </w:rPr>
              <w:t xml:space="preserve">Ways to Work </w:t>
            </w:r>
            <w:r w:rsidR="56C8EEF7" w:rsidRPr="38E522B3">
              <w:rPr>
                <w:rFonts w:ascii="Arial" w:hAnsi="Arial" w:cs="Arial"/>
                <w:shd w:val="clear" w:color="auto" w:fill="FFFFFF"/>
              </w:rPr>
              <w:t>scheme</w:t>
            </w:r>
            <w:r w:rsidRPr="38E522B3">
              <w:rPr>
                <w:rFonts w:ascii="Arial" w:hAnsi="Arial" w:cs="Arial"/>
                <w:shd w:val="clear" w:color="auto" w:fill="FFFFFF"/>
              </w:rPr>
              <w:t xml:space="preserve"> over the course of Quarter 1 was 28. The </w:t>
            </w:r>
            <w:r w:rsidR="065136EF" w:rsidRPr="427281F6">
              <w:rPr>
                <w:rFonts w:ascii="Arial" w:hAnsi="Arial" w:cs="Arial"/>
                <w:shd w:val="clear" w:color="auto" w:fill="FFFFFF"/>
              </w:rPr>
              <w:t>202</w:t>
            </w:r>
            <w:r w:rsidR="6694DDB0" w:rsidRPr="427281F6">
              <w:rPr>
                <w:rFonts w:ascii="Arial" w:hAnsi="Arial" w:cs="Arial"/>
                <w:shd w:val="clear" w:color="auto" w:fill="FFFFFF"/>
              </w:rPr>
              <w:t>4</w:t>
            </w:r>
            <w:r w:rsidR="065136EF" w:rsidRPr="38E522B3">
              <w:rPr>
                <w:rFonts w:ascii="Arial" w:hAnsi="Arial" w:cs="Arial"/>
                <w:shd w:val="clear" w:color="auto" w:fill="FFFFFF"/>
              </w:rPr>
              <w:t>-</w:t>
            </w:r>
            <w:r w:rsidR="065136EF" w:rsidRPr="25C86416">
              <w:rPr>
                <w:rFonts w:ascii="Arial" w:hAnsi="Arial" w:cs="Arial"/>
                <w:shd w:val="clear" w:color="auto" w:fill="FFFFFF"/>
              </w:rPr>
              <w:t>2</w:t>
            </w:r>
            <w:r w:rsidR="32272875" w:rsidRPr="25C86416">
              <w:rPr>
                <w:rFonts w:ascii="Arial" w:hAnsi="Arial" w:cs="Arial"/>
                <w:shd w:val="clear" w:color="auto" w:fill="FFFFFF"/>
              </w:rPr>
              <w:t>5</w:t>
            </w:r>
            <w:r w:rsidRPr="38E522B3">
              <w:rPr>
                <w:rFonts w:ascii="Arial" w:hAnsi="Arial" w:cs="Arial"/>
                <w:shd w:val="clear" w:color="auto" w:fill="FFFFFF"/>
              </w:rPr>
              <w:t xml:space="preserve"> target was established based on the </w:t>
            </w:r>
            <w:r w:rsidR="41F31C80" w:rsidRPr="38E522B3">
              <w:rPr>
                <w:rFonts w:ascii="Arial" w:hAnsi="Arial" w:cs="Arial"/>
                <w:shd w:val="clear" w:color="auto" w:fill="FFFFFF"/>
              </w:rPr>
              <w:t>UKSPF</w:t>
            </w:r>
            <w:r w:rsidR="065136EF" w:rsidRPr="38E522B3">
              <w:rPr>
                <w:rFonts w:ascii="Arial" w:hAnsi="Arial" w:cs="Arial"/>
                <w:shd w:val="clear" w:color="auto" w:fill="FFFFFF"/>
              </w:rPr>
              <w:t xml:space="preserve"> </w:t>
            </w:r>
            <w:r w:rsidRPr="38E522B3">
              <w:rPr>
                <w:rFonts w:ascii="Arial" w:hAnsi="Arial" w:cs="Arial"/>
                <w:shd w:val="clear" w:color="auto" w:fill="FFFFFF"/>
              </w:rPr>
              <w:t xml:space="preserve">programme funding outputs for </w:t>
            </w:r>
            <w:r w:rsidR="19A7A255" w:rsidRPr="38E522B3">
              <w:rPr>
                <w:rFonts w:ascii="Arial" w:hAnsi="Arial" w:cs="Arial"/>
                <w:shd w:val="clear" w:color="auto" w:fill="FFFFFF"/>
              </w:rPr>
              <w:t>Ways To Work</w:t>
            </w:r>
            <w:r w:rsidR="065136EF" w:rsidRPr="38E522B3">
              <w:rPr>
                <w:rFonts w:ascii="Arial" w:hAnsi="Arial" w:cs="Arial"/>
                <w:shd w:val="clear" w:color="auto" w:fill="FFFFFF"/>
              </w:rPr>
              <w:t>.</w:t>
            </w:r>
            <w:r w:rsidRPr="38E522B3">
              <w:rPr>
                <w:rFonts w:ascii="Arial" w:hAnsi="Arial" w:cs="Arial"/>
                <w:shd w:val="clear" w:color="auto" w:fill="FFFFFF"/>
              </w:rPr>
              <w:t xml:space="preserve"> </w:t>
            </w:r>
            <w:r w:rsidR="37CB5355" w:rsidRPr="5BB47558">
              <w:rPr>
                <w:rFonts w:ascii="Arial" w:hAnsi="Arial" w:cs="Arial"/>
                <w:shd w:val="clear" w:color="auto" w:fill="FFFFFF"/>
              </w:rPr>
              <w:t>At this stage the scheme is on track to achieve its full outputs over the 12 month period.</w:t>
            </w:r>
          </w:p>
          <w:p w14:paraId="5BEB8368" w14:textId="77777777" w:rsidR="00BF338A" w:rsidRPr="002875DC" w:rsidRDefault="00BF338A" w:rsidP="00BF338A">
            <w:pPr>
              <w:pStyle w:val="ListParagraph"/>
              <w:numPr>
                <w:ilvl w:val="0"/>
                <w:numId w:val="28"/>
              </w:numPr>
              <w:spacing w:before="120" w:after="120"/>
              <w:contextualSpacing w:val="0"/>
              <w:rPr>
                <w:rFonts w:ascii="Arial" w:hAnsi="Arial" w:cs="Arial"/>
              </w:rPr>
            </w:pPr>
            <w:r w:rsidRPr="002875DC">
              <w:rPr>
                <w:rFonts w:ascii="Arial" w:eastAsiaTheme="minorEastAsia" w:hAnsi="Arial" w:cs="Arial"/>
                <w:b/>
                <w:bCs/>
              </w:rPr>
              <w:t>G&amp;P-005A</w:t>
            </w:r>
            <w:r w:rsidRPr="002875DC">
              <w:rPr>
                <w:rFonts w:ascii="Arial" w:eastAsiaTheme="minorEastAsia" w:hAnsi="Arial" w:cs="Arial"/>
              </w:rPr>
              <w:t xml:space="preserve"> – There has been no further update to the rate of employment since that reported within the Performance Outturn Report 2023-24. The latest r</w:t>
            </w:r>
            <w:r w:rsidRPr="002875DC">
              <w:rPr>
                <w:rFonts w:ascii="Arial" w:hAnsi="Arial" w:cs="Arial"/>
              </w:rPr>
              <w:t>ate of employment sits at 74.4% (January to December 2023), below the 2024-25 annual target of 78%. There has been an increase in the rate of employment over the12 month period to December 2023, but the rate fell within the last quarter. St Helens current rate of 74.4% remains above the NW average of 73.8 but below the England average of 76.</w:t>
            </w:r>
          </w:p>
          <w:p w14:paraId="751D1215" w14:textId="13516D6C" w:rsidR="00BF338A" w:rsidRPr="002875DC" w:rsidRDefault="00BF338A" w:rsidP="00BF338A">
            <w:pPr>
              <w:pStyle w:val="ListParagraph"/>
              <w:numPr>
                <w:ilvl w:val="0"/>
                <w:numId w:val="28"/>
              </w:numPr>
              <w:spacing w:before="120" w:after="120"/>
              <w:contextualSpacing w:val="0"/>
              <w:rPr>
                <w:rFonts w:ascii="Arial" w:hAnsi="Arial" w:cs="Arial"/>
              </w:rPr>
            </w:pPr>
            <w:r w:rsidRPr="002875DC">
              <w:rPr>
                <w:rFonts w:ascii="Arial" w:eastAsiaTheme="minorEastAsia" w:hAnsi="Arial" w:cs="Arial"/>
                <w:b/>
                <w:bCs/>
              </w:rPr>
              <w:t>G&amp;P-005B</w:t>
            </w:r>
            <w:r w:rsidRPr="002875DC">
              <w:rPr>
                <w:rFonts w:ascii="Arial" w:eastAsiaTheme="minorEastAsia" w:hAnsi="Arial" w:cs="Arial"/>
              </w:rPr>
              <w:t xml:space="preserve"> – The n</w:t>
            </w:r>
            <w:r w:rsidRPr="002875DC">
              <w:rPr>
                <w:rFonts w:ascii="Arial" w:hAnsi="Arial" w:cs="Arial"/>
              </w:rPr>
              <w:t xml:space="preserve">umber of claimants 18-24 as a proportion of all residents of the same age has met target for the </w:t>
            </w:r>
            <w:r w:rsidR="00BA0D1F" w:rsidRPr="002875DC">
              <w:rPr>
                <w:rFonts w:ascii="Arial" w:hAnsi="Arial" w:cs="Arial"/>
              </w:rPr>
              <w:t>quarter but</w:t>
            </w:r>
            <w:r w:rsidRPr="002875DC">
              <w:rPr>
                <w:rFonts w:ascii="Arial" w:hAnsi="Arial" w:cs="Arial"/>
              </w:rPr>
              <w:t xml:space="preserve"> remains comparatively high. The latest data is for May 2024 where 8.0% of 18–24-year-olds were claiming benefits, which represents a small increase on the 7.8% claiming benefits in May 2023, but the same as the rate in April 2024. The annual target for 2024-25 is set at 7.7%. The latest claimant rate within St Helens for 18–24-year-olds exceeds the North West average of 5.8% and the England average of 5.1%. There are many factors influencing this data, such as macro-economic and local labour market issues. </w:t>
            </w:r>
          </w:p>
          <w:p w14:paraId="6B8BDC10" w14:textId="59044D83" w:rsidR="00BB68F2" w:rsidRPr="00BF338A" w:rsidRDefault="00BF338A" w:rsidP="00BF338A">
            <w:pPr>
              <w:pStyle w:val="ListParagraph"/>
              <w:numPr>
                <w:ilvl w:val="0"/>
                <w:numId w:val="28"/>
              </w:numPr>
              <w:spacing w:before="120" w:after="120"/>
              <w:contextualSpacing w:val="0"/>
              <w:rPr>
                <w:rFonts w:ascii="Arial" w:hAnsi="Arial" w:cs="Arial"/>
              </w:rPr>
            </w:pPr>
            <w:r w:rsidRPr="002875DC">
              <w:rPr>
                <w:rFonts w:ascii="Arial" w:eastAsiaTheme="minorEastAsia" w:hAnsi="Arial" w:cs="Arial"/>
                <w:b/>
                <w:bCs/>
              </w:rPr>
              <w:t>G&amp;P-007</w:t>
            </w:r>
            <w:r w:rsidRPr="002875DC">
              <w:rPr>
                <w:rFonts w:ascii="Arial" w:eastAsiaTheme="minorEastAsia" w:hAnsi="Arial" w:cs="Arial"/>
              </w:rPr>
              <w:t xml:space="preserve"> - There has been no further update to the economic inactivity rate due to long-term sickness since that reported within the Performance Outturn Report 2023-24. St Helens’ economic inactivity rate due to long-term sickness as a percentage of all economically inactive people aged 16-64 stands at 44.5.%, which is marginally better than the annual target of 45</w:t>
            </w:r>
            <w:r w:rsidR="00BA0D1F" w:rsidRPr="002875DC">
              <w:rPr>
                <w:rFonts w:ascii="Arial" w:eastAsiaTheme="minorEastAsia" w:hAnsi="Arial" w:cs="Arial"/>
              </w:rPr>
              <w:t>%.</w:t>
            </w:r>
            <w:r w:rsidRPr="002875DC">
              <w:rPr>
                <w:rFonts w:ascii="Arial" w:eastAsiaTheme="minorEastAsia" w:hAnsi="Arial" w:cs="Arial"/>
              </w:rPr>
              <w:t xml:space="preserve"> This is based on ONS January to December 2023 data and represents a reduction on the ONS October 2022 to September 2023 data for St Helens of 52.8%.  St Helens latest economic inactivity rate due to long-term sickness of 44.5% is significantly higher than the North West average of 30% and the England average of 26.3%. This is a key issue for St Helens and a focus of the Inclusive Growth Strategy.</w:t>
            </w:r>
          </w:p>
        </w:tc>
      </w:tr>
      <w:tr w:rsidR="00970157" w14:paraId="48868983" w14:textId="77777777" w:rsidTr="00BF338A">
        <w:tc>
          <w:tcPr>
            <w:tcW w:w="15388" w:type="dxa"/>
            <w:gridSpan w:val="2"/>
            <w:shd w:val="clear" w:color="auto" w:fill="8B3C45"/>
          </w:tcPr>
          <w:p w14:paraId="0C30D5CB" w14:textId="77777777" w:rsidR="00B0379D" w:rsidRPr="0086192C" w:rsidRDefault="00E75E6D" w:rsidP="00B0379D">
            <w:pPr>
              <w:pStyle w:val="ListBullet"/>
              <w:numPr>
                <w:ilvl w:val="0"/>
                <w:numId w:val="0"/>
              </w:numPr>
              <w:spacing w:after="120"/>
              <w:contextualSpacing w:val="0"/>
              <w:jc w:val="both"/>
              <w:rPr>
                <w:rFonts w:ascii="Arial" w:hAnsi="Arial" w:cs="Arial"/>
              </w:rPr>
            </w:pPr>
            <w:r w:rsidRPr="00896DF5">
              <w:rPr>
                <w:rFonts w:ascii="Arial" w:hAnsi="Arial" w:cs="Arial"/>
                <w:b/>
                <w:bCs/>
                <w:color w:val="FFFFFF" w:themeColor="background1"/>
              </w:rPr>
              <w:t>Action for Improvement</w:t>
            </w:r>
          </w:p>
        </w:tc>
      </w:tr>
      <w:tr w:rsidR="00970157" w14:paraId="341A412B" w14:textId="77777777" w:rsidTr="00BF338A">
        <w:tc>
          <w:tcPr>
            <w:tcW w:w="15388" w:type="dxa"/>
            <w:gridSpan w:val="2"/>
          </w:tcPr>
          <w:p w14:paraId="67975810" w14:textId="43494215" w:rsidR="001432E2" w:rsidRPr="00DD50E1" w:rsidRDefault="4B700587" w:rsidP="00834DD9">
            <w:pPr>
              <w:pStyle w:val="ListBullet"/>
              <w:tabs>
                <w:tab w:val="clear" w:pos="360"/>
                <w:tab w:val="num" w:pos="709"/>
              </w:tabs>
              <w:spacing w:before="80" w:after="120"/>
              <w:ind w:left="741" w:hanging="315"/>
              <w:jc w:val="both"/>
              <w:rPr>
                <w:rFonts w:ascii="Arial" w:eastAsiaTheme="minorEastAsia" w:hAnsi="Arial" w:cs="Arial"/>
              </w:rPr>
            </w:pPr>
            <w:r w:rsidRPr="3A064F40">
              <w:rPr>
                <w:rFonts w:ascii="Arial" w:eastAsiaTheme="minorEastAsia" w:hAnsi="Arial" w:cs="Arial"/>
                <w:b/>
                <w:bCs/>
              </w:rPr>
              <w:t>G&amp;P-003 / 005A / 005B / 007 –</w:t>
            </w:r>
            <w:r w:rsidRPr="0019614B">
              <w:rPr>
                <w:rFonts w:ascii="Arial" w:eastAsiaTheme="minorEastAsia" w:hAnsi="Arial" w:cs="Arial"/>
              </w:rPr>
              <w:t xml:space="preserve"> </w:t>
            </w:r>
            <w:r w:rsidR="0019614B" w:rsidRPr="0019614B">
              <w:rPr>
                <w:rFonts w:ascii="Arial" w:eastAsiaTheme="minorEastAsia" w:hAnsi="Arial" w:cs="Arial"/>
              </w:rPr>
              <w:t>A</w:t>
            </w:r>
            <w:r w:rsidRPr="3A064F40">
              <w:rPr>
                <w:rFonts w:ascii="Arial" w:eastAsiaTheme="minorEastAsia" w:hAnsi="Arial" w:cs="Arial"/>
              </w:rPr>
              <w:t xml:space="preserve"> new programme of funding for Ways To Work</w:t>
            </w:r>
            <w:r w:rsidR="0892FB09" w:rsidRPr="24645C17">
              <w:rPr>
                <w:rFonts w:ascii="Arial" w:eastAsiaTheme="minorEastAsia" w:hAnsi="Arial" w:cs="Arial"/>
              </w:rPr>
              <w:t xml:space="preserve"> started in Q</w:t>
            </w:r>
            <w:r w:rsidR="0019614B">
              <w:rPr>
                <w:rFonts w:ascii="Arial" w:eastAsiaTheme="minorEastAsia" w:hAnsi="Arial" w:cs="Arial"/>
              </w:rPr>
              <w:t xml:space="preserve">uarter </w:t>
            </w:r>
            <w:r w:rsidR="0892FB09" w:rsidRPr="24645C17">
              <w:rPr>
                <w:rFonts w:ascii="Arial" w:eastAsiaTheme="minorEastAsia" w:hAnsi="Arial" w:cs="Arial"/>
              </w:rPr>
              <w:t>1</w:t>
            </w:r>
            <w:r w:rsidR="14E9B904" w:rsidRPr="257ED2F4">
              <w:rPr>
                <w:rFonts w:ascii="Arial" w:eastAsiaTheme="minorEastAsia" w:hAnsi="Arial" w:cs="Arial"/>
              </w:rPr>
              <w:t xml:space="preserve">, funded via </w:t>
            </w:r>
            <w:r w:rsidR="00B0686D">
              <w:rPr>
                <w:rFonts w:ascii="Arial" w:eastAsiaTheme="minorEastAsia" w:hAnsi="Arial" w:cs="Arial"/>
              </w:rPr>
              <w:t xml:space="preserve">the </w:t>
            </w:r>
            <w:r w:rsidR="14E9B904" w:rsidRPr="257ED2F4">
              <w:rPr>
                <w:rFonts w:ascii="Arial" w:eastAsiaTheme="minorEastAsia" w:hAnsi="Arial" w:cs="Arial"/>
              </w:rPr>
              <w:t xml:space="preserve">UK Shared </w:t>
            </w:r>
            <w:r w:rsidR="14E9B904" w:rsidRPr="46F3C0E2">
              <w:rPr>
                <w:rFonts w:ascii="Arial" w:eastAsiaTheme="minorEastAsia" w:hAnsi="Arial" w:cs="Arial"/>
              </w:rPr>
              <w:t xml:space="preserve">Prosperity Fund, </w:t>
            </w:r>
            <w:r w:rsidR="58BEB542" w:rsidRPr="24645C17">
              <w:rPr>
                <w:rFonts w:ascii="Arial" w:eastAsiaTheme="minorEastAsia" w:hAnsi="Arial" w:cs="Arial"/>
              </w:rPr>
              <w:t xml:space="preserve">and </w:t>
            </w:r>
            <w:r w:rsidR="14E9B904" w:rsidRPr="46F3C0E2">
              <w:rPr>
                <w:rFonts w:ascii="Arial" w:eastAsiaTheme="minorEastAsia" w:hAnsi="Arial" w:cs="Arial"/>
              </w:rPr>
              <w:t xml:space="preserve">will particularly target </w:t>
            </w:r>
            <w:r w:rsidR="14E9B904" w:rsidRPr="6392381B">
              <w:rPr>
                <w:rFonts w:ascii="Arial" w:eastAsiaTheme="minorEastAsia" w:hAnsi="Arial" w:cs="Arial"/>
              </w:rPr>
              <w:t>economically</w:t>
            </w:r>
            <w:r w:rsidR="14E9B904" w:rsidRPr="46F3C0E2">
              <w:rPr>
                <w:rFonts w:ascii="Arial" w:eastAsiaTheme="minorEastAsia" w:hAnsi="Arial" w:cs="Arial"/>
              </w:rPr>
              <w:t xml:space="preserve"> inactive residents and </w:t>
            </w:r>
            <w:r w:rsidR="14E9B904" w:rsidRPr="6392381B">
              <w:rPr>
                <w:rFonts w:ascii="Arial" w:eastAsiaTheme="minorEastAsia" w:hAnsi="Arial" w:cs="Arial"/>
              </w:rPr>
              <w:t>will respond to larger scale redundancies and recruitments</w:t>
            </w:r>
            <w:r w:rsidR="14E9B904" w:rsidRPr="7DF6DDCC">
              <w:rPr>
                <w:rFonts w:ascii="Arial" w:eastAsiaTheme="minorEastAsia" w:hAnsi="Arial" w:cs="Arial"/>
              </w:rPr>
              <w:t>.</w:t>
            </w:r>
            <w:r w:rsidR="66606599" w:rsidRPr="7BC53EED">
              <w:rPr>
                <w:rFonts w:ascii="Arial" w:eastAsiaTheme="minorEastAsia" w:hAnsi="Arial" w:cs="Arial"/>
              </w:rPr>
              <w:t xml:space="preserve"> </w:t>
            </w:r>
            <w:r w:rsidR="66606599" w:rsidRPr="581D2E31">
              <w:rPr>
                <w:rFonts w:ascii="Arial" w:eastAsiaTheme="minorEastAsia" w:hAnsi="Arial" w:cs="Arial"/>
              </w:rPr>
              <w:t xml:space="preserve">Jobs fairs, meet the employer events and outreach engagement with partner agencies will </w:t>
            </w:r>
            <w:r w:rsidR="66606599" w:rsidRPr="24645C17">
              <w:rPr>
                <w:rFonts w:ascii="Arial" w:eastAsiaTheme="minorEastAsia" w:hAnsi="Arial" w:cs="Arial"/>
              </w:rPr>
              <w:t>continue.</w:t>
            </w:r>
            <w:r w:rsidR="1136DB19" w:rsidRPr="6755BBAA">
              <w:rPr>
                <w:rFonts w:ascii="Arial" w:eastAsiaTheme="minorEastAsia" w:hAnsi="Arial" w:cs="Arial"/>
              </w:rPr>
              <w:t xml:space="preserve"> </w:t>
            </w:r>
            <w:r w:rsidR="6D49A701" w:rsidRPr="72413A39">
              <w:rPr>
                <w:rFonts w:ascii="Arial" w:eastAsiaTheme="minorEastAsia" w:hAnsi="Arial" w:cs="Arial"/>
              </w:rPr>
              <w:t>Intermediate labour market</w:t>
            </w:r>
            <w:r w:rsidR="6D49A701" w:rsidRPr="70C74FBB">
              <w:rPr>
                <w:rFonts w:ascii="Arial" w:eastAsiaTheme="minorEastAsia" w:hAnsi="Arial" w:cs="Arial"/>
              </w:rPr>
              <w:t xml:space="preserve"> 6 month</w:t>
            </w:r>
            <w:r w:rsidR="6D49A701" w:rsidRPr="72413A39">
              <w:rPr>
                <w:rFonts w:ascii="Arial" w:eastAsiaTheme="minorEastAsia" w:hAnsi="Arial" w:cs="Arial"/>
              </w:rPr>
              <w:t xml:space="preserve"> placements (ILMs) have been </w:t>
            </w:r>
            <w:r w:rsidR="6D49A701" w:rsidRPr="315901A5">
              <w:rPr>
                <w:rFonts w:ascii="Arial" w:eastAsiaTheme="minorEastAsia" w:hAnsi="Arial" w:cs="Arial"/>
              </w:rPr>
              <w:t xml:space="preserve">organised with local businesses and are expected to deliver </w:t>
            </w:r>
            <w:r w:rsidR="6D49A701" w:rsidRPr="70C74FBB">
              <w:rPr>
                <w:rFonts w:ascii="Arial" w:eastAsiaTheme="minorEastAsia" w:hAnsi="Arial" w:cs="Arial"/>
              </w:rPr>
              <w:t xml:space="preserve">at least </w:t>
            </w:r>
            <w:r w:rsidR="6D49A701" w:rsidRPr="315901A5">
              <w:rPr>
                <w:rFonts w:ascii="Arial" w:eastAsiaTheme="minorEastAsia" w:hAnsi="Arial" w:cs="Arial"/>
              </w:rPr>
              <w:t xml:space="preserve">21 job outcomes for those furthest from the </w:t>
            </w:r>
            <w:r w:rsidR="6D49A701" w:rsidRPr="70C74FBB">
              <w:rPr>
                <w:rFonts w:ascii="Arial" w:eastAsiaTheme="minorEastAsia" w:hAnsi="Arial" w:cs="Arial"/>
              </w:rPr>
              <w:t xml:space="preserve">labour market. </w:t>
            </w:r>
            <w:r w:rsidR="1136DB19" w:rsidRPr="70C74FBB">
              <w:rPr>
                <w:rFonts w:ascii="Arial" w:eastAsiaTheme="minorEastAsia" w:hAnsi="Arial" w:cs="Arial"/>
              </w:rPr>
              <w:t>Social</w:t>
            </w:r>
            <w:r w:rsidR="1136DB19" w:rsidRPr="75BF4DA8">
              <w:rPr>
                <w:rFonts w:ascii="Arial" w:eastAsiaTheme="minorEastAsia" w:hAnsi="Arial" w:cs="Arial"/>
              </w:rPr>
              <w:t xml:space="preserve"> value will continue to be built into planning conditions and contracts</w:t>
            </w:r>
            <w:r w:rsidR="1136DB19" w:rsidRPr="33456BD0">
              <w:rPr>
                <w:rFonts w:ascii="Arial" w:eastAsiaTheme="minorEastAsia" w:hAnsi="Arial" w:cs="Arial"/>
              </w:rPr>
              <w:t xml:space="preserve">. </w:t>
            </w:r>
          </w:p>
        </w:tc>
      </w:tr>
    </w:tbl>
    <w:p w14:paraId="4E720289" w14:textId="62B11704" w:rsidR="2139F665" w:rsidRDefault="2139F665" w:rsidP="00834DD9">
      <w:pPr>
        <w:tabs>
          <w:tab w:val="num" w:pos="709"/>
        </w:tabs>
        <w:ind w:firstLine="66"/>
      </w:pPr>
    </w:p>
    <w:p w14:paraId="6E42E2EA" w14:textId="77777777" w:rsidR="00B0379D" w:rsidRPr="00D23B44" w:rsidRDefault="00E75E6D" w:rsidP="00834DD9">
      <w:pPr>
        <w:pStyle w:val="ListBullet"/>
        <w:numPr>
          <w:ilvl w:val="0"/>
          <w:numId w:val="0"/>
        </w:numPr>
        <w:tabs>
          <w:tab w:val="num" w:pos="709"/>
        </w:tabs>
        <w:spacing w:before="240" w:after="120" w:line="240" w:lineRule="auto"/>
        <w:ind w:firstLine="66"/>
        <w:contextualSpacing w:val="0"/>
        <w:rPr>
          <w:rStyle w:val="normaltextrun"/>
          <w:rFonts w:ascii="Arial" w:hAnsi="Arial" w:cs="Arial"/>
          <w:b/>
          <w:color w:val="8B3C45"/>
          <w:sz w:val="32"/>
          <w:szCs w:val="32"/>
        </w:rPr>
      </w:pPr>
      <w:r w:rsidRPr="00D23B44">
        <w:rPr>
          <w:rStyle w:val="normaltextrun"/>
          <w:rFonts w:ascii="Arial" w:hAnsi="Arial" w:cs="Arial"/>
          <w:b/>
          <w:color w:val="8B3C45"/>
          <w:sz w:val="32"/>
          <w:szCs w:val="32"/>
        </w:rPr>
        <w:t>Outcome – Our town and neighbourhood centres are vibrant places for all to use, value and enjoy</w:t>
      </w:r>
    </w:p>
    <w:tbl>
      <w:tblPr>
        <w:tblStyle w:val="TableGrid"/>
        <w:tblW w:w="0" w:type="auto"/>
        <w:tblBorders>
          <w:top w:val="single" w:sz="4" w:space="0" w:color="8B3C45"/>
          <w:left w:val="single" w:sz="4" w:space="0" w:color="8B3C45"/>
          <w:bottom w:val="single" w:sz="4" w:space="0" w:color="8B3C45"/>
          <w:right w:val="single" w:sz="4" w:space="0" w:color="8B3C45"/>
          <w:insideH w:val="single" w:sz="4" w:space="0" w:color="8B3C45"/>
          <w:insideV w:val="single" w:sz="4" w:space="0" w:color="8B3C45"/>
        </w:tblBorders>
        <w:tblLook w:val="04A0" w:firstRow="1" w:lastRow="0" w:firstColumn="1" w:lastColumn="0" w:noHBand="0" w:noVBand="1"/>
      </w:tblPr>
      <w:tblGrid>
        <w:gridCol w:w="8359"/>
        <w:gridCol w:w="7029"/>
      </w:tblGrid>
      <w:tr w:rsidR="00970157" w14:paraId="704AC6E6" w14:textId="77777777" w:rsidTr="00B8AFBC">
        <w:tc>
          <w:tcPr>
            <w:tcW w:w="8359" w:type="dxa"/>
            <w:shd w:val="clear" w:color="auto" w:fill="8B3C45"/>
          </w:tcPr>
          <w:p w14:paraId="1708121D" w14:textId="77777777" w:rsidR="00B0379D" w:rsidRPr="00896DF5" w:rsidRDefault="00E75E6D" w:rsidP="00834DD9">
            <w:pPr>
              <w:tabs>
                <w:tab w:val="num" w:pos="709"/>
              </w:tabs>
              <w:spacing w:after="120"/>
              <w:ind w:firstLine="66"/>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8B3C45"/>
          </w:tcPr>
          <w:p w14:paraId="2BAB939D" w14:textId="77777777" w:rsidR="00B0379D" w:rsidRPr="00896DF5" w:rsidRDefault="00B0379D" w:rsidP="00834DD9">
            <w:pPr>
              <w:tabs>
                <w:tab w:val="num" w:pos="709"/>
              </w:tabs>
              <w:spacing w:after="120"/>
              <w:ind w:firstLine="66"/>
              <w:jc w:val="both"/>
              <w:rPr>
                <w:rFonts w:ascii="Arial" w:hAnsi="Arial" w:cs="Arial"/>
                <w:b/>
                <w:bCs/>
                <w:color w:val="FFFFFF" w:themeColor="background1"/>
              </w:rPr>
            </w:pPr>
          </w:p>
        </w:tc>
      </w:tr>
      <w:tr w:rsidR="00970157" w14:paraId="068CF04A" w14:textId="77777777" w:rsidTr="00B8AFBC">
        <w:tc>
          <w:tcPr>
            <w:tcW w:w="15388" w:type="dxa"/>
            <w:gridSpan w:val="2"/>
            <w:shd w:val="clear" w:color="auto" w:fill="FFFFFF" w:themeFill="background1"/>
          </w:tcPr>
          <w:p w14:paraId="79A63B58" w14:textId="77777777" w:rsidR="004D276A" w:rsidRDefault="004D276A" w:rsidP="004D276A">
            <w:pPr>
              <w:pStyle w:val="ListParagraph"/>
              <w:numPr>
                <w:ilvl w:val="0"/>
                <w:numId w:val="54"/>
              </w:numPr>
              <w:spacing w:before="120" w:after="120"/>
              <w:contextualSpacing w:val="0"/>
              <w:rPr>
                <w:rFonts w:ascii="Arial" w:hAnsi="Arial" w:cs="Arial"/>
              </w:rPr>
            </w:pPr>
            <w:r w:rsidRPr="00834DD9">
              <w:rPr>
                <w:rFonts w:ascii="Arial" w:eastAsiaTheme="minorEastAsia" w:hAnsi="Arial" w:cs="Arial"/>
                <w:b/>
                <w:bCs/>
              </w:rPr>
              <w:t>G&amp;P-013</w:t>
            </w:r>
            <w:r w:rsidRPr="00834DD9">
              <w:rPr>
                <w:rFonts w:ascii="Arial" w:eastAsiaTheme="minorEastAsia" w:hAnsi="Arial" w:cs="Arial"/>
              </w:rPr>
              <w:t xml:space="preserve"> – </w:t>
            </w:r>
            <w:r w:rsidRPr="00834DD9">
              <w:rPr>
                <w:rFonts w:ascii="Arial" w:eastAsia="Times New Roman" w:hAnsi="Arial" w:cs="Arial"/>
                <w:lang w:eastAsia="en-GB"/>
              </w:rPr>
              <w:t>Over the course of Quarter 1 2024-25 100% of major planning applications were determined within 13 weeks or within an agreed extension in time, which is better than the annual target of 90% set in line with the latest 5-year England average.</w:t>
            </w:r>
            <w:r w:rsidRPr="00834DD9">
              <w:rPr>
                <w:rFonts w:ascii="Arial" w:hAnsi="Arial" w:cs="Arial"/>
              </w:rPr>
              <w:t xml:space="preserve">  </w:t>
            </w:r>
          </w:p>
          <w:p w14:paraId="793FA623" w14:textId="77777777" w:rsidR="004D276A" w:rsidRDefault="004D276A" w:rsidP="004D276A">
            <w:pPr>
              <w:pStyle w:val="ListParagraph"/>
              <w:numPr>
                <w:ilvl w:val="0"/>
                <w:numId w:val="54"/>
              </w:numPr>
              <w:spacing w:before="120" w:after="120"/>
              <w:contextualSpacing w:val="0"/>
              <w:rPr>
                <w:rFonts w:ascii="Arial" w:hAnsi="Arial" w:cs="Arial"/>
              </w:rPr>
            </w:pPr>
            <w:r w:rsidRPr="00834DD9">
              <w:rPr>
                <w:rFonts w:ascii="Arial" w:eastAsiaTheme="minorEastAsia" w:hAnsi="Arial" w:cs="Arial"/>
                <w:b/>
                <w:bCs/>
              </w:rPr>
              <w:t>G&amp;P-014</w:t>
            </w:r>
            <w:r w:rsidRPr="00834DD9">
              <w:rPr>
                <w:rFonts w:ascii="Arial" w:eastAsiaTheme="minorEastAsia" w:hAnsi="Arial" w:cs="Arial"/>
              </w:rPr>
              <w:t xml:space="preserve"> – </w:t>
            </w:r>
            <w:r w:rsidRPr="00834DD9">
              <w:rPr>
                <w:rFonts w:ascii="Arial" w:eastAsia="Times New Roman" w:hAnsi="Arial" w:cs="Arial"/>
                <w:lang w:eastAsia="en-GB"/>
              </w:rPr>
              <w:t>Over the course of Quarter 1 2024-25 100%</w:t>
            </w:r>
            <w:r w:rsidRPr="00834DD9">
              <w:rPr>
                <w:rFonts w:ascii="Arial" w:eastAsiaTheme="minorEastAsia" w:hAnsi="Arial" w:cs="Arial"/>
              </w:rPr>
              <w:t xml:space="preserve"> of minor and other applications were determined within 8 weeks or an agreed extension time, which is better than the annual target of 81% </w:t>
            </w:r>
            <w:r w:rsidRPr="00834DD9">
              <w:rPr>
                <w:rFonts w:ascii="Arial" w:eastAsia="Times New Roman" w:hAnsi="Arial" w:cs="Arial"/>
                <w:lang w:eastAsia="en-GB"/>
              </w:rPr>
              <w:t>set in line with the latest 5-year England average.</w:t>
            </w:r>
            <w:r w:rsidRPr="00834DD9">
              <w:rPr>
                <w:rFonts w:ascii="Arial" w:hAnsi="Arial" w:cs="Arial"/>
              </w:rPr>
              <w:t xml:space="preserve">  </w:t>
            </w:r>
          </w:p>
          <w:p w14:paraId="1CA87B3F" w14:textId="3D69DC25" w:rsidR="00B0379D" w:rsidRPr="004D276A" w:rsidRDefault="004D276A" w:rsidP="004D276A">
            <w:pPr>
              <w:pStyle w:val="ListParagraph"/>
              <w:numPr>
                <w:ilvl w:val="0"/>
                <w:numId w:val="54"/>
              </w:numPr>
              <w:spacing w:before="120" w:after="120"/>
              <w:contextualSpacing w:val="0"/>
              <w:rPr>
                <w:rFonts w:ascii="Arial" w:hAnsi="Arial" w:cs="Arial"/>
              </w:rPr>
            </w:pPr>
            <w:r w:rsidRPr="00674C8F">
              <w:rPr>
                <w:rFonts w:ascii="Arial" w:eastAsiaTheme="minorEastAsia" w:hAnsi="Arial" w:cs="Arial"/>
                <w:b/>
                <w:bCs/>
              </w:rPr>
              <w:t>G&amp;P-015</w:t>
            </w:r>
            <w:r w:rsidRPr="00674C8F">
              <w:rPr>
                <w:rFonts w:ascii="Arial" w:eastAsiaTheme="minorEastAsia" w:hAnsi="Arial" w:cs="Arial"/>
              </w:rPr>
              <w:t xml:space="preserve"> – No planning appeals were granted in Quarter 1 2024-25. Therefore, the indicator for t</w:t>
            </w:r>
            <w:r w:rsidRPr="00674C8F">
              <w:rPr>
                <w:rFonts w:ascii="Arial" w:eastAsia="Times New Roman" w:hAnsi="Arial" w:cs="Arial"/>
                <w:lang w:eastAsia="en-GB"/>
              </w:rPr>
              <w:t>he percentage of planning appeals granted as a percentage of all appeals met target.</w:t>
            </w:r>
            <w:r w:rsidRPr="00674C8F">
              <w:rPr>
                <w:rFonts w:ascii="Arial" w:eastAsiaTheme="minorEastAsia" w:hAnsi="Arial" w:cs="Arial"/>
              </w:rPr>
              <w:t xml:space="preserve"> The annual target is set at 27% of appeals granted as a percentage of all appeals made, which is </w:t>
            </w:r>
            <w:r w:rsidRPr="00674C8F">
              <w:rPr>
                <w:rFonts w:ascii="Arial" w:eastAsia="Times New Roman" w:hAnsi="Arial" w:cs="Arial"/>
                <w:lang w:eastAsia="en-GB"/>
              </w:rPr>
              <w:t>the latest 5-year England average.</w:t>
            </w:r>
          </w:p>
        </w:tc>
      </w:tr>
      <w:tr w:rsidR="00970157" w14:paraId="3C00D3B1" w14:textId="77777777" w:rsidTr="00B8AFBC">
        <w:tc>
          <w:tcPr>
            <w:tcW w:w="15388" w:type="dxa"/>
            <w:gridSpan w:val="2"/>
            <w:shd w:val="clear" w:color="auto" w:fill="8B3C45"/>
          </w:tcPr>
          <w:p w14:paraId="67EAF689"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Action for Improvement</w:t>
            </w:r>
          </w:p>
        </w:tc>
      </w:tr>
      <w:tr w:rsidR="00970157" w14:paraId="3BE9F7F3" w14:textId="77777777" w:rsidTr="00B8AFBC">
        <w:tc>
          <w:tcPr>
            <w:tcW w:w="15388" w:type="dxa"/>
            <w:gridSpan w:val="2"/>
            <w:shd w:val="clear" w:color="auto" w:fill="auto"/>
          </w:tcPr>
          <w:p w14:paraId="495ACFFD" w14:textId="18D65921" w:rsidR="006A558C" w:rsidRPr="0082258D" w:rsidRDefault="0082258D" w:rsidP="0082258D">
            <w:pPr>
              <w:pStyle w:val="ListParagraph"/>
              <w:numPr>
                <w:ilvl w:val="0"/>
                <w:numId w:val="55"/>
              </w:numPr>
              <w:spacing w:before="120" w:after="120"/>
            </w:pPr>
            <w:r w:rsidRPr="0082258D">
              <w:rPr>
                <w:rFonts w:ascii="Arial" w:eastAsiaTheme="minorEastAsia" w:hAnsi="Arial" w:cs="Arial"/>
                <w:b/>
                <w:bCs/>
              </w:rPr>
              <w:t>G&amp;P-013</w:t>
            </w:r>
            <w:r w:rsidRPr="0082258D">
              <w:rPr>
                <w:rFonts w:ascii="Arial" w:eastAsiaTheme="minorEastAsia" w:hAnsi="Arial" w:cs="Arial"/>
              </w:rPr>
              <w:t xml:space="preserve"> – </w:t>
            </w:r>
            <w:r w:rsidRPr="0082258D">
              <w:rPr>
                <w:rFonts w:ascii="Arial" w:eastAsia="Arial" w:hAnsi="Arial" w:cs="Arial"/>
              </w:rPr>
              <w:t xml:space="preserve">In regard to the percentage of major applications determined within </w:t>
            </w:r>
            <w:r w:rsidRPr="0082258D">
              <w:rPr>
                <w:rFonts w:ascii="Arial" w:eastAsia="Times New Roman" w:hAnsi="Arial" w:cs="Arial"/>
                <w:color w:val="000000"/>
                <w:lang w:eastAsia="en-GB"/>
              </w:rPr>
              <w:t xml:space="preserve">13 weeks or within an agreed extension of time falling below target - </w:t>
            </w:r>
            <w:r w:rsidRPr="0082258D">
              <w:rPr>
                <w:rFonts w:ascii="Arial" w:eastAsia="Arial" w:hAnsi="Arial" w:cs="Arial"/>
              </w:rPr>
              <w:t>Officers will continue to work with applicants and agents on major applications to build strong working relationships to enable applications to be determined in within the statutory 13-week deadline or agree extensions of time where these are necessary.</w:t>
            </w:r>
          </w:p>
        </w:tc>
      </w:tr>
    </w:tbl>
    <w:p w14:paraId="3DCF4D82" w14:textId="77777777" w:rsidR="00A55382" w:rsidRDefault="00A55382" w:rsidP="00B0379D">
      <w:pPr>
        <w:spacing w:before="120" w:after="120" w:line="240" w:lineRule="auto"/>
        <w:jc w:val="both"/>
        <w:rPr>
          <w:rFonts w:ascii="Arial" w:hAnsi="Arial" w:cs="Arial"/>
        </w:rPr>
      </w:pPr>
    </w:p>
    <w:p w14:paraId="28C9D3BE" w14:textId="14D49244" w:rsidR="00A55382" w:rsidRPr="00D23B44" w:rsidRDefault="00A55382" w:rsidP="00A55382">
      <w:pPr>
        <w:pStyle w:val="ListBullet"/>
        <w:numPr>
          <w:ilvl w:val="0"/>
          <w:numId w:val="0"/>
        </w:numPr>
        <w:spacing w:after="120" w:line="240" w:lineRule="auto"/>
        <w:contextualSpacing w:val="0"/>
        <w:rPr>
          <w:rStyle w:val="normaltextrun"/>
          <w:rFonts w:ascii="Arial" w:hAnsi="Arial" w:cs="Arial"/>
          <w:b/>
          <w:color w:val="8B3C45"/>
          <w:sz w:val="32"/>
          <w:szCs w:val="32"/>
        </w:rPr>
      </w:pPr>
      <w:r w:rsidRPr="00D23B44">
        <w:rPr>
          <w:rStyle w:val="normaltextrun"/>
          <w:rFonts w:ascii="Arial" w:hAnsi="Arial" w:cs="Arial"/>
          <w:b/>
          <w:color w:val="8B3C45"/>
          <w:sz w:val="32"/>
          <w:szCs w:val="32"/>
        </w:rPr>
        <w:t xml:space="preserve">Outcome – </w:t>
      </w:r>
      <w:r w:rsidRPr="00A55382">
        <w:rPr>
          <w:rStyle w:val="normaltextrun"/>
          <w:rFonts w:ascii="Arial" w:hAnsi="Arial" w:cs="Arial"/>
          <w:b/>
          <w:color w:val="8B3C45"/>
          <w:sz w:val="32"/>
          <w:szCs w:val="32"/>
        </w:rPr>
        <w:t>Our places are well-connected with accessible transport and digital networks</w:t>
      </w:r>
    </w:p>
    <w:tbl>
      <w:tblPr>
        <w:tblStyle w:val="TableGrid"/>
        <w:tblW w:w="0" w:type="auto"/>
        <w:tblBorders>
          <w:top w:val="single" w:sz="4" w:space="0" w:color="8B3C45"/>
          <w:left w:val="single" w:sz="4" w:space="0" w:color="8B3C45"/>
          <w:bottom w:val="single" w:sz="4" w:space="0" w:color="8B3C45"/>
          <w:right w:val="single" w:sz="4" w:space="0" w:color="8B3C45"/>
          <w:insideH w:val="single" w:sz="4" w:space="0" w:color="8B3C45"/>
          <w:insideV w:val="single" w:sz="4" w:space="0" w:color="8B3C45"/>
        </w:tblBorders>
        <w:tblLook w:val="04A0" w:firstRow="1" w:lastRow="0" w:firstColumn="1" w:lastColumn="0" w:noHBand="0" w:noVBand="1"/>
      </w:tblPr>
      <w:tblGrid>
        <w:gridCol w:w="8359"/>
        <w:gridCol w:w="7029"/>
      </w:tblGrid>
      <w:tr w:rsidR="00A55382" w14:paraId="061127EC" w14:textId="77777777" w:rsidTr="4F45818C">
        <w:trPr>
          <w:cantSplit/>
        </w:trPr>
        <w:tc>
          <w:tcPr>
            <w:tcW w:w="8359" w:type="dxa"/>
            <w:shd w:val="clear" w:color="auto" w:fill="8B3C45"/>
          </w:tcPr>
          <w:p w14:paraId="61CCEF39" w14:textId="77777777" w:rsidR="00A55382" w:rsidRPr="00896DF5" w:rsidRDefault="00A55382">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8B3C45"/>
          </w:tcPr>
          <w:p w14:paraId="0E023753" w14:textId="77777777" w:rsidR="00A55382" w:rsidRPr="00896DF5" w:rsidRDefault="00A55382">
            <w:pPr>
              <w:spacing w:after="120"/>
              <w:jc w:val="both"/>
              <w:rPr>
                <w:rFonts w:ascii="Arial" w:hAnsi="Arial" w:cs="Arial"/>
                <w:b/>
                <w:bCs/>
                <w:color w:val="FFFFFF" w:themeColor="background1"/>
              </w:rPr>
            </w:pPr>
          </w:p>
        </w:tc>
      </w:tr>
      <w:tr w:rsidR="00A55382" w14:paraId="51A9F474" w14:textId="77777777" w:rsidTr="4F45818C">
        <w:trPr>
          <w:cantSplit/>
        </w:trPr>
        <w:tc>
          <w:tcPr>
            <w:tcW w:w="15388" w:type="dxa"/>
            <w:gridSpan w:val="2"/>
          </w:tcPr>
          <w:p w14:paraId="5B35481F" w14:textId="7DF4907C" w:rsidR="00A55382" w:rsidRPr="00BE7ECD" w:rsidRDefault="008532A8" w:rsidP="745531BC">
            <w:pPr>
              <w:pStyle w:val="ListParagraph"/>
              <w:numPr>
                <w:ilvl w:val="0"/>
                <w:numId w:val="28"/>
              </w:numPr>
              <w:spacing w:before="80" w:after="120"/>
              <w:ind w:left="714" w:hanging="357"/>
              <w:rPr>
                <w:rFonts w:ascii="Arial" w:hAnsi="Arial" w:cs="Arial"/>
              </w:rPr>
            </w:pPr>
            <w:r w:rsidRPr="745531BC">
              <w:rPr>
                <w:rFonts w:ascii="Arial" w:eastAsiaTheme="minorEastAsia" w:hAnsi="Arial" w:cs="Arial"/>
                <w:b/>
                <w:bCs/>
              </w:rPr>
              <w:t>ENV-014</w:t>
            </w:r>
            <w:r w:rsidRPr="745531BC">
              <w:rPr>
                <w:rFonts w:ascii="Arial" w:eastAsiaTheme="minorEastAsia" w:hAnsi="Arial" w:cs="Arial"/>
              </w:rPr>
              <w:t xml:space="preserve"> </w:t>
            </w:r>
            <w:r w:rsidR="00135A0D" w:rsidRPr="745531BC">
              <w:rPr>
                <w:rFonts w:ascii="Arial" w:eastAsiaTheme="minorEastAsia" w:hAnsi="Arial" w:cs="Arial"/>
              </w:rPr>
              <w:t>–</w:t>
            </w:r>
            <w:r w:rsidRPr="745531BC">
              <w:rPr>
                <w:rFonts w:ascii="Arial" w:eastAsiaTheme="minorEastAsia" w:hAnsi="Arial" w:cs="Arial"/>
              </w:rPr>
              <w:t xml:space="preserve"> </w:t>
            </w:r>
            <w:r w:rsidR="00135A0D" w:rsidRPr="745531BC">
              <w:rPr>
                <w:rFonts w:ascii="Arial" w:eastAsiaTheme="minorEastAsia" w:hAnsi="Arial" w:cs="Arial"/>
              </w:rPr>
              <w:t>Over the course of Quarter 1 2024</w:t>
            </w:r>
            <w:r w:rsidR="22C3DB23" w:rsidRPr="745531BC">
              <w:rPr>
                <w:rFonts w:ascii="Arial" w:eastAsiaTheme="minorEastAsia" w:hAnsi="Arial" w:cs="Arial"/>
              </w:rPr>
              <w:t>-25</w:t>
            </w:r>
            <w:r w:rsidR="00135A0D" w:rsidRPr="745531BC">
              <w:rPr>
                <w:rFonts w:ascii="Arial" w:eastAsiaTheme="minorEastAsia" w:hAnsi="Arial" w:cs="Arial"/>
              </w:rPr>
              <w:t>, 9</w:t>
            </w:r>
            <w:r w:rsidR="5F8E8D24" w:rsidRPr="745531BC">
              <w:rPr>
                <w:rFonts w:ascii="Arial" w:eastAsiaTheme="minorEastAsia" w:hAnsi="Arial" w:cs="Arial"/>
              </w:rPr>
              <w:t>0</w:t>
            </w:r>
            <w:r w:rsidR="00135A0D" w:rsidRPr="745531BC">
              <w:rPr>
                <w:rFonts w:ascii="Arial" w:eastAsiaTheme="minorEastAsia" w:hAnsi="Arial" w:cs="Arial"/>
              </w:rPr>
              <w:t>%</w:t>
            </w:r>
            <w:r w:rsidR="00364C1D" w:rsidRPr="745531BC">
              <w:rPr>
                <w:rFonts w:ascii="Arial" w:hAnsi="Arial" w:cs="Arial"/>
              </w:rPr>
              <w:t xml:space="preserve"> of Highway Inspections for footway and carriageway planned inspections completed in accordance with the Highway Code of Practice</w:t>
            </w:r>
            <w:r w:rsidR="00432DA9" w:rsidRPr="745531BC">
              <w:rPr>
                <w:rFonts w:ascii="Arial" w:hAnsi="Arial" w:cs="Arial"/>
              </w:rPr>
              <w:t xml:space="preserve">. The indicator is </w:t>
            </w:r>
            <w:r w:rsidR="40773477" w:rsidRPr="745531BC">
              <w:rPr>
                <w:rFonts w:ascii="Arial" w:hAnsi="Arial" w:cs="Arial"/>
              </w:rPr>
              <w:t>slightly below</w:t>
            </w:r>
            <w:r w:rsidR="00360DD9" w:rsidRPr="745531BC">
              <w:rPr>
                <w:rFonts w:ascii="Arial" w:hAnsi="Arial" w:cs="Arial"/>
              </w:rPr>
              <w:t xml:space="preserve"> the annual target of 90%</w:t>
            </w:r>
            <w:r w:rsidR="07DF61BF" w:rsidRPr="745531BC">
              <w:rPr>
                <w:rFonts w:ascii="Arial" w:hAnsi="Arial" w:cs="Arial"/>
              </w:rPr>
              <w:t xml:space="preserve"> and down from 97% in Q1 2023-24.</w:t>
            </w:r>
            <w:r>
              <w:br/>
            </w:r>
          </w:p>
          <w:p w14:paraId="6A2968E4" w14:textId="618975E3" w:rsidR="00A55382" w:rsidRPr="00CD5892" w:rsidRDefault="00704C97" w:rsidP="00E72F9E">
            <w:pPr>
              <w:pStyle w:val="ListParagraph"/>
              <w:numPr>
                <w:ilvl w:val="0"/>
                <w:numId w:val="28"/>
              </w:numPr>
              <w:spacing w:before="80" w:after="120"/>
              <w:rPr>
                <w:rFonts w:ascii="Arial" w:hAnsi="Arial" w:cs="Arial"/>
              </w:rPr>
            </w:pPr>
            <w:r w:rsidRPr="4F45818C">
              <w:rPr>
                <w:rFonts w:ascii="Arial" w:eastAsiaTheme="minorEastAsia" w:hAnsi="Arial" w:cs="Arial"/>
                <w:b/>
                <w:bCs/>
              </w:rPr>
              <w:t>ENV-015</w:t>
            </w:r>
            <w:r w:rsidRPr="4F45818C">
              <w:rPr>
                <w:rFonts w:ascii="Arial" w:eastAsiaTheme="minorEastAsia" w:hAnsi="Arial" w:cs="Arial"/>
              </w:rPr>
              <w:t xml:space="preserve"> </w:t>
            </w:r>
            <w:r w:rsidR="009425DF" w:rsidRPr="4F45818C">
              <w:rPr>
                <w:rFonts w:ascii="Arial" w:eastAsiaTheme="minorEastAsia" w:hAnsi="Arial" w:cs="Arial"/>
              </w:rPr>
              <w:t>–</w:t>
            </w:r>
            <w:r w:rsidRPr="4F45818C">
              <w:rPr>
                <w:rFonts w:ascii="Arial" w:eastAsiaTheme="minorEastAsia" w:hAnsi="Arial" w:cs="Arial"/>
              </w:rPr>
              <w:t xml:space="preserve"> </w:t>
            </w:r>
            <w:r w:rsidR="009425DF" w:rsidRPr="4F45818C">
              <w:rPr>
                <w:rFonts w:ascii="Arial" w:eastAsiaTheme="minorEastAsia" w:hAnsi="Arial" w:cs="Arial"/>
              </w:rPr>
              <w:t>Over the course of Quarter 1</w:t>
            </w:r>
            <w:r w:rsidR="00B323F5">
              <w:rPr>
                <w:rFonts w:ascii="Arial" w:eastAsiaTheme="minorEastAsia" w:hAnsi="Arial" w:cs="Arial"/>
              </w:rPr>
              <w:t xml:space="preserve"> 2024-25</w:t>
            </w:r>
            <w:r w:rsidR="009425DF" w:rsidRPr="4F45818C">
              <w:rPr>
                <w:rFonts w:ascii="Arial" w:eastAsiaTheme="minorEastAsia" w:hAnsi="Arial" w:cs="Arial"/>
              </w:rPr>
              <w:t xml:space="preserve">, </w:t>
            </w:r>
            <w:r w:rsidR="24EFA4A0" w:rsidRPr="4F45818C">
              <w:rPr>
                <w:rFonts w:ascii="Arial" w:eastAsiaTheme="minorEastAsia" w:hAnsi="Arial" w:cs="Arial"/>
              </w:rPr>
              <w:t>98.7</w:t>
            </w:r>
            <w:r w:rsidR="009425DF" w:rsidRPr="4F45818C">
              <w:rPr>
                <w:rFonts w:ascii="Arial" w:eastAsiaTheme="minorEastAsia" w:hAnsi="Arial" w:cs="Arial"/>
              </w:rPr>
              <w:t>%</w:t>
            </w:r>
            <w:r w:rsidR="00BE7A19" w:rsidRPr="4F45818C">
              <w:rPr>
                <w:rFonts w:ascii="Arial" w:hAnsi="Arial" w:cs="Arial"/>
              </w:rPr>
              <w:t xml:space="preserve"> of Call Out</w:t>
            </w:r>
            <w:r w:rsidR="009425DF" w:rsidRPr="4F45818C">
              <w:rPr>
                <w:rFonts w:ascii="Arial" w:hAnsi="Arial" w:cs="Arial"/>
              </w:rPr>
              <w:t>s</w:t>
            </w:r>
            <w:r w:rsidR="00BE7A19" w:rsidRPr="4F45818C">
              <w:rPr>
                <w:rFonts w:ascii="Arial" w:hAnsi="Arial" w:cs="Arial"/>
              </w:rPr>
              <w:t xml:space="preserve"> for Priority (1,2 &amp; 3) Highway defects (Footway and Carriageway) </w:t>
            </w:r>
            <w:r w:rsidR="00591DC8" w:rsidRPr="4F45818C">
              <w:rPr>
                <w:rFonts w:ascii="Arial" w:hAnsi="Arial" w:cs="Arial"/>
              </w:rPr>
              <w:t xml:space="preserve">were </w:t>
            </w:r>
            <w:r w:rsidR="00BE7A19" w:rsidRPr="4F45818C">
              <w:rPr>
                <w:rFonts w:ascii="Arial" w:hAnsi="Arial" w:cs="Arial"/>
              </w:rPr>
              <w:t>repaired or made safe within the specified period in accordance with the Highway Code of Practic</w:t>
            </w:r>
            <w:r w:rsidR="00591DC8" w:rsidRPr="4F45818C">
              <w:rPr>
                <w:rFonts w:ascii="Arial" w:hAnsi="Arial" w:cs="Arial"/>
              </w:rPr>
              <w:t xml:space="preserve">e. Performance is marginally </w:t>
            </w:r>
            <w:r w:rsidR="5E8CFF9C" w:rsidRPr="4F45818C">
              <w:rPr>
                <w:rFonts w:ascii="Arial" w:hAnsi="Arial" w:cs="Arial"/>
              </w:rPr>
              <w:t>above</w:t>
            </w:r>
            <w:r w:rsidR="00591DC8" w:rsidRPr="4F45818C">
              <w:rPr>
                <w:rFonts w:ascii="Arial" w:hAnsi="Arial" w:cs="Arial"/>
              </w:rPr>
              <w:t xml:space="preserve"> the 9</w:t>
            </w:r>
            <w:r w:rsidR="21B10E93" w:rsidRPr="4F45818C">
              <w:rPr>
                <w:rFonts w:ascii="Arial" w:hAnsi="Arial" w:cs="Arial"/>
              </w:rPr>
              <w:t>2.5</w:t>
            </w:r>
            <w:r w:rsidR="00591DC8" w:rsidRPr="4F45818C">
              <w:rPr>
                <w:rFonts w:ascii="Arial" w:hAnsi="Arial" w:cs="Arial"/>
              </w:rPr>
              <w:t>% target for the year</w:t>
            </w:r>
            <w:r w:rsidR="166272AE" w:rsidRPr="4F45818C">
              <w:rPr>
                <w:rFonts w:ascii="Arial" w:hAnsi="Arial" w:cs="Arial"/>
              </w:rPr>
              <w:t xml:space="preserve"> and noticeably up from 87% in Q1 2023-24</w:t>
            </w:r>
            <w:r w:rsidR="00B323F5">
              <w:rPr>
                <w:rFonts w:ascii="Arial" w:hAnsi="Arial" w:cs="Arial"/>
              </w:rPr>
              <w:t>.</w:t>
            </w:r>
          </w:p>
        </w:tc>
      </w:tr>
      <w:tr w:rsidR="00A55382" w14:paraId="16E32215" w14:textId="77777777" w:rsidTr="4F45818C">
        <w:trPr>
          <w:cantSplit/>
        </w:trPr>
        <w:tc>
          <w:tcPr>
            <w:tcW w:w="15388" w:type="dxa"/>
            <w:gridSpan w:val="2"/>
            <w:shd w:val="clear" w:color="auto" w:fill="8B3C45"/>
          </w:tcPr>
          <w:p w14:paraId="0013E920" w14:textId="77777777" w:rsidR="00A55382" w:rsidRPr="0086192C" w:rsidRDefault="00A55382">
            <w:pPr>
              <w:pStyle w:val="ListBullet"/>
              <w:numPr>
                <w:ilvl w:val="0"/>
                <w:numId w:val="0"/>
              </w:numPr>
              <w:spacing w:after="120"/>
              <w:contextualSpacing w:val="0"/>
              <w:jc w:val="both"/>
              <w:rPr>
                <w:rFonts w:ascii="Arial" w:hAnsi="Arial" w:cs="Arial"/>
              </w:rPr>
            </w:pPr>
            <w:r w:rsidRPr="00896DF5">
              <w:rPr>
                <w:rFonts w:ascii="Arial" w:hAnsi="Arial" w:cs="Arial"/>
                <w:b/>
                <w:bCs/>
                <w:color w:val="FFFFFF" w:themeColor="background1"/>
              </w:rPr>
              <w:t>Action for Improvement</w:t>
            </w:r>
          </w:p>
        </w:tc>
      </w:tr>
      <w:tr w:rsidR="00A55382" w14:paraId="6B76DFF4" w14:textId="77777777" w:rsidTr="4F45818C">
        <w:trPr>
          <w:cantSplit/>
        </w:trPr>
        <w:tc>
          <w:tcPr>
            <w:tcW w:w="15388" w:type="dxa"/>
            <w:gridSpan w:val="2"/>
          </w:tcPr>
          <w:p w14:paraId="2833EF7A" w14:textId="6E7D4B04" w:rsidR="00A55382" w:rsidRPr="007B52E4" w:rsidRDefault="004120D3" w:rsidP="4CBE3EC7">
            <w:pPr>
              <w:pStyle w:val="ListBullet"/>
              <w:spacing w:before="80" w:after="120"/>
              <w:jc w:val="both"/>
              <w:rPr>
                <w:rFonts w:ascii="Arial" w:eastAsia="Arial" w:hAnsi="Arial" w:cs="Arial"/>
              </w:rPr>
            </w:pPr>
            <w:r w:rsidRPr="007B52E4">
              <w:rPr>
                <w:rFonts w:ascii="Arial" w:eastAsiaTheme="minorEastAsia" w:hAnsi="Arial" w:cs="Arial"/>
                <w:b/>
                <w:bCs/>
              </w:rPr>
              <w:t>ENV-01</w:t>
            </w:r>
            <w:r w:rsidR="000F7876" w:rsidRPr="007B52E4">
              <w:rPr>
                <w:rFonts w:ascii="Arial" w:eastAsiaTheme="minorEastAsia" w:hAnsi="Arial" w:cs="Arial"/>
                <w:b/>
                <w:bCs/>
              </w:rPr>
              <w:t>4</w:t>
            </w:r>
            <w:r w:rsidR="000F7876" w:rsidRPr="4CBE3EC7">
              <w:rPr>
                <w:rFonts w:ascii="Arial" w:eastAsiaTheme="minorEastAsia" w:hAnsi="Arial" w:cs="Arial"/>
                <w:b/>
                <w:bCs/>
              </w:rPr>
              <w:t xml:space="preserve"> /</w:t>
            </w:r>
            <w:r w:rsidR="000F7876" w:rsidRPr="007B52E4">
              <w:rPr>
                <w:rFonts w:ascii="Arial" w:eastAsiaTheme="minorEastAsia" w:hAnsi="Arial" w:cs="Arial"/>
              </w:rPr>
              <w:t xml:space="preserve"> </w:t>
            </w:r>
            <w:r w:rsidR="000F7876" w:rsidRPr="007B52E4">
              <w:rPr>
                <w:rFonts w:ascii="Arial" w:eastAsiaTheme="minorEastAsia" w:hAnsi="Arial" w:cs="Arial"/>
                <w:b/>
                <w:bCs/>
              </w:rPr>
              <w:t>ENV-015</w:t>
            </w:r>
            <w:r w:rsidR="000F7876" w:rsidRPr="007B52E4">
              <w:rPr>
                <w:rFonts w:ascii="Arial" w:eastAsiaTheme="minorEastAsia" w:hAnsi="Arial" w:cs="Arial"/>
              </w:rPr>
              <w:t xml:space="preserve"> - </w:t>
            </w:r>
            <w:r w:rsidR="54DC117C" w:rsidRPr="007B52E4">
              <w:rPr>
                <w:rFonts w:ascii="Arial" w:eastAsia="Arial" w:hAnsi="Arial" w:cs="Arial"/>
              </w:rPr>
              <w:t>Monthly performance man</w:t>
            </w:r>
            <w:r w:rsidR="3CCE4E52" w:rsidRPr="007B52E4">
              <w:rPr>
                <w:rFonts w:ascii="Arial" w:eastAsia="Arial" w:hAnsi="Arial" w:cs="Arial"/>
              </w:rPr>
              <w:t xml:space="preserve">agement </w:t>
            </w:r>
            <w:r w:rsidR="54DC117C" w:rsidRPr="007B52E4">
              <w:rPr>
                <w:rFonts w:ascii="Arial" w:eastAsia="Arial" w:hAnsi="Arial" w:cs="Arial"/>
              </w:rPr>
              <w:t xml:space="preserve">monitoring will take place </w:t>
            </w:r>
            <w:r w:rsidR="0D9C3F2A" w:rsidRPr="007B52E4">
              <w:rPr>
                <w:rFonts w:ascii="Arial" w:eastAsia="Arial" w:hAnsi="Arial" w:cs="Arial"/>
              </w:rPr>
              <w:t>to assess performance and take approp</w:t>
            </w:r>
            <w:r w:rsidR="22E3E4C8" w:rsidRPr="007B52E4">
              <w:rPr>
                <w:rFonts w:ascii="Arial" w:eastAsia="Arial" w:hAnsi="Arial" w:cs="Arial"/>
              </w:rPr>
              <w:t>riate action if required.</w:t>
            </w:r>
          </w:p>
        </w:tc>
      </w:tr>
    </w:tbl>
    <w:p w14:paraId="19D9F35B" w14:textId="54DD55EF" w:rsidR="00B0379D" w:rsidRPr="006F5A8E" w:rsidRDefault="00E75E6D" w:rsidP="00B0379D">
      <w:pPr>
        <w:spacing w:before="120" w:after="120" w:line="240" w:lineRule="auto"/>
        <w:jc w:val="both"/>
        <w:rPr>
          <w:rFonts w:ascii="Arial" w:hAnsi="Arial" w:cs="Arial"/>
        </w:rPr>
      </w:pPr>
      <w:r>
        <w:rPr>
          <w:rFonts w:ascii="Arial" w:hAnsi="Arial" w:cs="Arial"/>
        </w:rPr>
        <w:t>For more information about individual performance indicators that support the achievement of these outcomes please see the scorecard.</w:t>
      </w:r>
    </w:p>
    <w:p w14:paraId="5959A7E0" w14:textId="77777777" w:rsidR="00B0379D" w:rsidRPr="00EA6A3D" w:rsidRDefault="00B0379D">
      <w:pPr>
        <w:rPr>
          <w:rStyle w:val="eop"/>
          <w:rFonts w:ascii="Arial" w:hAnsi="Arial" w:cs="Arial"/>
          <w:b/>
          <w:bCs/>
          <w:color w:val="8B3C45"/>
        </w:rPr>
        <w:sectPr w:rsidR="00B0379D" w:rsidRPr="00EA6A3D" w:rsidSect="00EC2ED3">
          <w:pgSz w:w="16838" w:h="11906" w:orient="landscape"/>
          <w:pgMar w:top="720" w:right="720" w:bottom="720" w:left="720" w:header="708" w:footer="708" w:gutter="0"/>
          <w:cols w:space="708"/>
          <w:docGrid w:linePitch="360"/>
        </w:sectPr>
      </w:pPr>
    </w:p>
    <w:p w14:paraId="5F8A1098" w14:textId="77777777" w:rsidR="00B0379D" w:rsidRDefault="00B0379D" w:rsidP="00B0379D">
      <w:pPr>
        <w:spacing w:after="120" w:line="240" w:lineRule="auto"/>
        <w:rPr>
          <w:rStyle w:val="eop"/>
          <w:rFonts w:ascii="Arial" w:eastAsia="Times New Roman" w:hAnsi="Arial" w:cs="Arial"/>
          <w:lang w:eastAsia="en-GB"/>
        </w:rPr>
      </w:pPr>
    </w:p>
    <w:p w14:paraId="4EAB775A" w14:textId="77777777" w:rsidR="00B0379D" w:rsidRPr="0045527A" w:rsidRDefault="00E75E6D" w:rsidP="00B0379D">
      <w:pPr>
        <w:pStyle w:val="Heading2"/>
        <w:rPr>
          <w:b/>
          <w:color w:val="5EAA41"/>
          <w:sz w:val="32"/>
          <w:szCs w:val="32"/>
        </w:rPr>
      </w:pPr>
      <w:bookmarkStart w:id="20" w:name="_Toc174698102"/>
      <w:r w:rsidRPr="0045527A">
        <w:rPr>
          <w:rStyle w:val="eop"/>
          <w:rFonts w:cs="Arial"/>
          <w:noProof/>
          <w:sz w:val="32"/>
          <w:szCs w:val="32"/>
        </w:rPr>
        <w:drawing>
          <wp:anchor distT="0" distB="0" distL="114300" distR="114300" simplePos="0" relativeHeight="251658247" behindDoc="1" locked="0" layoutInCell="1" allowOverlap="1" wp14:anchorId="6F8D1839" wp14:editId="12E73341">
            <wp:simplePos x="0" y="0"/>
            <wp:positionH relativeFrom="margin">
              <wp:align>right</wp:align>
            </wp:positionH>
            <wp:positionV relativeFrom="paragraph">
              <wp:posOffset>6985</wp:posOffset>
            </wp:positionV>
            <wp:extent cx="1377950" cy="1210310"/>
            <wp:effectExtent l="0" t="0" r="0" b="8890"/>
            <wp:wrapTight wrapText="bothSides">
              <wp:wrapPolygon edited="0">
                <wp:start x="7167" y="0"/>
                <wp:lineTo x="5375" y="340"/>
                <wp:lineTo x="597" y="4420"/>
                <wp:lineTo x="0" y="7480"/>
                <wp:lineTo x="0" y="14279"/>
                <wp:lineTo x="1194" y="16319"/>
                <wp:lineTo x="1792" y="21419"/>
                <wp:lineTo x="3583" y="21419"/>
                <wp:lineTo x="3882" y="21419"/>
                <wp:lineTo x="8959" y="16319"/>
                <wp:lineTo x="21202" y="13939"/>
                <wp:lineTo x="21202" y="7480"/>
                <wp:lineTo x="20605" y="4760"/>
                <wp:lineTo x="15229" y="340"/>
                <wp:lineTo x="13438" y="0"/>
                <wp:lineTo x="7167" y="0"/>
              </wp:wrapPolygon>
            </wp:wrapTight>
            <wp:docPr id="32" name="Picture 77" descr="P17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747#y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7795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27A">
        <w:rPr>
          <w:rStyle w:val="normaltextrun"/>
          <w:b/>
          <w:color w:val="5EAA41"/>
          <w:sz w:val="32"/>
          <w:szCs w:val="32"/>
        </w:rPr>
        <w:t>Priority 5 - Create green and vibrant places that reflect our heritage and culture</w:t>
      </w:r>
      <w:bookmarkEnd w:id="20"/>
      <w:r w:rsidRPr="0045527A">
        <w:rPr>
          <w:rStyle w:val="eop"/>
          <w:b/>
          <w:color w:val="5EAA41"/>
          <w:sz w:val="32"/>
          <w:szCs w:val="32"/>
        </w:rPr>
        <w:t> </w:t>
      </w:r>
    </w:p>
    <w:p w14:paraId="230E9343" w14:textId="77777777" w:rsidR="00B0379D" w:rsidRDefault="00E75E6D" w:rsidP="00B0379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1342379" w14:textId="77777777" w:rsidR="00B0379D" w:rsidRPr="001A75D2" w:rsidRDefault="00E75E6D" w:rsidP="00B0379D">
      <w:pPr>
        <w:pStyle w:val="paragraph"/>
        <w:spacing w:before="0" w:beforeAutospacing="0" w:after="0" w:afterAutospacing="0"/>
        <w:textAlignment w:val="baseline"/>
        <w:rPr>
          <w:rStyle w:val="eop"/>
          <w:rFonts w:ascii="Arial" w:hAnsi="Arial" w:cs="Arial"/>
          <w:color w:val="5EAA41"/>
        </w:rPr>
      </w:pPr>
      <w:r w:rsidRPr="001A75D2">
        <w:rPr>
          <w:rStyle w:val="normaltextrun"/>
          <w:rFonts w:ascii="Arial" w:hAnsi="Arial" w:cs="Arial"/>
          <w:b/>
          <w:color w:val="5EAA41"/>
        </w:rPr>
        <w:t>Outcomes</w:t>
      </w:r>
    </w:p>
    <w:p w14:paraId="484179ED" w14:textId="77777777" w:rsidR="00B0379D" w:rsidRDefault="00B0379D" w:rsidP="00B0379D">
      <w:pPr>
        <w:pStyle w:val="paragraph"/>
        <w:spacing w:before="0" w:beforeAutospacing="0" w:after="0" w:afterAutospacing="0"/>
        <w:textAlignment w:val="baseline"/>
        <w:rPr>
          <w:rFonts w:ascii="Segoe UI" w:hAnsi="Segoe UI" w:cs="Segoe UI"/>
          <w:color w:val="2F5496"/>
          <w:sz w:val="18"/>
          <w:szCs w:val="18"/>
        </w:rPr>
      </w:pPr>
    </w:p>
    <w:p w14:paraId="12EF4FF2" w14:textId="77777777" w:rsidR="00B0379D" w:rsidRDefault="00E75E6D" w:rsidP="00726825">
      <w:pPr>
        <w:pStyle w:val="paragraph"/>
        <w:numPr>
          <w:ilvl w:val="0"/>
          <w:numId w:val="19"/>
        </w:numPr>
        <w:spacing w:before="0" w:beforeAutospacing="0" w:after="120" w:afterAutospacing="0"/>
        <w:ind w:left="1078" w:hanging="794"/>
        <w:rPr>
          <w:rFonts w:ascii="Arial" w:eastAsia="Arial" w:hAnsi="Arial" w:cs="Arial"/>
          <w:sz w:val="22"/>
          <w:szCs w:val="22"/>
        </w:rPr>
      </w:pPr>
      <w:r w:rsidRPr="4276CE28">
        <w:rPr>
          <w:rStyle w:val="eop"/>
          <w:rFonts w:ascii="Arial" w:eastAsia="Arial" w:hAnsi="Arial" w:cs="Arial"/>
          <w:sz w:val="22"/>
          <w:szCs w:val="22"/>
        </w:rPr>
        <w:t>Our environment is protected for the future</w:t>
      </w:r>
    </w:p>
    <w:p w14:paraId="01DAA380" w14:textId="77777777" w:rsidR="00B0379D" w:rsidRDefault="00E75E6D" w:rsidP="00726825">
      <w:pPr>
        <w:pStyle w:val="paragraph"/>
        <w:numPr>
          <w:ilvl w:val="0"/>
          <w:numId w:val="19"/>
        </w:numPr>
        <w:spacing w:before="0" w:beforeAutospacing="0" w:after="120" w:afterAutospacing="0"/>
        <w:ind w:left="1078" w:hanging="794"/>
        <w:rPr>
          <w:rFonts w:ascii="Arial" w:eastAsia="Arial" w:hAnsi="Arial" w:cs="Arial"/>
          <w:sz w:val="22"/>
          <w:szCs w:val="22"/>
        </w:rPr>
      </w:pPr>
      <w:r w:rsidRPr="4276CE28">
        <w:rPr>
          <w:rStyle w:val="eop"/>
          <w:rFonts w:ascii="Arial" w:eastAsia="Arial" w:hAnsi="Arial" w:cs="Arial"/>
          <w:sz w:val="22"/>
          <w:szCs w:val="22"/>
        </w:rPr>
        <w:t>Our green and open spaces are enjoyed and looked after by us all</w:t>
      </w:r>
    </w:p>
    <w:p w14:paraId="3BBF1BE6" w14:textId="77777777" w:rsidR="00B0379D" w:rsidRDefault="00E75E6D" w:rsidP="00726825">
      <w:pPr>
        <w:pStyle w:val="paragraph"/>
        <w:numPr>
          <w:ilvl w:val="0"/>
          <w:numId w:val="19"/>
        </w:numPr>
        <w:spacing w:before="0" w:beforeAutospacing="0" w:after="240" w:afterAutospacing="0"/>
        <w:ind w:left="1078" w:hanging="794"/>
        <w:rPr>
          <w:rStyle w:val="eop"/>
          <w:rFonts w:ascii="Arial" w:eastAsia="Arial" w:hAnsi="Arial" w:cs="Arial"/>
          <w:sz w:val="22"/>
          <w:szCs w:val="22"/>
        </w:rPr>
      </w:pPr>
      <w:r w:rsidRPr="4276CE28">
        <w:rPr>
          <w:rStyle w:val="eop"/>
          <w:rFonts w:ascii="Arial" w:eastAsia="Arial" w:hAnsi="Arial" w:cs="Arial"/>
          <w:sz w:val="22"/>
          <w:szCs w:val="22"/>
        </w:rPr>
        <w:t>Our spirit and identity are celebrated through our heritage, arts, and culture</w:t>
      </w:r>
    </w:p>
    <w:p w14:paraId="2D9E1B74" w14:textId="77777777" w:rsidR="00B0379D" w:rsidRPr="005F1AD5" w:rsidRDefault="00E75E6D" w:rsidP="00B0379D">
      <w:pPr>
        <w:pStyle w:val="ListBullet"/>
        <w:numPr>
          <w:ilvl w:val="0"/>
          <w:numId w:val="0"/>
        </w:numPr>
        <w:spacing w:after="240" w:line="240" w:lineRule="auto"/>
        <w:contextualSpacing w:val="0"/>
        <w:rPr>
          <w:rStyle w:val="normaltextrun"/>
          <w:rFonts w:ascii="Arial" w:hAnsi="Arial" w:cs="Arial"/>
          <w:b/>
          <w:bCs/>
          <w:color w:val="5EAA41"/>
          <w:sz w:val="24"/>
          <w:szCs w:val="24"/>
        </w:rPr>
      </w:pPr>
      <w:r w:rsidRPr="005F1AD5">
        <w:rPr>
          <w:rStyle w:val="normaltextrun"/>
          <w:rFonts w:ascii="Arial" w:hAnsi="Arial" w:cs="Arial"/>
          <w:b/>
          <w:bCs/>
          <w:color w:val="5EAA41"/>
          <w:sz w:val="24"/>
          <w:szCs w:val="24"/>
        </w:rPr>
        <w:t>Overview of priority performance</w:t>
      </w:r>
    </w:p>
    <w:p w14:paraId="258FF3E7" w14:textId="5B1BB9D9" w:rsidR="00B0379D" w:rsidRPr="00451AB5" w:rsidRDefault="00E75E6D" w:rsidP="00B0379D">
      <w:pPr>
        <w:spacing w:after="240" w:line="240" w:lineRule="auto"/>
        <w:jc w:val="both"/>
        <w:rPr>
          <w:rFonts w:ascii="Arial" w:hAnsi="Arial" w:cs="Arial"/>
        </w:rPr>
      </w:pPr>
      <w:r w:rsidRPr="00B8AFBC">
        <w:rPr>
          <w:rFonts w:ascii="Arial" w:hAnsi="Arial" w:cs="Arial"/>
        </w:rPr>
        <w:t xml:space="preserve">The tables below show provide an overview of performance at </w:t>
      </w:r>
      <w:r w:rsidR="008F0D3C" w:rsidRPr="00B8AFBC">
        <w:rPr>
          <w:rFonts w:ascii="Arial" w:hAnsi="Arial" w:cs="Arial"/>
        </w:rPr>
        <w:t>Q</w:t>
      </w:r>
      <w:r w:rsidR="002F0BEC">
        <w:rPr>
          <w:rFonts w:ascii="Arial" w:hAnsi="Arial" w:cs="Arial"/>
        </w:rPr>
        <w:t>uarter</w:t>
      </w:r>
      <w:r w:rsidR="008F0D3C" w:rsidRPr="00B8AFBC">
        <w:rPr>
          <w:rFonts w:ascii="Arial" w:hAnsi="Arial" w:cs="Arial"/>
        </w:rPr>
        <w:t>1 202</w:t>
      </w:r>
      <w:r w:rsidR="00BE7ECD">
        <w:rPr>
          <w:rFonts w:ascii="Arial" w:hAnsi="Arial" w:cs="Arial"/>
        </w:rPr>
        <w:t>4</w:t>
      </w:r>
      <w:r w:rsidR="006F6B04">
        <w:rPr>
          <w:rFonts w:ascii="Arial" w:hAnsi="Arial" w:cs="Arial"/>
        </w:rPr>
        <w:t>-</w:t>
      </w:r>
      <w:r w:rsidR="001752D7">
        <w:rPr>
          <w:rFonts w:ascii="Arial" w:hAnsi="Arial" w:cs="Arial"/>
        </w:rPr>
        <w:t>2</w:t>
      </w:r>
      <w:r w:rsidR="00BE7ECD">
        <w:rPr>
          <w:rFonts w:ascii="Arial" w:hAnsi="Arial" w:cs="Arial"/>
        </w:rPr>
        <w:t>5</w:t>
      </w:r>
      <w:r w:rsidRPr="00B8AFBC">
        <w:rPr>
          <w:rFonts w:ascii="Arial" w:hAnsi="Arial" w:cs="Arial"/>
        </w:rPr>
        <w:t xml:space="preserve"> for the indicators reported.</w:t>
      </w:r>
    </w:p>
    <w:p w14:paraId="1E8CB8B1" w14:textId="77777777" w:rsidR="00B0379D" w:rsidRPr="00D226EA" w:rsidRDefault="00E75E6D" w:rsidP="00B0379D">
      <w:pPr>
        <w:spacing w:after="240" w:line="240" w:lineRule="auto"/>
        <w:jc w:val="both"/>
        <w:rPr>
          <w:rFonts w:ascii="Arial" w:hAnsi="Arial" w:cs="Arial"/>
          <w:b/>
          <w:bCs/>
          <w:color w:val="FF0000"/>
        </w:rPr>
      </w:pPr>
      <w:r w:rsidRPr="000F5EC4">
        <w:rPr>
          <w:rFonts w:ascii="Arial" w:hAnsi="Arial" w:cs="Arial"/>
          <w:b/>
          <w:bCs/>
          <w:color w:val="5EAA41"/>
        </w:rPr>
        <w:t>Performance Against Target</w:t>
      </w:r>
      <w:r>
        <w:rPr>
          <w:rFonts w:ascii="Arial" w:hAnsi="Arial" w:cs="Arial"/>
          <w:b/>
          <w:bCs/>
          <w:color w:val="5EAA41"/>
        </w:rPr>
        <w:t xml:space="preserve"> </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ayout w:type="fixed"/>
        <w:tblLook w:val="04A0" w:firstRow="1" w:lastRow="0" w:firstColumn="1" w:lastColumn="0" w:noHBand="0" w:noVBand="1"/>
      </w:tblPr>
      <w:tblGrid>
        <w:gridCol w:w="2122"/>
        <w:gridCol w:w="2551"/>
        <w:gridCol w:w="2552"/>
        <w:gridCol w:w="2551"/>
      </w:tblGrid>
      <w:tr w:rsidR="00970157" w14:paraId="0342BB0F" w14:textId="77777777" w:rsidTr="00B8AFBC">
        <w:tc>
          <w:tcPr>
            <w:tcW w:w="2122" w:type="dxa"/>
            <w:shd w:val="clear" w:color="auto" w:fill="5EAA41"/>
          </w:tcPr>
          <w:p w14:paraId="179614A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5EAA41"/>
          </w:tcPr>
          <w:p w14:paraId="73A20C0C"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5EAA41"/>
          </w:tcPr>
          <w:p w14:paraId="2AB524F7"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5EAA41"/>
          </w:tcPr>
          <w:p w14:paraId="0257F44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7A1785F2" w14:textId="77777777" w:rsidTr="00B8AFBC">
        <w:tc>
          <w:tcPr>
            <w:tcW w:w="2122" w:type="dxa"/>
            <w:shd w:val="clear" w:color="auto" w:fill="FFFFFF" w:themeFill="background1"/>
            <w:vAlign w:val="center"/>
          </w:tcPr>
          <w:p w14:paraId="320EE693" w14:textId="2858AC24" w:rsidR="00B0379D" w:rsidRPr="00043116" w:rsidRDefault="0089511E" w:rsidP="00B8AFBC">
            <w:pPr>
              <w:spacing w:after="120"/>
              <w:jc w:val="center"/>
              <w:rPr>
                <w:rFonts w:ascii="Arial" w:eastAsia="Arial" w:hAnsi="Arial" w:cs="Arial"/>
                <w:color w:val="000000" w:themeColor="text1"/>
              </w:rPr>
            </w:pPr>
            <w:r w:rsidRPr="00043116">
              <w:rPr>
                <w:rFonts w:ascii="Arial" w:eastAsia="Arial" w:hAnsi="Arial" w:cs="Arial"/>
                <w:color w:val="000000" w:themeColor="text1"/>
              </w:rPr>
              <w:t>8</w:t>
            </w:r>
          </w:p>
        </w:tc>
        <w:tc>
          <w:tcPr>
            <w:tcW w:w="2551" w:type="dxa"/>
            <w:shd w:val="clear" w:color="auto" w:fill="FFFFFF" w:themeFill="background1"/>
            <w:vAlign w:val="center"/>
          </w:tcPr>
          <w:p w14:paraId="00B061C1" w14:textId="7EB148ED" w:rsidR="00B0379D" w:rsidRPr="00043116" w:rsidRDefault="00043116" w:rsidP="00B8AFBC">
            <w:pPr>
              <w:spacing w:after="120"/>
              <w:jc w:val="center"/>
              <w:rPr>
                <w:rFonts w:ascii="Arial" w:eastAsia="Arial" w:hAnsi="Arial" w:cs="Arial"/>
                <w:color w:val="000000" w:themeColor="text1"/>
              </w:rPr>
            </w:pPr>
            <w:r w:rsidRPr="00043116">
              <w:rPr>
                <w:rFonts w:ascii="Arial" w:eastAsia="Arial" w:hAnsi="Arial" w:cs="Arial"/>
                <w:color w:val="000000" w:themeColor="text1"/>
              </w:rPr>
              <w:t>88</w:t>
            </w:r>
            <w:r w:rsidR="00E75E6D" w:rsidRPr="00043116">
              <w:rPr>
                <w:rFonts w:ascii="Arial" w:eastAsia="Arial" w:hAnsi="Arial" w:cs="Arial"/>
                <w:color w:val="000000" w:themeColor="text1"/>
              </w:rPr>
              <w:t>% (</w:t>
            </w:r>
            <w:r w:rsidR="0089511E" w:rsidRPr="00043116">
              <w:rPr>
                <w:rFonts w:ascii="Arial" w:eastAsia="Arial" w:hAnsi="Arial" w:cs="Arial"/>
                <w:color w:val="000000" w:themeColor="text1"/>
              </w:rPr>
              <w:t>7</w:t>
            </w:r>
            <w:r w:rsidR="00E75E6D" w:rsidRPr="00043116">
              <w:rPr>
                <w:rFonts w:ascii="Arial" w:eastAsia="Arial" w:hAnsi="Arial" w:cs="Arial"/>
                <w:color w:val="000000" w:themeColor="text1"/>
              </w:rPr>
              <w:t>)</w:t>
            </w:r>
          </w:p>
        </w:tc>
        <w:tc>
          <w:tcPr>
            <w:tcW w:w="2552" w:type="dxa"/>
            <w:shd w:val="clear" w:color="auto" w:fill="FFFFFF" w:themeFill="background1"/>
            <w:vAlign w:val="center"/>
          </w:tcPr>
          <w:p w14:paraId="09A2D879" w14:textId="074CA356" w:rsidR="00B0379D" w:rsidRPr="00043116" w:rsidRDefault="00043116" w:rsidP="00B8AFBC">
            <w:pPr>
              <w:spacing w:after="120"/>
              <w:jc w:val="center"/>
              <w:rPr>
                <w:rFonts w:ascii="Arial" w:eastAsia="Arial" w:hAnsi="Arial" w:cs="Arial"/>
                <w:color w:val="000000" w:themeColor="text1"/>
              </w:rPr>
            </w:pPr>
            <w:r w:rsidRPr="00043116">
              <w:rPr>
                <w:rFonts w:ascii="Arial" w:eastAsia="Arial" w:hAnsi="Arial" w:cs="Arial"/>
                <w:color w:val="000000" w:themeColor="text1"/>
              </w:rPr>
              <w:t>12</w:t>
            </w:r>
            <w:r w:rsidR="00E75E6D" w:rsidRPr="00043116">
              <w:rPr>
                <w:rFonts w:ascii="Arial" w:eastAsia="Arial" w:hAnsi="Arial" w:cs="Arial"/>
                <w:color w:val="000000" w:themeColor="text1"/>
              </w:rPr>
              <w:t>% (</w:t>
            </w:r>
            <w:r w:rsidR="0089511E" w:rsidRPr="00043116">
              <w:rPr>
                <w:rFonts w:ascii="Arial" w:eastAsia="Arial" w:hAnsi="Arial" w:cs="Arial"/>
                <w:color w:val="000000" w:themeColor="text1"/>
              </w:rPr>
              <w:t>1</w:t>
            </w:r>
            <w:r w:rsidR="00E75E6D" w:rsidRPr="00043116">
              <w:rPr>
                <w:rFonts w:ascii="Arial" w:eastAsia="Arial" w:hAnsi="Arial" w:cs="Arial"/>
                <w:color w:val="000000" w:themeColor="text1"/>
              </w:rPr>
              <w:t>)</w:t>
            </w:r>
          </w:p>
        </w:tc>
        <w:tc>
          <w:tcPr>
            <w:tcW w:w="2551" w:type="dxa"/>
            <w:shd w:val="clear" w:color="auto" w:fill="FFFFFF" w:themeFill="background1"/>
            <w:vAlign w:val="center"/>
          </w:tcPr>
          <w:p w14:paraId="475745A4" w14:textId="77777777" w:rsidR="00B0379D" w:rsidRPr="00043116" w:rsidRDefault="00E75E6D" w:rsidP="00B8AFBC">
            <w:pPr>
              <w:spacing w:after="120"/>
              <w:jc w:val="center"/>
              <w:rPr>
                <w:rFonts w:ascii="Arial" w:eastAsia="Arial" w:hAnsi="Arial" w:cs="Arial"/>
                <w:color w:val="000000" w:themeColor="text1"/>
              </w:rPr>
            </w:pPr>
            <w:r w:rsidRPr="00043116">
              <w:rPr>
                <w:rFonts w:ascii="Arial" w:eastAsia="Arial" w:hAnsi="Arial" w:cs="Arial"/>
                <w:color w:val="000000" w:themeColor="text1"/>
              </w:rPr>
              <w:t>0% (0)</w:t>
            </w:r>
          </w:p>
        </w:tc>
      </w:tr>
    </w:tbl>
    <w:p w14:paraId="737A8381" w14:textId="77777777" w:rsidR="00B0379D" w:rsidRDefault="00B0379D" w:rsidP="00B0379D">
      <w:pPr>
        <w:spacing w:after="120" w:line="240" w:lineRule="auto"/>
        <w:jc w:val="both"/>
        <w:rPr>
          <w:rFonts w:ascii="Arial" w:hAnsi="Arial" w:cs="Arial"/>
          <w:b/>
          <w:bCs/>
          <w:color w:val="ED712C"/>
          <w:sz w:val="24"/>
          <w:szCs w:val="24"/>
        </w:rPr>
      </w:pPr>
    </w:p>
    <w:p w14:paraId="3E13EFF6" w14:textId="77777777" w:rsidR="00B0379D" w:rsidRPr="00D226EA" w:rsidRDefault="00E75E6D" w:rsidP="00B0379D">
      <w:pPr>
        <w:spacing w:after="240" w:line="240" w:lineRule="auto"/>
        <w:jc w:val="both"/>
        <w:rPr>
          <w:rFonts w:ascii="Arial" w:hAnsi="Arial" w:cs="Arial"/>
          <w:b/>
          <w:bCs/>
          <w:color w:val="FF0000"/>
        </w:rPr>
      </w:pPr>
      <w:r w:rsidRPr="00E90E6F">
        <w:rPr>
          <w:rFonts w:ascii="Arial" w:hAnsi="Arial" w:cs="Arial"/>
          <w:b/>
          <w:color w:val="5EAA41"/>
        </w:rPr>
        <w:t>The Performance Trend</w:t>
      </w:r>
      <w:r>
        <w:rPr>
          <w:rFonts w:ascii="Arial" w:hAnsi="Arial" w:cs="Arial"/>
          <w:b/>
          <w:color w:val="5EAA41"/>
        </w:rPr>
        <w:t xml:space="preserve"> </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ayout w:type="fixed"/>
        <w:tblLook w:val="04A0" w:firstRow="1" w:lastRow="0" w:firstColumn="1" w:lastColumn="0" w:noHBand="0" w:noVBand="1"/>
      </w:tblPr>
      <w:tblGrid>
        <w:gridCol w:w="2122"/>
        <w:gridCol w:w="2551"/>
        <w:gridCol w:w="2552"/>
        <w:gridCol w:w="2551"/>
      </w:tblGrid>
      <w:tr w:rsidR="00970157" w14:paraId="771E6B3E" w14:textId="77777777" w:rsidTr="00B8AFBC">
        <w:tc>
          <w:tcPr>
            <w:tcW w:w="2122" w:type="dxa"/>
            <w:shd w:val="clear" w:color="auto" w:fill="5EAA41"/>
          </w:tcPr>
          <w:p w14:paraId="1DE99333"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2551" w:type="dxa"/>
            <w:shd w:val="clear" w:color="auto" w:fill="5EAA41"/>
          </w:tcPr>
          <w:p w14:paraId="24C0D569"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improved on last year</w:t>
            </w:r>
          </w:p>
        </w:tc>
        <w:tc>
          <w:tcPr>
            <w:tcW w:w="2552" w:type="dxa"/>
            <w:shd w:val="clear" w:color="auto" w:fill="5EAA41"/>
          </w:tcPr>
          <w:p w14:paraId="14C7D45F"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worse than last year</w:t>
            </w:r>
          </w:p>
        </w:tc>
        <w:tc>
          <w:tcPr>
            <w:tcW w:w="2551" w:type="dxa"/>
            <w:shd w:val="clear" w:color="auto" w:fill="5EAA41"/>
          </w:tcPr>
          <w:p w14:paraId="512AEEF7"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the same as last year</w:t>
            </w:r>
          </w:p>
        </w:tc>
      </w:tr>
      <w:tr w:rsidR="00970157" w14:paraId="2DDDC203" w14:textId="77777777" w:rsidTr="00B8AFBC">
        <w:tc>
          <w:tcPr>
            <w:tcW w:w="2122" w:type="dxa"/>
            <w:shd w:val="clear" w:color="auto" w:fill="FFFFFF" w:themeFill="background1"/>
            <w:vAlign w:val="center"/>
          </w:tcPr>
          <w:p w14:paraId="650530D8" w14:textId="619E5A08" w:rsidR="00B0379D" w:rsidRPr="002E35DB" w:rsidRDefault="002E35DB" w:rsidP="00B8AFBC">
            <w:pPr>
              <w:spacing w:after="120"/>
              <w:jc w:val="center"/>
              <w:rPr>
                <w:rFonts w:ascii="Arial" w:eastAsia="Arial" w:hAnsi="Arial" w:cs="Arial"/>
                <w:color w:val="000000" w:themeColor="text1"/>
              </w:rPr>
            </w:pPr>
            <w:r w:rsidRPr="002E35DB">
              <w:rPr>
                <w:rFonts w:ascii="Arial" w:eastAsia="Arial" w:hAnsi="Arial" w:cs="Arial"/>
                <w:color w:val="000000" w:themeColor="text1"/>
              </w:rPr>
              <w:t>12</w:t>
            </w:r>
          </w:p>
        </w:tc>
        <w:tc>
          <w:tcPr>
            <w:tcW w:w="2551" w:type="dxa"/>
            <w:shd w:val="clear" w:color="auto" w:fill="FFFFFF" w:themeFill="background1"/>
            <w:vAlign w:val="center"/>
          </w:tcPr>
          <w:p w14:paraId="132FAA1C" w14:textId="4DB3E1AA" w:rsidR="00B0379D" w:rsidRPr="002E35DB" w:rsidRDefault="002E35DB" w:rsidP="00B8AFBC">
            <w:pPr>
              <w:spacing w:after="120"/>
              <w:jc w:val="center"/>
              <w:rPr>
                <w:rFonts w:ascii="Arial" w:eastAsia="Arial" w:hAnsi="Arial" w:cs="Arial"/>
                <w:color w:val="000000" w:themeColor="text1"/>
              </w:rPr>
            </w:pPr>
            <w:r w:rsidRPr="002E35DB">
              <w:rPr>
                <w:rFonts w:ascii="Arial" w:eastAsia="Arial" w:hAnsi="Arial" w:cs="Arial"/>
                <w:color w:val="000000" w:themeColor="text1"/>
              </w:rPr>
              <w:t>50</w:t>
            </w:r>
            <w:r w:rsidR="00E75E6D" w:rsidRPr="002E35DB">
              <w:rPr>
                <w:rFonts w:ascii="Arial" w:eastAsia="Arial" w:hAnsi="Arial" w:cs="Arial"/>
                <w:color w:val="000000" w:themeColor="text1"/>
              </w:rPr>
              <w:t>% (</w:t>
            </w:r>
            <w:r w:rsidRPr="002E35DB">
              <w:rPr>
                <w:rFonts w:ascii="Arial" w:eastAsia="Arial" w:hAnsi="Arial" w:cs="Arial"/>
                <w:color w:val="000000" w:themeColor="text1"/>
              </w:rPr>
              <w:t>6</w:t>
            </w:r>
            <w:r w:rsidR="00E75E6D" w:rsidRPr="002E35DB">
              <w:rPr>
                <w:rFonts w:ascii="Arial" w:eastAsia="Arial" w:hAnsi="Arial" w:cs="Arial"/>
                <w:color w:val="000000" w:themeColor="text1"/>
              </w:rPr>
              <w:t>)</w:t>
            </w:r>
          </w:p>
        </w:tc>
        <w:tc>
          <w:tcPr>
            <w:tcW w:w="2552" w:type="dxa"/>
            <w:shd w:val="clear" w:color="auto" w:fill="FFFFFF" w:themeFill="background1"/>
            <w:vAlign w:val="center"/>
          </w:tcPr>
          <w:p w14:paraId="269DAD45" w14:textId="1DFC26EB" w:rsidR="00B0379D" w:rsidRPr="002E35DB" w:rsidRDefault="00594484" w:rsidP="00B8AFBC">
            <w:pPr>
              <w:spacing w:after="120"/>
              <w:jc w:val="center"/>
              <w:rPr>
                <w:rFonts w:ascii="Arial" w:eastAsia="Arial" w:hAnsi="Arial" w:cs="Arial"/>
                <w:color w:val="000000" w:themeColor="text1"/>
              </w:rPr>
            </w:pPr>
            <w:r w:rsidRPr="002E35DB">
              <w:rPr>
                <w:rFonts w:ascii="Arial" w:eastAsia="Arial" w:hAnsi="Arial" w:cs="Arial"/>
                <w:color w:val="000000" w:themeColor="text1"/>
              </w:rPr>
              <w:t>50</w:t>
            </w:r>
            <w:r w:rsidR="00E75E6D" w:rsidRPr="002E35DB">
              <w:rPr>
                <w:rFonts w:ascii="Arial" w:eastAsia="Arial" w:hAnsi="Arial" w:cs="Arial"/>
                <w:color w:val="000000" w:themeColor="text1"/>
              </w:rPr>
              <w:t>% (</w:t>
            </w:r>
            <w:r w:rsidR="002E35DB" w:rsidRPr="002E35DB">
              <w:rPr>
                <w:rFonts w:ascii="Arial" w:eastAsia="Arial" w:hAnsi="Arial" w:cs="Arial"/>
                <w:color w:val="000000" w:themeColor="text1"/>
              </w:rPr>
              <w:t>6</w:t>
            </w:r>
            <w:r w:rsidR="00E75E6D" w:rsidRPr="002E35DB">
              <w:rPr>
                <w:rFonts w:ascii="Arial" w:eastAsia="Arial" w:hAnsi="Arial" w:cs="Arial"/>
                <w:color w:val="000000" w:themeColor="text1"/>
              </w:rPr>
              <w:t>)</w:t>
            </w:r>
          </w:p>
        </w:tc>
        <w:tc>
          <w:tcPr>
            <w:tcW w:w="2551" w:type="dxa"/>
            <w:shd w:val="clear" w:color="auto" w:fill="FFFFFF" w:themeFill="background1"/>
            <w:vAlign w:val="center"/>
          </w:tcPr>
          <w:p w14:paraId="0A0CF348" w14:textId="4D66A50F" w:rsidR="00B0379D" w:rsidRPr="002E35DB" w:rsidRDefault="002E35DB" w:rsidP="00B8AFBC">
            <w:pPr>
              <w:spacing w:after="120"/>
              <w:jc w:val="center"/>
              <w:rPr>
                <w:rFonts w:ascii="Arial" w:eastAsia="Arial" w:hAnsi="Arial" w:cs="Arial"/>
                <w:color w:val="000000" w:themeColor="text1"/>
              </w:rPr>
            </w:pPr>
            <w:r w:rsidRPr="002E35DB">
              <w:rPr>
                <w:rFonts w:ascii="Arial" w:eastAsia="Arial" w:hAnsi="Arial" w:cs="Arial"/>
                <w:color w:val="000000" w:themeColor="text1"/>
              </w:rPr>
              <w:t>0</w:t>
            </w:r>
            <w:r w:rsidR="00E75E6D" w:rsidRPr="002E35DB">
              <w:rPr>
                <w:rFonts w:ascii="Arial" w:eastAsia="Arial" w:hAnsi="Arial" w:cs="Arial"/>
                <w:color w:val="000000" w:themeColor="text1"/>
              </w:rPr>
              <w:t>% (</w:t>
            </w:r>
            <w:r w:rsidRPr="002E35DB">
              <w:rPr>
                <w:rFonts w:ascii="Arial" w:eastAsia="Arial" w:hAnsi="Arial" w:cs="Arial"/>
                <w:color w:val="000000" w:themeColor="text1"/>
              </w:rPr>
              <w:t>0</w:t>
            </w:r>
            <w:r w:rsidR="00E75E6D" w:rsidRPr="002E35DB">
              <w:rPr>
                <w:rFonts w:ascii="Arial" w:eastAsia="Arial" w:hAnsi="Arial" w:cs="Arial"/>
                <w:color w:val="000000" w:themeColor="text1"/>
              </w:rPr>
              <w:t>)</w:t>
            </w:r>
          </w:p>
        </w:tc>
      </w:tr>
    </w:tbl>
    <w:p w14:paraId="2F68B10D" w14:textId="77777777" w:rsidR="00B0379D" w:rsidRDefault="00B0379D" w:rsidP="00B0379D">
      <w:pPr>
        <w:spacing w:after="120" w:line="240" w:lineRule="auto"/>
        <w:jc w:val="both"/>
        <w:rPr>
          <w:rFonts w:ascii="Arial" w:hAnsi="Arial" w:cs="Arial"/>
          <w:b/>
          <w:bCs/>
          <w:color w:val="ED712C"/>
          <w:sz w:val="24"/>
          <w:szCs w:val="24"/>
        </w:rPr>
      </w:pPr>
    </w:p>
    <w:p w14:paraId="5E5D0FE5" w14:textId="77777777" w:rsidR="00B0379D" w:rsidRPr="000F5EC4" w:rsidRDefault="00E75E6D" w:rsidP="00B0379D">
      <w:pPr>
        <w:spacing w:after="240" w:line="240" w:lineRule="auto"/>
        <w:jc w:val="both"/>
        <w:rPr>
          <w:rFonts w:ascii="Arial" w:hAnsi="Arial" w:cs="Arial"/>
          <w:b/>
          <w:bCs/>
          <w:color w:val="5EAA41"/>
        </w:rPr>
      </w:pPr>
      <w:r w:rsidRPr="000F5EC4">
        <w:rPr>
          <w:rFonts w:ascii="Arial" w:hAnsi="Arial" w:cs="Arial"/>
          <w:b/>
          <w:bCs/>
          <w:color w:val="5EAA41"/>
        </w:rPr>
        <w:t>Inter Authority Comparison</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ayout w:type="fixed"/>
        <w:tblLook w:val="04A0" w:firstRow="1" w:lastRow="0" w:firstColumn="1" w:lastColumn="0" w:noHBand="0" w:noVBand="1"/>
      </w:tblPr>
      <w:tblGrid>
        <w:gridCol w:w="1838"/>
        <w:gridCol w:w="1985"/>
        <w:gridCol w:w="1984"/>
        <w:gridCol w:w="1985"/>
        <w:gridCol w:w="1984"/>
      </w:tblGrid>
      <w:tr w:rsidR="00970157" w14:paraId="78511D45" w14:textId="77777777" w:rsidTr="00B8AFBC">
        <w:trPr>
          <w:tblHeader/>
        </w:trPr>
        <w:tc>
          <w:tcPr>
            <w:tcW w:w="1838" w:type="dxa"/>
            <w:shd w:val="clear" w:color="auto" w:fill="5EAA41"/>
          </w:tcPr>
          <w:p w14:paraId="3337ABAB"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5EAA41"/>
          </w:tcPr>
          <w:p w14:paraId="79C1930A"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5EAA41"/>
          </w:tcPr>
          <w:p w14:paraId="1232D142"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5EAA41"/>
          </w:tcPr>
          <w:p w14:paraId="429296BC"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5EAA41"/>
          </w:tcPr>
          <w:p w14:paraId="0CAD8843"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3CD0F80C" w14:textId="77777777" w:rsidTr="00B8AFBC">
        <w:tc>
          <w:tcPr>
            <w:tcW w:w="1838" w:type="dxa"/>
            <w:shd w:val="clear" w:color="auto" w:fill="FFFFFF" w:themeFill="background1"/>
            <w:vAlign w:val="center"/>
          </w:tcPr>
          <w:p w14:paraId="5ADCE357" w14:textId="6E0E7900" w:rsidR="00B0379D" w:rsidRPr="00704032" w:rsidRDefault="00DC4404" w:rsidP="00B8AFBC">
            <w:pPr>
              <w:spacing w:before="40" w:after="40" w:line="259" w:lineRule="auto"/>
              <w:jc w:val="center"/>
              <w:rPr>
                <w:rFonts w:ascii="Arial" w:eastAsia="Arial" w:hAnsi="Arial" w:cs="Arial"/>
                <w:color w:val="000000" w:themeColor="text1"/>
              </w:rPr>
            </w:pPr>
            <w:r w:rsidRPr="00704032">
              <w:rPr>
                <w:rFonts w:ascii="Arial" w:eastAsia="Arial" w:hAnsi="Arial" w:cs="Arial"/>
                <w:color w:val="000000" w:themeColor="text1"/>
              </w:rPr>
              <w:t>2</w:t>
            </w:r>
          </w:p>
        </w:tc>
        <w:tc>
          <w:tcPr>
            <w:tcW w:w="1985" w:type="dxa"/>
            <w:shd w:val="clear" w:color="auto" w:fill="FFFFFF" w:themeFill="background1"/>
            <w:vAlign w:val="center"/>
          </w:tcPr>
          <w:p w14:paraId="670A636F" w14:textId="77777777" w:rsidR="00B0379D" w:rsidRPr="00704032" w:rsidRDefault="00E75E6D" w:rsidP="00B8AFBC">
            <w:pPr>
              <w:spacing w:before="40" w:after="40" w:line="259" w:lineRule="auto"/>
              <w:jc w:val="center"/>
              <w:rPr>
                <w:rFonts w:ascii="Arial" w:eastAsia="Arial" w:hAnsi="Arial" w:cs="Arial"/>
                <w:color w:val="000000" w:themeColor="text1"/>
              </w:rPr>
            </w:pPr>
            <w:r w:rsidRPr="00704032">
              <w:rPr>
                <w:rFonts w:ascii="Arial" w:eastAsia="Arial" w:hAnsi="Arial" w:cs="Arial"/>
                <w:color w:val="000000" w:themeColor="text1"/>
              </w:rPr>
              <w:t>0% (0)</w:t>
            </w:r>
          </w:p>
        </w:tc>
        <w:tc>
          <w:tcPr>
            <w:tcW w:w="1984" w:type="dxa"/>
            <w:shd w:val="clear" w:color="auto" w:fill="FFFFFF" w:themeFill="background1"/>
            <w:vAlign w:val="center"/>
          </w:tcPr>
          <w:p w14:paraId="14958992" w14:textId="31A47E0D" w:rsidR="00B0379D" w:rsidRPr="00704032" w:rsidRDefault="00DC4404" w:rsidP="00B8AFBC">
            <w:pPr>
              <w:spacing w:before="40" w:after="40" w:line="259" w:lineRule="auto"/>
              <w:jc w:val="center"/>
              <w:rPr>
                <w:rFonts w:ascii="Arial" w:eastAsia="Arial" w:hAnsi="Arial" w:cs="Arial"/>
                <w:color w:val="000000" w:themeColor="text1"/>
              </w:rPr>
            </w:pPr>
            <w:r w:rsidRPr="00704032">
              <w:rPr>
                <w:rFonts w:ascii="Arial" w:eastAsia="Arial" w:hAnsi="Arial" w:cs="Arial"/>
                <w:color w:val="000000" w:themeColor="text1"/>
              </w:rPr>
              <w:t>0</w:t>
            </w:r>
            <w:r w:rsidR="00E75E6D" w:rsidRPr="00704032">
              <w:rPr>
                <w:rFonts w:ascii="Arial" w:eastAsia="Arial" w:hAnsi="Arial" w:cs="Arial"/>
                <w:color w:val="000000" w:themeColor="text1"/>
              </w:rPr>
              <w:t>% (</w:t>
            </w:r>
            <w:r w:rsidRPr="00704032">
              <w:rPr>
                <w:rFonts w:ascii="Arial" w:eastAsia="Arial" w:hAnsi="Arial" w:cs="Arial"/>
                <w:color w:val="000000" w:themeColor="text1"/>
              </w:rPr>
              <w:t>0</w:t>
            </w:r>
            <w:r w:rsidR="00E75E6D" w:rsidRPr="00704032">
              <w:rPr>
                <w:rFonts w:ascii="Arial" w:eastAsia="Arial" w:hAnsi="Arial" w:cs="Arial"/>
                <w:color w:val="000000" w:themeColor="text1"/>
              </w:rPr>
              <w:t>)</w:t>
            </w:r>
          </w:p>
        </w:tc>
        <w:tc>
          <w:tcPr>
            <w:tcW w:w="1985" w:type="dxa"/>
            <w:shd w:val="clear" w:color="auto" w:fill="FFFFFF" w:themeFill="background1"/>
            <w:vAlign w:val="center"/>
          </w:tcPr>
          <w:p w14:paraId="47CB5D43" w14:textId="5B864CAD" w:rsidR="00B0379D" w:rsidRPr="00704032" w:rsidRDefault="00CD1D06" w:rsidP="00B8AFBC">
            <w:pPr>
              <w:spacing w:before="40" w:after="40" w:line="259" w:lineRule="auto"/>
              <w:jc w:val="center"/>
              <w:rPr>
                <w:rFonts w:ascii="Arial" w:eastAsia="Arial" w:hAnsi="Arial" w:cs="Arial"/>
                <w:color w:val="000000" w:themeColor="text1"/>
              </w:rPr>
            </w:pPr>
            <w:r w:rsidRPr="00704032">
              <w:rPr>
                <w:rFonts w:ascii="Arial" w:eastAsia="Arial" w:hAnsi="Arial" w:cs="Arial"/>
                <w:color w:val="000000" w:themeColor="text1"/>
              </w:rPr>
              <w:t>5</w:t>
            </w:r>
            <w:r w:rsidR="00DC4404" w:rsidRPr="00704032">
              <w:rPr>
                <w:rFonts w:ascii="Arial" w:eastAsia="Arial" w:hAnsi="Arial" w:cs="Arial"/>
                <w:color w:val="000000" w:themeColor="text1"/>
              </w:rPr>
              <w:t>0</w:t>
            </w:r>
            <w:r w:rsidR="00303A63" w:rsidRPr="00704032">
              <w:rPr>
                <w:rFonts w:ascii="Arial" w:eastAsia="Arial" w:hAnsi="Arial" w:cs="Arial"/>
                <w:color w:val="000000" w:themeColor="text1"/>
              </w:rPr>
              <w:t>% (</w:t>
            </w:r>
            <w:r w:rsidRPr="00704032">
              <w:rPr>
                <w:rFonts w:ascii="Arial" w:eastAsia="Arial" w:hAnsi="Arial" w:cs="Arial"/>
                <w:color w:val="000000" w:themeColor="text1"/>
              </w:rPr>
              <w:t>1</w:t>
            </w:r>
            <w:r w:rsidR="00303A63" w:rsidRPr="00704032">
              <w:rPr>
                <w:rFonts w:ascii="Arial" w:eastAsia="Arial" w:hAnsi="Arial" w:cs="Arial"/>
                <w:color w:val="000000" w:themeColor="text1"/>
              </w:rPr>
              <w:t>)</w:t>
            </w:r>
          </w:p>
        </w:tc>
        <w:tc>
          <w:tcPr>
            <w:tcW w:w="1984" w:type="dxa"/>
            <w:shd w:val="clear" w:color="auto" w:fill="FFFFFF" w:themeFill="background1"/>
            <w:vAlign w:val="center"/>
          </w:tcPr>
          <w:p w14:paraId="5FC5A828" w14:textId="4A387917" w:rsidR="00B0379D" w:rsidRPr="00704032" w:rsidRDefault="00CD1D06" w:rsidP="00B8AFBC">
            <w:pPr>
              <w:spacing w:before="40" w:after="40" w:line="259" w:lineRule="auto"/>
              <w:jc w:val="center"/>
              <w:rPr>
                <w:rFonts w:ascii="Arial" w:eastAsia="Arial" w:hAnsi="Arial" w:cs="Arial"/>
                <w:color w:val="000000" w:themeColor="text1"/>
              </w:rPr>
            </w:pPr>
            <w:r w:rsidRPr="00704032">
              <w:rPr>
                <w:rFonts w:ascii="Arial" w:eastAsia="Arial" w:hAnsi="Arial" w:cs="Arial"/>
                <w:color w:val="000000" w:themeColor="text1"/>
              </w:rPr>
              <w:t>5</w:t>
            </w:r>
            <w:r w:rsidR="00DC4404" w:rsidRPr="00704032">
              <w:rPr>
                <w:rFonts w:ascii="Arial" w:eastAsia="Arial" w:hAnsi="Arial" w:cs="Arial"/>
                <w:color w:val="000000" w:themeColor="text1"/>
              </w:rPr>
              <w:t>0</w:t>
            </w:r>
            <w:r w:rsidR="00E75E6D" w:rsidRPr="00704032">
              <w:rPr>
                <w:rFonts w:ascii="Arial" w:eastAsia="Arial" w:hAnsi="Arial" w:cs="Arial"/>
                <w:color w:val="000000" w:themeColor="text1"/>
              </w:rPr>
              <w:t>% (</w:t>
            </w:r>
            <w:r w:rsidRPr="00704032">
              <w:rPr>
                <w:rFonts w:ascii="Arial" w:eastAsia="Arial" w:hAnsi="Arial" w:cs="Arial"/>
                <w:color w:val="000000" w:themeColor="text1"/>
              </w:rPr>
              <w:t>1</w:t>
            </w:r>
            <w:r w:rsidR="00E75E6D" w:rsidRPr="00704032">
              <w:rPr>
                <w:rFonts w:ascii="Arial" w:eastAsia="Arial" w:hAnsi="Arial" w:cs="Arial"/>
                <w:color w:val="000000" w:themeColor="text1"/>
              </w:rPr>
              <w:t>)</w:t>
            </w:r>
          </w:p>
        </w:tc>
      </w:tr>
    </w:tbl>
    <w:p w14:paraId="37C8C551" w14:textId="77777777" w:rsidR="00B0379D" w:rsidRDefault="00B0379D" w:rsidP="00B0379D">
      <w:pPr>
        <w:pStyle w:val="ListBullet"/>
        <w:numPr>
          <w:ilvl w:val="0"/>
          <w:numId w:val="0"/>
        </w:numPr>
        <w:spacing w:after="240" w:line="240" w:lineRule="auto"/>
        <w:contextualSpacing w:val="0"/>
        <w:rPr>
          <w:rStyle w:val="normaltextrun"/>
          <w:rFonts w:ascii="Arial" w:hAnsi="Arial" w:cs="Arial"/>
          <w:b/>
          <w:bCs/>
          <w:color w:val="5EAA41"/>
          <w:sz w:val="24"/>
          <w:szCs w:val="24"/>
        </w:rPr>
      </w:pPr>
    </w:p>
    <w:p w14:paraId="2C468FEA" w14:textId="77777777" w:rsidR="00B0379D" w:rsidRDefault="00B0379D" w:rsidP="00B0379D">
      <w:pPr>
        <w:pStyle w:val="ListBullet"/>
        <w:spacing w:after="240" w:line="240" w:lineRule="auto"/>
        <w:ind w:left="74" w:hanging="74"/>
        <w:contextualSpacing w:val="0"/>
        <w:rPr>
          <w:rStyle w:val="normaltextrun"/>
          <w:rFonts w:ascii="Arial" w:hAnsi="Arial" w:cs="Arial"/>
          <w:b/>
          <w:bCs/>
          <w:color w:val="5EAA41"/>
          <w:sz w:val="24"/>
          <w:szCs w:val="24"/>
        </w:rPr>
        <w:sectPr w:rsidR="00B0379D" w:rsidSect="00EC2ED3">
          <w:headerReference w:type="default" r:id="rId39"/>
          <w:footerReference w:type="default" r:id="rId40"/>
          <w:pgSz w:w="11906" w:h="16838"/>
          <w:pgMar w:top="720" w:right="720" w:bottom="720" w:left="720" w:header="708" w:footer="708" w:gutter="0"/>
          <w:cols w:space="708"/>
          <w:docGrid w:linePitch="360"/>
        </w:sectPr>
      </w:pPr>
    </w:p>
    <w:p w14:paraId="2A0BD588" w14:textId="77777777" w:rsidR="00B0379D" w:rsidRDefault="00B0379D" w:rsidP="00B0379D">
      <w:pPr>
        <w:spacing w:after="0" w:line="240" w:lineRule="auto"/>
        <w:rPr>
          <w:rStyle w:val="eop"/>
          <w:rFonts w:ascii="Arial" w:eastAsia="Times New Roman" w:hAnsi="Arial" w:cs="Arial"/>
          <w:lang w:eastAsia="en-GB"/>
        </w:rPr>
      </w:pPr>
    </w:p>
    <w:p w14:paraId="230B8DDC" w14:textId="77777777" w:rsidR="00B0379D" w:rsidRPr="00D23B44" w:rsidRDefault="00E75E6D" w:rsidP="00B0379D">
      <w:pPr>
        <w:rPr>
          <w:rStyle w:val="normaltextrun"/>
          <w:rFonts w:ascii="Arial" w:eastAsia="Arial" w:hAnsi="Arial" w:cs="Arial"/>
          <w:b/>
          <w:color w:val="5EAA41"/>
          <w:sz w:val="32"/>
          <w:szCs w:val="32"/>
        </w:rPr>
      </w:pPr>
      <w:r w:rsidRPr="00D23B44">
        <w:rPr>
          <w:rFonts w:ascii="Arial" w:eastAsia="Arial" w:hAnsi="Arial" w:cs="Arial"/>
          <w:b/>
          <w:color w:val="5EAA41"/>
          <w:sz w:val="32"/>
          <w:szCs w:val="32"/>
        </w:rPr>
        <w:t xml:space="preserve">Priority 5 - </w:t>
      </w:r>
      <w:r w:rsidRPr="00D23B44">
        <w:rPr>
          <w:rStyle w:val="normaltextrun"/>
          <w:rFonts w:ascii="Arial" w:eastAsia="Arial" w:hAnsi="Arial" w:cs="Arial"/>
          <w:b/>
          <w:color w:val="5EAA41"/>
          <w:sz w:val="32"/>
          <w:szCs w:val="32"/>
        </w:rPr>
        <w:t>Create green and vibrant places that reflect our heritage and culture</w:t>
      </w:r>
    </w:p>
    <w:p w14:paraId="0D4E0764" w14:textId="26427C58" w:rsidR="00B0379D" w:rsidRPr="00633C88" w:rsidRDefault="00E75E6D" w:rsidP="00B0379D">
      <w:pPr>
        <w:rPr>
          <w:color w:val="FF0000"/>
          <w:sz w:val="32"/>
          <w:szCs w:val="32"/>
        </w:rPr>
      </w:pPr>
      <w:r w:rsidRPr="79F139C8">
        <w:rPr>
          <w:rStyle w:val="normaltextrun"/>
          <w:rFonts w:ascii="Arial" w:eastAsia="Arial" w:hAnsi="Arial" w:cs="Arial"/>
          <w:b/>
          <w:bCs/>
          <w:color w:val="5EAA41"/>
          <w:sz w:val="32"/>
          <w:szCs w:val="32"/>
        </w:rPr>
        <w:t>Tier 1</w:t>
      </w:r>
    </w:p>
    <w:tbl>
      <w:tblPr>
        <w:tblW w:w="0" w:type="auto"/>
        <w:tblLook w:val="04A0" w:firstRow="1" w:lastRow="0" w:firstColumn="1" w:lastColumn="0" w:noHBand="0" w:noVBand="1"/>
      </w:tblPr>
      <w:tblGrid>
        <w:gridCol w:w="2269"/>
        <w:gridCol w:w="760"/>
        <w:gridCol w:w="2686"/>
        <w:gridCol w:w="1370"/>
        <w:gridCol w:w="1131"/>
        <w:gridCol w:w="1163"/>
        <w:gridCol w:w="1146"/>
        <w:gridCol w:w="1120"/>
        <w:gridCol w:w="1094"/>
        <w:gridCol w:w="772"/>
        <w:gridCol w:w="1877"/>
      </w:tblGrid>
      <w:tr w:rsidR="0096761F" w:rsidRPr="0096761F" w14:paraId="2B22D9DF" w14:textId="77777777" w:rsidTr="000A08AC">
        <w:trPr>
          <w:trHeight w:val="435"/>
          <w:tblHeader/>
        </w:trPr>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noWrap/>
            <w:vAlign w:val="center"/>
            <w:hideMark/>
          </w:tcPr>
          <w:p w14:paraId="3AB34947"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Outcome</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noWrap/>
            <w:vAlign w:val="center"/>
            <w:hideMark/>
          </w:tcPr>
          <w:p w14:paraId="0B0EEF14" w14:textId="2562FBE6" w:rsidR="0096761F" w:rsidRPr="0096761F" w:rsidRDefault="000E6D9E" w:rsidP="0096761F">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Ref</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56F69447"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Performance Indicator</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4CA3429B"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Reporting Frequency</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2E3F13D8"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44E90FA6"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23/24 Outturn</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3C0A2667"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24/25 Target</w:t>
            </w:r>
          </w:p>
        </w:tc>
        <w:tc>
          <w:tcPr>
            <w:tcW w:w="1120" w:type="dxa"/>
            <w:tcBorders>
              <w:top w:val="single" w:sz="4" w:space="0" w:color="5EAA41"/>
              <w:left w:val="nil"/>
              <w:bottom w:val="single" w:sz="4" w:space="0" w:color="5EAA41"/>
              <w:right w:val="single" w:sz="4" w:space="0" w:color="5EAA41"/>
            </w:tcBorders>
            <w:shd w:val="clear" w:color="000000" w:fill="5EAA41"/>
            <w:vAlign w:val="center"/>
            <w:hideMark/>
          </w:tcPr>
          <w:p w14:paraId="200015C4"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Q1</w:t>
            </w:r>
          </w:p>
        </w:tc>
        <w:tc>
          <w:tcPr>
            <w:tcW w:w="1094"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17643592"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5EAA41"/>
              <w:left w:val="nil"/>
              <w:bottom w:val="single" w:sz="4" w:space="0" w:color="5EAA41"/>
              <w:right w:val="single" w:sz="4" w:space="0" w:color="5EAA41"/>
            </w:tcBorders>
            <w:shd w:val="clear" w:color="000000" w:fill="5EAA41"/>
            <w:vAlign w:val="center"/>
            <w:hideMark/>
          </w:tcPr>
          <w:p w14:paraId="7A67D091"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Trend</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0D5258BC"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Comparative Performance</w:t>
            </w:r>
          </w:p>
        </w:tc>
      </w:tr>
      <w:tr w:rsidR="0096761F" w:rsidRPr="0096761F" w14:paraId="2D5024E3" w14:textId="77777777" w:rsidTr="000A08AC">
        <w:trPr>
          <w:trHeight w:val="703"/>
        </w:trPr>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730D14FA"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57EABA46"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62F8E838"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01F18F8E"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2B1CDA95"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0CFA4F1D"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79B9D2DD"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1120" w:type="dxa"/>
            <w:tcBorders>
              <w:top w:val="nil"/>
              <w:left w:val="nil"/>
              <w:bottom w:val="single" w:sz="4" w:space="0" w:color="5EAA41"/>
              <w:right w:val="single" w:sz="4" w:space="0" w:color="5EAA41"/>
            </w:tcBorders>
            <w:shd w:val="clear" w:color="000000" w:fill="5EAA41"/>
            <w:vAlign w:val="center"/>
            <w:hideMark/>
          </w:tcPr>
          <w:p w14:paraId="43D15A54" w14:textId="77777777" w:rsidR="0096761F" w:rsidRPr="0096761F" w:rsidRDefault="0096761F" w:rsidP="0096761F">
            <w:pPr>
              <w:spacing w:after="0" w:line="240" w:lineRule="auto"/>
              <w:jc w:val="center"/>
              <w:rPr>
                <w:rFonts w:ascii="Arial" w:eastAsia="Times New Roman" w:hAnsi="Arial" w:cs="Arial"/>
                <w:b/>
                <w:bCs/>
                <w:color w:val="FFFFFF"/>
                <w:sz w:val="20"/>
                <w:szCs w:val="20"/>
                <w:lang w:eastAsia="en-GB"/>
              </w:rPr>
            </w:pPr>
            <w:r w:rsidRPr="0096761F">
              <w:rPr>
                <w:rFonts w:ascii="Arial" w:eastAsia="Times New Roman" w:hAnsi="Arial" w:cs="Arial"/>
                <w:b/>
                <w:bCs/>
                <w:color w:val="FFFFFF"/>
                <w:sz w:val="20"/>
                <w:szCs w:val="20"/>
                <w:lang w:eastAsia="en-GB"/>
              </w:rPr>
              <w:t>June</w:t>
            </w:r>
          </w:p>
        </w:tc>
        <w:tc>
          <w:tcPr>
            <w:tcW w:w="1094" w:type="dxa"/>
            <w:vMerge/>
            <w:tcBorders>
              <w:top w:val="single" w:sz="4" w:space="0" w:color="5EAA41"/>
              <w:left w:val="single" w:sz="4" w:space="0" w:color="5EAA41"/>
              <w:bottom w:val="single" w:sz="4" w:space="0" w:color="auto"/>
              <w:right w:val="single" w:sz="4" w:space="0" w:color="5EAA41"/>
            </w:tcBorders>
            <w:vAlign w:val="center"/>
            <w:hideMark/>
          </w:tcPr>
          <w:p w14:paraId="3178CFD3"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nil"/>
              <w:bottom w:val="single" w:sz="4" w:space="0" w:color="5EAA41"/>
              <w:right w:val="single" w:sz="4" w:space="0" w:color="5EAA41"/>
            </w:tcBorders>
            <w:vAlign w:val="center"/>
            <w:hideMark/>
          </w:tcPr>
          <w:p w14:paraId="02C99132"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203F092F" w14:textId="77777777" w:rsidR="0096761F" w:rsidRPr="0096761F" w:rsidRDefault="0096761F" w:rsidP="0096761F">
            <w:pPr>
              <w:spacing w:after="0" w:line="240" w:lineRule="auto"/>
              <w:rPr>
                <w:rFonts w:ascii="Arial" w:eastAsia="Times New Roman" w:hAnsi="Arial" w:cs="Arial"/>
                <w:b/>
                <w:bCs/>
                <w:color w:val="FFFFFF"/>
                <w:sz w:val="20"/>
                <w:szCs w:val="20"/>
                <w:lang w:eastAsia="en-GB"/>
              </w:rPr>
            </w:pPr>
          </w:p>
        </w:tc>
      </w:tr>
      <w:tr w:rsidR="0096761F" w:rsidRPr="0096761F" w14:paraId="2CD8558C" w14:textId="77777777" w:rsidTr="002E35DB">
        <w:trPr>
          <w:trHeight w:val="1140"/>
        </w:trPr>
        <w:tc>
          <w:tcPr>
            <w:tcW w:w="0" w:type="auto"/>
            <w:vMerge w:val="restart"/>
            <w:tcBorders>
              <w:top w:val="nil"/>
              <w:left w:val="single" w:sz="4" w:space="0" w:color="5EAA41"/>
              <w:bottom w:val="single" w:sz="4" w:space="0" w:color="5EAA41"/>
              <w:right w:val="single" w:sz="4" w:space="0" w:color="5EAA41"/>
            </w:tcBorders>
            <w:shd w:val="clear" w:color="000000" w:fill="D2EAC8"/>
            <w:vAlign w:val="center"/>
            <w:hideMark/>
          </w:tcPr>
          <w:p w14:paraId="76A3D45E" w14:textId="77777777" w:rsidR="0096761F" w:rsidRPr="0096761F" w:rsidRDefault="0096761F" w:rsidP="0096761F">
            <w:pPr>
              <w:spacing w:after="0" w:line="240" w:lineRule="auto"/>
              <w:jc w:val="center"/>
              <w:rPr>
                <w:rFonts w:ascii="Arial" w:eastAsia="Times New Roman" w:hAnsi="Arial" w:cs="Arial"/>
                <w:b/>
                <w:bCs/>
                <w:sz w:val="20"/>
                <w:szCs w:val="20"/>
                <w:lang w:eastAsia="en-GB"/>
              </w:rPr>
            </w:pPr>
            <w:r w:rsidRPr="0096761F">
              <w:rPr>
                <w:rFonts w:ascii="Arial" w:eastAsia="Times New Roman" w:hAnsi="Arial" w:cs="Arial"/>
                <w:b/>
                <w:bCs/>
                <w:sz w:val="20"/>
                <w:szCs w:val="20"/>
                <w:lang w:eastAsia="en-GB"/>
              </w:rPr>
              <w:t>Our environment is protected for the future</w:t>
            </w:r>
          </w:p>
        </w:tc>
        <w:tc>
          <w:tcPr>
            <w:tcW w:w="0" w:type="auto"/>
            <w:tcBorders>
              <w:top w:val="nil"/>
              <w:left w:val="nil"/>
              <w:bottom w:val="single" w:sz="4" w:space="0" w:color="5EAA41"/>
              <w:right w:val="single" w:sz="4" w:space="0" w:color="5EAA41"/>
            </w:tcBorders>
            <w:shd w:val="clear" w:color="auto" w:fill="auto"/>
            <w:vAlign w:val="center"/>
            <w:hideMark/>
          </w:tcPr>
          <w:p w14:paraId="06170FAD"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ENV-001</w:t>
            </w:r>
          </w:p>
        </w:tc>
        <w:tc>
          <w:tcPr>
            <w:tcW w:w="0" w:type="auto"/>
            <w:tcBorders>
              <w:top w:val="nil"/>
              <w:left w:val="nil"/>
              <w:bottom w:val="single" w:sz="4" w:space="0" w:color="5EAA41"/>
              <w:right w:val="single" w:sz="4" w:space="0" w:color="5EAA41"/>
            </w:tcBorders>
            <w:shd w:val="clear" w:color="auto" w:fill="auto"/>
            <w:vAlign w:val="center"/>
            <w:hideMark/>
          </w:tcPr>
          <w:p w14:paraId="3DC122E9" w14:textId="77777777" w:rsidR="0096761F" w:rsidRPr="0096761F" w:rsidRDefault="0096761F" w:rsidP="0096761F">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The amount of direct greenhouse gas emissions within the scope of influence of local authorities (tonnes of CO2)</w:t>
            </w:r>
          </w:p>
        </w:tc>
        <w:tc>
          <w:tcPr>
            <w:tcW w:w="0" w:type="auto"/>
            <w:tcBorders>
              <w:top w:val="nil"/>
              <w:left w:val="nil"/>
              <w:bottom w:val="single" w:sz="4" w:space="0" w:color="5EAA41"/>
              <w:right w:val="single" w:sz="4" w:space="0" w:color="5EAA41"/>
            </w:tcBorders>
            <w:shd w:val="clear" w:color="auto" w:fill="auto"/>
            <w:vAlign w:val="center"/>
            <w:hideMark/>
          </w:tcPr>
          <w:p w14:paraId="35650DED" w14:textId="77777777" w:rsidR="0096761F" w:rsidRPr="0096761F" w:rsidRDefault="0096761F" w:rsidP="0096761F">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 (lagged)</w:t>
            </w:r>
          </w:p>
        </w:tc>
        <w:tc>
          <w:tcPr>
            <w:tcW w:w="0" w:type="auto"/>
            <w:tcBorders>
              <w:top w:val="nil"/>
              <w:left w:val="nil"/>
              <w:bottom w:val="single" w:sz="4" w:space="0" w:color="5EAA41"/>
              <w:right w:val="single" w:sz="4" w:space="0" w:color="5EAA41"/>
            </w:tcBorders>
            <w:shd w:val="clear" w:color="000000" w:fill="FFFFFF"/>
            <w:vAlign w:val="center"/>
            <w:hideMark/>
          </w:tcPr>
          <w:p w14:paraId="00D4094E"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Lower</w:t>
            </w:r>
          </w:p>
        </w:tc>
        <w:tc>
          <w:tcPr>
            <w:tcW w:w="0" w:type="auto"/>
            <w:tcBorders>
              <w:top w:val="nil"/>
              <w:left w:val="nil"/>
              <w:bottom w:val="single" w:sz="4" w:space="0" w:color="5EAA41"/>
              <w:right w:val="single" w:sz="4" w:space="0" w:color="5EAA41"/>
            </w:tcBorders>
            <w:shd w:val="clear" w:color="000000" w:fill="92D050"/>
            <w:vAlign w:val="center"/>
            <w:hideMark/>
          </w:tcPr>
          <w:p w14:paraId="61759E65" w14:textId="77777777" w:rsidR="0096761F" w:rsidRPr="0096761F" w:rsidRDefault="0096761F" w:rsidP="0096761F">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8196</w:t>
            </w:r>
          </w:p>
        </w:tc>
        <w:tc>
          <w:tcPr>
            <w:tcW w:w="0" w:type="auto"/>
            <w:tcBorders>
              <w:top w:val="nil"/>
              <w:left w:val="nil"/>
              <w:bottom w:val="single" w:sz="4" w:space="0" w:color="5EAA41"/>
              <w:right w:val="single" w:sz="4" w:space="0" w:color="5EAA41"/>
            </w:tcBorders>
            <w:shd w:val="clear" w:color="000000" w:fill="92D050"/>
            <w:noWrap/>
            <w:vAlign w:val="center"/>
            <w:hideMark/>
          </w:tcPr>
          <w:p w14:paraId="784A7735"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9,000</w:t>
            </w:r>
          </w:p>
        </w:tc>
        <w:tc>
          <w:tcPr>
            <w:tcW w:w="1120" w:type="dxa"/>
            <w:tcBorders>
              <w:top w:val="single" w:sz="4" w:space="0" w:color="5EAA41"/>
              <w:left w:val="single" w:sz="4" w:space="0" w:color="5EAA41"/>
              <w:bottom w:val="single" w:sz="4" w:space="0" w:color="5EAA41"/>
              <w:right w:val="single" w:sz="4" w:space="0" w:color="auto"/>
            </w:tcBorders>
            <w:shd w:val="clear" w:color="000000" w:fill="FFFFFF"/>
            <w:vAlign w:val="center"/>
            <w:hideMark/>
          </w:tcPr>
          <w:p w14:paraId="44C5AA52" w14:textId="3229DAA5" w:rsidR="0096761F" w:rsidRPr="006F4427" w:rsidRDefault="006F4427" w:rsidP="009676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Q1 d</w:t>
            </w:r>
            <w:r w:rsidR="000C7E97" w:rsidRPr="006F4427">
              <w:rPr>
                <w:rFonts w:ascii="Arial" w:eastAsia="Times New Roman" w:hAnsi="Arial" w:cs="Arial"/>
                <w:color w:val="000000"/>
                <w:sz w:val="18"/>
                <w:szCs w:val="18"/>
                <w:lang w:eastAsia="en-GB"/>
              </w:rPr>
              <w:t>ata</w:t>
            </w:r>
            <w:r w:rsidRPr="006F4427">
              <w:rPr>
                <w:rFonts w:ascii="Arial" w:eastAsia="Times New Roman" w:hAnsi="Arial" w:cs="Arial"/>
                <w:color w:val="000000"/>
                <w:sz w:val="18"/>
                <w:szCs w:val="18"/>
                <w:lang w:eastAsia="en-GB"/>
              </w:rPr>
              <w:t xml:space="preserve"> to be reported in Q2</w:t>
            </w:r>
          </w:p>
          <w:p w14:paraId="441447C4" w14:textId="4BF543BC" w:rsidR="006F4427" w:rsidRPr="0096761F" w:rsidRDefault="006F4427" w:rsidP="0096761F">
            <w:pPr>
              <w:spacing w:after="0" w:line="240" w:lineRule="auto"/>
              <w:jc w:val="center"/>
              <w:rPr>
                <w:rFonts w:ascii="Arial" w:eastAsia="Times New Roman" w:hAnsi="Arial" w:cs="Arial"/>
                <w:color w:val="000000"/>
                <w:sz w:val="20"/>
                <w:szCs w:val="20"/>
                <w:lang w:eastAsia="en-GB"/>
              </w:rPr>
            </w:pP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23FE027D" w14:textId="4D62E6D8" w:rsidR="0096761F" w:rsidRPr="0096761F" w:rsidRDefault="001E3E9C" w:rsidP="0096761F">
            <w:pPr>
              <w:spacing w:after="0" w:line="240" w:lineRule="auto"/>
              <w:jc w:val="center"/>
              <w:rPr>
                <w:rFonts w:ascii="Arial" w:eastAsia="Times New Roman" w:hAnsi="Arial" w:cs="Arial"/>
                <w:color w:val="D9D9D9"/>
                <w:sz w:val="20"/>
                <w:szCs w:val="20"/>
                <w:lang w:eastAsia="en-GB"/>
              </w:rPr>
            </w:pPr>
            <w:r w:rsidRPr="001E3E9C">
              <w:rPr>
                <w:rFonts w:ascii="Arial" w:eastAsia="Times New Roman" w:hAnsi="Arial" w:cs="Arial"/>
                <w:sz w:val="20"/>
                <w:szCs w:val="20"/>
                <w:lang w:eastAsia="en-GB"/>
              </w:rPr>
              <w:t>N/A</w:t>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62B236BF" w14:textId="494425F1" w:rsidR="0096761F" w:rsidRPr="0096761F" w:rsidRDefault="000527B7"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noProof/>
                <w:color w:val="000000"/>
                <w:sz w:val="20"/>
                <w:szCs w:val="20"/>
                <w:lang w:eastAsia="en-GB"/>
              </w:rPr>
              <w:drawing>
                <wp:anchor distT="0" distB="0" distL="114300" distR="114300" simplePos="0" relativeHeight="251658317" behindDoc="0" locked="0" layoutInCell="1" allowOverlap="1" wp14:anchorId="567078F3" wp14:editId="1F4F0F06">
                  <wp:simplePos x="0" y="0"/>
                  <wp:positionH relativeFrom="column">
                    <wp:posOffset>50800</wp:posOffset>
                  </wp:positionH>
                  <wp:positionV relativeFrom="paragraph">
                    <wp:posOffset>50165</wp:posOffset>
                  </wp:positionV>
                  <wp:extent cx="292100" cy="241300"/>
                  <wp:effectExtent l="0" t="0" r="0" b="6350"/>
                  <wp:wrapNone/>
                  <wp:docPr id="198338812" name="Picture 78" descr="P1915C94T39#y1">
                    <a:extLst xmlns:a="http://schemas.openxmlformats.org/drawingml/2006/main">
                      <a:ext uri="{FF2B5EF4-FFF2-40B4-BE49-F238E27FC236}">
                        <a16:creationId xmlns:a16="http://schemas.microsoft.com/office/drawing/2014/main" id="{9CB5A2B7-BEBE-4A8E-91BD-E40A484CE940}"/>
                      </a:ext>
                    </a:extLst>
                  </wp:docPr>
                  <wp:cNvGraphicFramePr/>
                  <a:graphic xmlns:a="http://schemas.openxmlformats.org/drawingml/2006/main">
                    <a:graphicData uri="http://schemas.openxmlformats.org/drawingml/2006/picture">
                      <pic:pic xmlns:pic="http://schemas.openxmlformats.org/drawingml/2006/picture">
                        <pic:nvPicPr>
                          <pic:cNvPr id="970503934" name="Picture 62" descr="P1915C94T39#y1">
                            <a:extLst>
                              <a:ext uri="{FF2B5EF4-FFF2-40B4-BE49-F238E27FC236}">
                                <a16:creationId xmlns:a16="http://schemas.microsoft.com/office/drawing/2014/main" id="{9CB5A2B7-BEBE-4A8E-91BD-E40A484CE94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r w:rsidR="0096761F" w:rsidRPr="0096761F">
              <w:rPr>
                <w:rFonts w:ascii="Arial" w:eastAsia="Times New Roman" w:hAnsi="Arial" w:cs="Arial"/>
                <w:sz w:val="20"/>
                <w:szCs w:val="20"/>
                <w:lang w:eastAsia="en-GB"/>
              </w:rPr>
              <w:t> </w:t>
            </w:r>
          </w:p>
        </w:tc>
        <w:tc>
          <w:tcPr>
            <w:tcW w:w="0" w:type="auto"/>
            <w:tcBorders>
              <w:top w:val="nil"/>
              <w:left w:val="nil"/>
              <w:bottom w:val="single" w:sz="4" w:space="0" w:color="5EAA41"/>
              <w:right w:val="single" w:sz="4" w:space="0" w:color="5EAA41"/>
            </w:tcBorders>
            <w:shd w:val="clear" w:color="auto" w:fill="auto"/>
            <w:noWrap/>
            <w:vAlign w:val="center"/>
            <w:hideMark/>
          </w:tcPr>
          <w:p w14:paraId="7D25C3E0"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96761F" w:rsidRPr="0096761F" w14:paraId="7D7AEE7A" w14:textId="77777777" w:rsidTr="002E35DB">
        <w:trPr>
          <w:trHeight w:val="1140"/>
        </w:trPr>
        <w:tc>
          <w:tcPr>
            <w:tcW w:w="0" w:type="auto"/>
            <w:vMerge/>
            <w:tcBorders>
              <w:top w:val="nil"/>
              <w:left w:val="single" w:sz="4" w:space="0" w:color="5EAA41"/>
              <w:bottom w:val="single" w:sz="4" w:space="0" w:color="5EAA41"/>
              <w:right w:val="single" w:sz="4" w:space="0" w:color="5EAA41"/>
            </w:tcBorders>
            <w:vAlign w:val="center"/>
            <w:hideMark/>
          </w:tcPr>
          <w:p w14:paraId="0256A85E" w14:textId="77777777" w:rsidR="0096761F" w:rsidRPr="0096761F" w:rsidRDefault="0096761F" w:rsidP="0096761F">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5185BCB8"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ENV-004A</w:t>
            </w:r>
          </w:p>
        </w:tc>
        <w:tc>
          <w:tcPr>
            <w:tcW w:w="0" w:type="auto"/>
            <w:tcBorders>
              <w:top w:val="nil"/>
              <w:left w:val="nil"/>
              <w:bottom w:val="single" w:sz="4" w:space="0" w:color="5EAA41"/>
              <w:right w:val="single" w:sz="4" w:space="0" w:color="5EAA41"/>
            </w:tcBorders>
            <w:shd w:val="clear" w:color="auto" w:fill="auto"/>
            <w:vAlign w:val="center"/>
            <w:hideMark/>
          </w:tcPr>
          <w:p w14:paraId="12A5BCE2" w14:textId="77777777" w:rsidR="0096761F" w:rsidRPr="0096761F" w:rsidRDefault="0096761F" w:rsidP="0096761F">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Percentage of household waste arisings which have been sent for recycling</w:t>
            </w:r>
          </w:p>
        </w:tc>
        <w:tc>
          <w:tcPr>
            <w:tcW w:w="0" w:type="auto"/>
            <w:tcBorders>
              <w:top w:val="nil"/>
              <w:left w:val="nil"/>
              <w:bottom w:val="single" w:sz="4" w:space="0" w:color="5EAA41"/>
              <w:right w:val="single" w:sz="4" w:space="0" w:color="5EAA41"/>
            </w:tcBorders>
            <w:shd w:val="clear" w:color="auto" w:fill="auto"/>
            <w:vAlign w:val="center"/>
            <w:hideMark/>
          </w:tcPr>
          <w:p w14:paraId="7B4BF301" w14:textId="77777777" w:rsidR="0096761F" w:rsidRPr="0096761F" w:rsidRDefault="0096761F" w:rsidP="0096761F">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2BB66374"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auto" w:fill="FF0000"/>
            <w:vAlign w:val="center"/>
            <w:hideMark/>
          </w:tcPr>
          <w:p w14:paraId="0F1216CF" w14:textId="29F6A823" w:rsidR="0096761F" w:rsidRPr="0096761F" w:rsidRDefault="006200A7" w:rsidP="0096761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31.</w:t>
            </w:r>
            <w:r w:rsidR="001E1CDC">
              <w:rPr>
                <w:rFonts w:ascii="Arial" w:eastAsia="Times New Roman" w:hAnsi="Arial" w:cs="Arial"/>
                <w:color w:val="000000"/>
                <w:sz w:val="20"/>
                <w:szCs w:val="20"/>
                <w:lang w:eastAsia="en-GB"/>
              </w:rPr>
              <w:t>25</w:t>
            </w:r>
          </w:p>
        </w:tc>
        <w:tc>
          <w:tcPr>
            <w:tcW w:w="0" w:type="auto"/>
            <w:tcBorders>
              <w:top w:val="nil"/>
              <w:left w:val="nil"/>
              <w:bottom w:val="single" w:sz="4" w:space="0" w:color="5EAA41"/>
              <w:right w:val="single" w:sz="4" w:space="0" w:color="5EAA41"/>
            </w:tcBorders>
            <w:shd w:val="clear" w:color="auto" w:fill="auto"/>
            <w:noWrap/>
            <w:vAlign w:val="center"/>
            <w:hideMark/>
          </w:tcPr>
          <w:p w14:paraId="4401C97B"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36%</w:t>
            </w:r>
          </w:p>
        </w:tc>
        <w:tc>
          <w:tcPr>
            <w:tcW w:w="1120" w:type="dxa"/>
            <w:tcBorders>
              <w:top w:val="single" w:sz="4" w:space="0" w:color="5EAA41"/>
              <w:left w:val="single" w:sz="4" w:space="0" w:color="5EAA41"/>
              <w:bottom w:val="single" w:sz="4" w:space="0" w:color="5EAA41"/>
              <w:right w:val="single" w:sz="4" w:space="0" w:color="auto"/>
            </w:tcBorders>
            <w:shd w:val="clear" w:color="000000" w:fill="FFFFFF"/>
            <w:vAlign w:val="center"/>
            <w:hideMark/>
          </w:tcPr>
          <w:p w14:paraId="73BB3D78" w14:textId="1EF43B5C" w:rsidR="006F4427" w:rsidRPr="006F4427" w:rsidRDefault="006F4427" w:rsidP="006F4427">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Q1 d</w:t>
            </w:r>
            <w:r w:rsidRPr="006F4427">
              <w:rPr>
                <w:rFonts w:ascii="Arial" w:eastAsia="Times New Roman" w:hAnsi="Arial" w:cs="Arial"/>
                <w:color w:val="000000"/>
                <w:sz w:val="18"/>
                <w:szCs w:val="18"/>
                <w:lang w:eastAsia="en-GB"/>
              </w:rPr>
              <w:t>ata to be reported in Q2</w:t>
            </w:r>
          </w:p>
          <w:p w14:paraId="4A278643" w14:textId="2C527E12" w:rsidR="0096761F" w:rsidRPr="0096761F" w:rsidRDefault="0096761F" w:rsidP="0096761F">
            <w:pPr>
              <w:spacing w:after="0" w:line="240" w:lineRule="auto"/>
              <w:jc w:val="center"/>
              <w:rPr>
                <w:rFonts w:ascii="Arial" w:eastAsia="Times New Roman" w:hAnsi="Arial" w:cs="Arial"/>
                <w:color w:val="000000"/>
                <w:sz w:val="20"/>
                <w:szCs w:val="20"/>
                <w:lang w:eastAsia="en-GB"/>
              </w:rPr>
            </w:pP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3A0D368E" w14:textId="635009F8" w:rsidR="0096761F" w:rsidRPr="0096761F" w:rsidRDefault="002E35DB" w:rsidP="0096761F">
            <w:pPr>
              <w:spacing w:after="0" w:line="240" w:lineRule="auto"/>
              <w:jc w:val="center"/>
              <w:rPr>
                <w:rFonts w:ascii="Arial" w:eastAsia="Times New Roman" w:hAnsi="Arial" w:cs="Arial"/>
                <w:color w:val="D9D9D9"/>
                <w:sz w:val="20"/>
                <w:szCs w:val="20"/>
                <w:lang w:eastAsia="en-GB"/>
              </w:rPr>
            </w:pPr>
            <w:r w:rsidRPr="0096761F">
              <w:rPr>
                <w:rFonts w:ascii="Arial" w:eastAsia="Times New Roman" w:hAnsi="Arial" w:cs="Arial"/>
                <w:sz w:val="20"/>
                <w:szCs w:val="20"/>
                <w:lang w:eastAsia="en-GB"/>
              </w:rPr>
              <w:t>N/A</w:t>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27F2B8AF" w14:textId="6762C30E" w:rsidR="0096761F" w:rsidRPr="0096761F" w:rsidRDefault="000527B7" w:rsidP="0096761F">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18" behindDoc="0" locked="0" layoutInCell="1" allowOverlap="1" wp14:anchorId="7312F250" wp14:editId="5C8449B2">
                  <wp:simplePos x="0" y="0"/>
                  <wp:positionH relativeFrom="column">
                    <wp:posOffset>63500</wp:posOffset>
                  </wp:positionH>
                  <wp:positionV relativeFrom="paragraph">
                    <wp:posOffset>46355</wp:posOffset>
                  </wp:positionV>
                  <wp:extent cx="273050" cy="241300"/>
                  <wp:effectExtent l="0" t="0" r="0" b="0"/>
                  <wp:wrapNone/>
                  <wp:docPr id="1699927658" name="Picture 79"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r w:rsidR="0096761F" w:rsidRPr="0096761F">
              <w:rPr>
                <w:rFonts w:ascii="Arial" w:eastAsia="Times New Roman" w:hAnsi="Arial" w:cs="Arial"/>
                <w:sz w:val="20"/>
                <w:szCs w:val="20"/>
                <w:lang w:eastAsia="en-GB"/>
              </w:rPr>
              <w:t> </w:t>
            </w:r>
          </w:p>
        </w:tc>
        <w:tc>
          <w:tcPr>
            <w:tcW w:w="0" w:type="auto"/>
            <w:tcBorders>
              <w:top w:val="single" w:sz="4" w:space="0" w:color="00B050"/>
              <w:left w:val="single" w:sz="4" w:space="0" w:color="00B050"/>
              <w:bottom w:val="single" w:sz="4" w:space="0" w:color="00B050"/>
              <w:right w:val="single" w:sz="4" w:space="0" w:color="00B050"/>
            </w:tcBorders>
            <w:shd w:val="clear" w:color="000000" w:fill="FF0000"/>
            <w:vAlign w:val="center"/>
            <w:hideMark/>
          </w:tcPr>
          <w:p w14:paraId="1952184D" w14:textId="2551EECA" w:rsidR="0096761F" w:rsidRPr="0096761F" w:rsidRDefault="0048535E" w:rsidP="0096761F">
            <w:pPr>
              <w:spacing w:after="0" w:line="240" w:lineRule="auto"/>
              <w:jc w:val="center"/>
              <w:rPr>
                <w:rFonts w:ascii="Arial" w:eastAsia="Times New Roman" w:hAnsi="Arial" w:cs="Arial"/>
                <w:sz w:val="20"/>
                <w:szCs w:val="20"/>
                <w:lang w:eastAsia="en-GB"/>
              </w:rPr>
            </w:pPr>
            <w:r w:rsidRPr="0048535E">
              <w:rPr>
                <w:rFonts w:ascii="Arial" w:eastAsia="Times New Roman" w:hAnsi="Arial" w:cs="Arial"/>
                <w:sz w:val="20"/>
                <w:szCs w:val="20"/>
                <w:lang w:eastAsia="en-GB"/>
              </w:rPr>
              <w:t>4th Quartile Eng Av. 41.7 LA Av. 41.9 (2022/23)</w:t>
            </w:r>
          </w:p>
        </w:tc>
      </w:tr>
      <w:tr w:rsidR="0096761F" w:rsidRPr="0096761F" w14:paraId="049D5957" w14:textId="77777777" w:rsidTr="002E35DB">
        <w:trPr>
          <w:trHeight w:val="1140"/>
        </w:trPr>
        <w:tc>
          <w:tcPr>
            <w:tcW w:w="0" w:type="auto"/>
            <w:vMerge/>
            <w:tcBorders>
              <w:top w:val="nil"/>
              <w:left w:val="single" w:sz="4" w:space="0" w:color="5EAA41"/>
              <w:bottom w:val="single" w:sz="4" w:space="0" w:color="5EAA41"/>
              <w:right w:val="single" w:sz="4" w:space="0" w:color="5EAA41"/>
            </w:tcBorders>
            <w:vAlign w:val="center"/>
            <w:hideMark/>
          </w:tcPr>
          <w:p w14:paraId="701BBA79" w14:textId="77777777" w:rsidR="0096761F" w:rsidRPr="0096761F" w:rsidRDefault="0096761F" w:rsidP="0096761F">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72CDB368"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ENV-004B</w:t>
            </w:r>
          </w:p>
        </w:tc>
        <w:tc>
          <w:tcPr>
            <w:tcW w:w="0" w:type="auto"/>
            <w:tcBorders>
              <w:top w:val="nil"/>
              <w:left w:val="nil"/>
              <w:bottom w:val="single" w:sz="4" w:space="0" w:color="5EAA41"/>
              <w:right w:val="single" w:sz="4" w:space="0" w:color="5EAA41"/>
            </w:tcBorders>
            <w:shd w:val="clear" w:color="auto" w:fill="auto"/>
            <w:vAlign w:val="center"/>
            <w:hideMark/>
          </w:tcPr>
          <w:p w14:paraId="58689BEF" w14:textId="77777777" w:rsidR="0096761F" w:rsidRPr="0096761F" w:rsidRDefault="0096761F" w:rsidP="0096761F">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Kilograms of recycling per household</w:t>
            </w:r>
          </w:p>
        </w:tc>
        <w:tc>
          <w:tcPr>
            <w:tcW w:w="0" w:type="auto"/>
            <w:tcBorders>
              <w:top w:val="nil"/>
              <w:left w:val="nil"/>
              <w:bottom w:val="single" w:sz="4" w:space="0" w:color="5EAA41"/>
              <w:right w:val="single" w:sz="4" w:space="0" w:color="5EAA41"/>
            </w:tcBorders>
            <w:shd w:val="clear" w:color="auto" w:fill="auto"/>
            <w:vAlign w:val="center"/>
            <w:hideMark/>
          </w:tcPr>
          <w:p w14:paraId="4033031B" w14:textId="77777777" w:rsidR="0096761F" w:rsidRPr="0096761F" w:rsidRDefault="0096761F" w:rsidP="0096761F">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000AF024"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auto" w:fill="FF0000"/>
            <w:vAlign w:val="center"/>
            <w:hideMark/>
          </w:tcPr>
          <w:p w14:paraId="3EAB3393" w14:textId="6A00878D" w:rsidR="0096761F" w:rsidRPr="0096761F" w:rsidRDefault="001E1CDC" w:rsidP="0096761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238</w:t>
            </w:r>
          </w:p>
        </w:tc>
        <w:tc>
          <w:tcPr>
            <w:tcW w:w="0" w:type="auto"/>
            <w:tcBorders>
              <w:top w:val="nil"/>
              <w:left w:val="nil"/>
              <w:bottom w:val="single" w:sz="4" w:space="0" w:color="5EAA41"/>
              <w:right w:val="single" w:sz="4" w:space="0" w:color="5EAA41"/>
            </w:tcBorders>
            <w:shd w:val="clear" w:color="auto" w:fill="auto"/>
            <w:noWrap/>
            <w:vAlign w:val="center"/>
            <w:hideMark/>
          </w:tcPr>
          <w:p w14:paraId="48E66578"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280</w:t>
            </w:r>
          </w:p>
        </w:tc>
        <w:tc>
          <w:tcPr>
            <w:tcW w:w="1120" w:type="dxa"/>
            <w:tcBorders>
              <w:top w:val="single" w:sz="4" w:space="0" w:color="5EAA41"/>
              <w:left w:val="single" w:sz="4" w:space="0" w:color="5EAA41"/>
              <w:bottom w:val="single" w:sz="4" w:space="0" w:color="5EAA41"/>
              <w:right w:val="single" w:sz="4" w:space="0" w:color="auto"/>
            </w:tcBorders>
            <w:shd w:val="clear" w:color="000000" w:fill="FFFFFF"/>
            <w:vAlign w:val="center"/>
            <w:hideMark/>
          </w:tcPr>
          <w:p w14:paraId="231AF6CA" w14:textId="77777777" w:rsidR="000F1BFC" w:rsidRDefault="000F1BFC" w:rsidP="006F4427">
            <w:pPr>
              <w:spacing w:after="0" w:line="240" w:lineRule="auto"/>
              <w:jc w:val="center"/>
              <w:rPr>
                <w:rFonts w:ascii="Arial" w:eastAsia="Times New Roman" w:hAnsi="Arial" w:cs="Arial"/>
                <w:color w:val="000000"/>
                <w:sz w:val="20"/>
                <w:szCs w:val="20"/>
                <w:lang w:eastAsia="en-GB"/>
              </w:rPr>
            </w:pPr>
          </w:p>
          <w:p w14:paraId="2C5B709E" w14:textId="0496AA96" w:rsidR="006F4427" w:rsidRPr="006F4427" w:rsidRDefault="006F4427" w:rsidP="006F4427">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20"/>
                <w:szCs w:val="20"/>
                <w:lang w:eastAsia="en-GB"/>
              </w:rPr>
              <w:t>Q1 d</w:t>
            </w:r>
            <w:r w:rsidRPr="006F4427">
              <w:rPr>
                <w:rFonts w:ascii="Arial" w:eastAsia="Times New Roman" w:hAnsi="Arial" w:cs="Arial"/>
                <w:color w:val="000000"/>
                <w:sz w:val="18"/>
                <w:szCs w:val="18"/>
                <w:lang w:eastAsia="en-GB"/>
              </w:rPr>
              <w:t>ata to be reported in Q2</w:t>
            </w:r>
          </w:p>
          <w:p w14:paraId="3BD20610" w14:textId="4AFC16DE" w:rsidR="0096761F" w:rsidRPr="0096761F" w:rsidRDefault="0096761F" w:rsidP="0096761F">
            <w:pPr>
              <w:spacing w:after="0" w:line="240" w:lineRule="auto"/>
              <w:jc w:val="center"/>
              <w:rPr>
                <w:rFonts w:ascii="Arial" w:eastAsia="Times New Roman" w:hAnsi="Arial" w:cs="Arial"/>
                <w:color w:val="000000"/>
                <w:sz w:val="20"/>
                <w:szCs w:val="20"/>
                <w:lang w:eastAsia="en-GB"/>
              </w:rPr>
            </w:pP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32223F91" w14:textId="109B6DCD" w:rsidR="0096761F" w:rsidRPr="0096761F" w:rsidRDefault="002E35DB" w:rsidP="0096761F">
            <w:pPr>
              <w:spacing w:after="0" w:line="240" w:lineRule="auto"/>
              <w:jc w:val="center"/>
              <w:rPr>
                <w:rFonts w:ascii="Arial" w:eastAsia="Times New Roman" w:hAnsi="Arial" w:cs="Arial"/>
                <w:color w:val="D9D9D9"/>
                <w:sz w:val="20"/>
                <w:szCs w:val="20"/>
                <w:lang w:eastAsia="en-GB"/>
              </w:rPr>
            </w:pPr>
            <w:r w:rsidRPr="0096761F">
              <w:rPr>
                <w:rFonts w:ascii="Arial" w:eastAsia="Times New Roman" w:hAnsi="Arial" w:cs="Arial"/>
                <w:sz w:val="20"/>
                <w:szCs w:val="20"/>
                <w:lang w:eastAsia="en-GB"/>
              </w:rPr>
              <w:t>N/A</w:t>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66ED7006" w14:textId="7135C87E" w:rsidR="0096761F" w:rsidRPr="0096761F" w:rsidRDefault="000527B7" w:rsidP="0096761F">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19" behindDoc="0" locked="0" layoutInCell="1" allowOverlap="1" wp14:anchorId="3F33EAEB" wp14:editId="259CA59E">
                  <wp:simplePos x="0" y="0"/>
                  <wp:positionH relativeFrom="column">
                    <wp:posOffset>44450</wp:posOffset>
                  </wp:positionH>
                  <wp:positionV relativeFrom="paragraph">
                    <wp:posOffset>-44450</wp:posOffset>
                  </wp:positionV>
                  <wp:extent cx="273050" cy="241300"/>
                  <wp:effectExtent l="0" t="0" r="0" b="0"/>
                  <wp:wrapNone/>
                  <wp:docPr id="1212644767" name="Picture 80"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r w:rsidR="0096761F" w:rsidRPr="0096761F">
              <w:rPr>
                <w:rFonts w:ascii="Arial" w:eastAsia="Times New Roman" w:hAnsi="Arial" w:cs="Arial"/>
                <w:sz w:val="20"/>
                <w:szCs w:val="20"/>
                <w:lang w:eastAsia="en-GB"/>
              </w:rPr>
              <w:t> </w:t>
            </w:r>
          </w:p>
        </w:tc>
        <w:tc>
          <w:tcPr>
            <w:tcW w:w="0" w:type="auto"/>
            <w:tcBorders>
              <w:top w:val="single" w:sz="4" w:space="0" w:color="5EAA41"/>
              <w:left w:val="single" w:sz="4" w:space="0" w:color="5EAA41"/>
              <w:bottom w:val="single" w:sz="4" w:space="0" w:color="5EAA41"/>
              <w:right w:val="single" w:sz="4" w:space="0" w:color="5EAA41"/>
            </w:tcBorders>
            <w:shd w:val="clear" w:color="000000" w:fill="FFFFFF"/>
            <w:noWrap/>
            <w:vAlign w:val="center"/>
            <w:hideMark/>
          </w:tcPr>
          <w:p w14:paraId="26F0F2BF" w14:textId="77777777" w:rsidR="0096761F" w:rsidRPr="0096761F" w:rsidRDefault="0096761F" w:rsidP="0096761F">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0F1BFC" w:rsidRPr="0096761F" w14:paraId="6565182C" w14:textId="77777777" w:rsidTr="002E35DB">
        <w:trPr>
          <w:trHeight w:val="1140"/>
        </w:trPr>
        <w:tc>
          <w:tcPr>
            <w:tcW w:w="0" w:type="auto"/>
            <w:vMerge/>
            <w:tcBorders>
              <w:top w:val="nil"/>
              <w:left w:val="single" w:sz="4" w:space="0" w:color="5EAA41"/>
              <w:bottom w:val="single" w:sz="4" w:space="0" w:color="5EAA41"/>
              <w:right w:val="single" w:sz="4" w:space="0" w:color="5EAA41"/>
            </w:tcBorders>
            <w:vAlign w:val="center"/>
            <w:hideMark/>
          </w:tcPr>
          <w:p w14:paraId="23790AD1" w14:textId="77777777" w:rsidR="000F1BFC" w:rsidRPr="0096761F" w:rsidRDefault="000F1BFC" w:rsidP="000F1BFC">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75A0ADD8"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ENV-005</w:t>
            </w:r>
          </w:p>
        </w:tc>
        <w:tc>
          <w:tcPr>
            <w:tcW w:w="0" w:type="auto"/>
            <w:tcBorders>
              <w:top w:val="nil"/>
              <w:left w:val="nil"/>
              <w:bottom w:val="single" w:sz="4" w:space="0" w:color="5EAA41"/>
              <w:right w:val="single" w:sz="4" w:space="0" w:color="5EAA41"/>
            </w:tcBorders>
            <w:shd w:val="clear" w:color="auto" w:fill="auto"/>
            <w:vAlign w:val="center"/>
            <w:hideMark/>
          </w:tcPr>
          <w:p w14:paraId="303A20F8"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Kilograms of residual household waste collected per household.</w:t>
            </w:r>
          </w:p>
        </w:tc>
        <w:tc>
          <w:tcPr>
            <w:tcW w:w="0" w:type="auto"/>
            <w:tcBorders>
              <w:top w:val="nil"/>
              <w:left w:val="nil"/>
              <w:bottom w:val="single" w:sz="4" w:space="0" w:color="5EAA41"/>
              <w:right w:val="single" w:sz="4" w:space="0" w:color="5EAA41"/>
            </w:tcBorders>
            <w:shd w:val="clear" w:color="auto" w:fill="auto"/>
            <w:vAlign w:val="center"/>
            <w:hideMark/>
          </w:tcPr>
          <w:p w14:paraId="410F9A58"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0EA0EA0E"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Lower</w:t>
            </w:r>
          </w:p>
        </w:tc>
        <w:tc>
          <w:tcPr>
            <w:tcW w:w="0" w:type="auto"/>
            <w:tcBorders>
              <w:top w:val="nil"/>
              <w:left w:val="nil"/>
              <w:bottom w:val="single" w:sz="4" w:space="0" w:color="5EAA41"/>
              <w:right w:val="single" w:sz="4" w:space="0" w:color="5EAA41"/>
            </w:tcBorders>
            <w:shd w:val="clear" w:color="auto" w:fill="FF0000"/>
            <w:vAlign w:val="center"/>
            <w:hideMark/>
          </w:tcPr>
          <w:p w14:paraId="4E3FC485" w14:textId="0FC26BB3" w:rsidR="000F1BFC" w:rsidRPr="0096761F" w:rsidRDefault="000F1BFC" w:rsidP="000F1BF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518</w:t>
            </w:r>
          </w:p>
        </w:tc>
        <w:tc>
          <w:tcPr>
            <w:tcW w:w="0" w:type="auto"/>
            <w:tcBorders>
              <w:top w:val="nil"/>
              <w:left w:val="nil"/>
              <w:bottom w:val="single" w:sz="4" w:space="0" w:color="5EAA41"/>
              <w:right w:val="single" w:sz="4" w:space="0" w:color="5EAA41"/>
            </w:tcBorders>
            <w:shd w:val="clear" w:color="auto" w:fill="auto"/>
            <w:noWrap/>
            <w:vAlign w:val="center"/>
            <w:hideMark/>
          </w:tcPr>
          <w:p w14:paraId="7F630D4F"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500</w:t>
            </w:r>
          </w:p>
        </w:tc>
        <w:tc>
          <w:tcPr>
            <w:tcW w:w="1120" w:type="dxa"/>
            <w:tcBorders>
              <w:top w:val="single" w:sz="4" w:space="0" w:color="5EAA41"/>
              <w:left w:val="single" w:sz="4" w:space="0" w:color="5EAA41"/>
              <w:bottom w:val="single" w:sz="4" w:space="0" w:color="5EAA41"/>
              <w:right w:val="single" w:sz="4" w:space="0" w:color="auto"/>
            </w:tcBorders>
            <w:shd w:val="clear" w:color="000000" w:fill="FFFFFF"/>
            <w:vAlign w:val="center"/>
            <w:hideMark/>
          </w:tcPr>
          <w:p w14:paraId="45DD5455" w14:textId="77777777" w:rsidR="000F1BFC" w:rsidRPr="006F4427" w:rsidRDefault="000F1BFC" w:rsidP="000F1BF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20"/>
                <w:szCs w:val="20"/>
                <w:lang w:eastAsia="en-GB"/>
              </w:rPr>
              <w:t>Q1 d</w:t>
            </w:r>
            <w:r w:rsidRPr="006F4427">
              <w:rPr>
                <w:rFonts w:ascii="Arial" w:eastAsia="Times New Roman" w:hAnsi="Arial" w:cs="Arial"/>
                <w:color w:val="000000"/>
                <w:sz w:val="18"/>
                <w:szCs w:val="18"/>
                <w:lang w:eastAsia="en-GB"/>
              </w:rPr>
              <w:t>ata to be reported in Q2</w:t>
            </w:r>
          </w:p>
          <w:p w14:paraId="7D8AC950" w14:textId="57EC36D8" w:rsidR="000F1BFC" w:rsidRPr="0096761F" w:rsidRDefault="000F1BFC" w:rsidP="000F1BFC">
            <w:pPr>
              <w:spacing w:after="0" w:line="240" w:lineRule="auto"/>
              <w:jc w:val="center"/>
              <w:rPr>
                <w:rFonts w:ascii="Arial" w:eastAsia="Times New Roman" w:hAnsi="Arial" w:cs="Arial"/>
                <w:color w:val="000000"/>
                <w:sz w:val="20"/>
                <w:szCs w:val="20"/>
                <w:lang w:eastAsia="en-GB"/>
              </w:rPr>
            </w:pP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28BF54E5" w14:textId="35D00ADE" w:rsidR="000F1BFC" w:rsidRPr="0096761F" w:rsidRDefault="002E35DB" w:rsidP="000F1BFC">
            <w:pPr>
              <w:spacing w:after="0" w:line="240" w:lineRule="auto"/>
              <w:jc w:val="center"/>
              <w:rPr>
                <w:rFonts w:ascii="Arial" w:eastAsia="Times New Roman" w:hAnsi="Arial" w:cs="Arial"/>
                <w:color w:val="D9D9D9"/>
                <w:sz w:val="20"/>
                <w:szCs w:val="20"/>
                <w:lang w:eastAsia="en-GB"/>
              </w:rPr>
            </w:pPr>
            <w:r w:rsidRPr="0096761F">
              <w:rPr>
                <w:rFonts w:ascii="Arial" w:eastAsia="Times New Roman" w:hAnsi="Arial" w:cs="Arial"/>
                <w:sz w:val="20"/>
                <w:szCs w:val="20"/>
                <w:lang w:eastAsia="en-GB"/>
              </w:rPr>
              <w:t>N/A</w:t>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4F28AF8E" w14:textId="68020FAD" w:rsidR="000F1BFC" w:rsidRPr="0096761F" w:rsidRDefault="000F1BFC" w:rsidP="000F1BFC">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25" behindDoc="0" locked="0" layoutInCell="1" allowOverlap="1" wp14:anchorId="32203F4F" wp14:editId="15955A5E">
                  <wp:simplePos x="0" y="0"/>
                  <wp:positionH relativeFrom="column">
                    <wp:posOffset>50800</wp:posOffset>
                  </wp:positionH>
                  <wp:positionV relativeFrom="paragraph">
                    <wp:posOffset>-39370</wp:posOffset>
                  </wp:positionV>
                  <wp:extent cx="273050" cy="241300"/>
                  <wp:effectExtent l="0" t="0" r="0" b="0"/>
                  <wp:wrapNone/>
                  <wp:docPr id="1470761930" name="Picture 81"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B050"/>
              <w:left w:val="single" w:sz="4" w:space="0" w:color="00B050"/>
              <w:bottom w:val="single" w:sz="4" w:space="0" w:color="00B050"/>
              <w:right w:val="single" w:sz="4" w:space="0" w:color="00B050"/>
            </w:tcBorders>
            <w:shd w:val="clear" w:color="auto" w:fill="FFC000"/>
            <w:vAlign w:val="center"/>
            <w:hideMark/>
          </w:tcPr>
          <w:p w14:paraId="48E3C764" w14:textId="6C780942" w:rsidR="000F1BFC" w:rsidRPr="0096761F" w:rsidRDefault="00704032" w:rsidP="000F1BFC">
            <w:pPr>
              <w:spacing w:after="0" w:line="240" w:lineRule="auto"/>
              <w:jc w:val="center"/>
              <w:rPr>
                <w:rFonts w:ascii="Arial" w:eastAsia="Times New Roman" w:hAnsi="Arial" w:cs="Arial"/>
                <w:sz w:val="20"/>
                <w:szCs w:val="20"/>
                <w:lang w:eastAsia="en-GB"/>
              </w:rPr>
            </w:pPr>
            <w:r w:rsidRPr="00704032">
              <w:rPr>
                <w:rFonts w:ascii="Arial" w:eastAsia="Times New Roman" w:hAnsi="Arial" w:cs="Arial"/>
                <w:sz w:val="20"/>
                <w:szCs w:val="20"/>
                <w:lang w:eastAsia="en-GB"/>
              </w:rPr>
              <w:t>3rd Quartile Eng Av. 508.8 LA Av. 501 (2022/23)</w:t>
            </w:r>
          </w:p>
        </w:tc>
      </w:tr>
      <w:tr w:rsidR="000F1BFC" w:rsidRPr="0096761F" w14:paraId="2AB325D9" w14:textId="77777777" w:rsidTr="000A08AC">
        <w:trPr>
          <w:trHeight w:val="1140"/>
        </w:trPr>
        <w:tc>
          <w:tcPr>
            <w:tcW w:w="0" w:type="auto"/>
            <w:vMerge/>
            <w:tcBorders>
              <w:top w:val="nil"/>
              <w:left w:val="single" w:sz="4" w:space="0" w:color="5EAA41"/>
              <w:bottom w:val="single" w:sz="4" w:space="0" w:color="5EAA41"/>
              <w:right w:val="single" w:sz="4" w:space="0" w:color="5EAA41"/>
            </w:tcBorders>
            <w:vAlign w:val="center"/>
            <w:hideMark/>
          </w:tcPr>
          <w:p w14:paraId="725D4FCF" w14:textId="77777777" w:rsidR="000F1BFC" w:rsidRPr="0096761F" w:rsidRDefault="000F1BFC" w:rsidP="000F1BFC">
            <w:pPr>
              <w:spacing w:after="0" w:line="240" w:lineRule="auto"/>
              <w:rPr>
                <w:rFonts w:ascii="Arial" w:eastAsia="Times New Roman" w:hAnsi="Arial" w:cs="Arial"/>
                <w:b/>
                <w:bCs/>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00CBB3C3"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ENV-006</w:t>
            </w:r>
          </w:p>
        </w:tc>
        <w:tc>
          <w:tcPr>
            <w:tcW w:w="0" w:type="auto"/>
            <w:tcBorders>
              <w:top w:val="nil"/>
              <w:left w:val="nil"/>
              <w:bottom w:val="single" w:sz="4" w:space="0" w:color="5EAA41"/>
              <w:right w:val="single" w:sz="4" w:space="0" w:color="5EAA41"/>
            </w:tcBorders>
            <w:shd w:val="clear" w:color="auto" w:fill="auto"/>
            <w:vAlign w:val="center"/>
            <w:hideMark/>
          </w:tcPr>
          <w:p w14:paraId="21BBE12F"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Number of engagements within the waste and recycling service</w:t>
            </w:r>
          </w:p>
        </w:tc>
        <w:tc>
          <w:tcPr>
            <w:tcW w:w="0" w:type="auto"/>
            <w:tcBorders>
              <w:top w:val="nil"/>
              <w:left w:val="nil"/>
              <w:bottom w:val="single" w:sz="4" w:space="0" w:color="5EAA41"/>
              <w:right w:val="single" w:sz="4" w:space="0" w:color="5EAA41"/>
            </w:tcBorders>
            <w:shd w:val="clear" w:color="auto" w:fill="auto"/>
            <w:vAlign w:val="center"/>
            <w:hideMark/>
          </w:tcPr>
          <w:p w14:paraId="3FBA9B65"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74E8566E"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auto" w:fill="auto"/>
            <w:noWrap/>
            <w:vAlign w:val="center"/>
            <w:hideMark/>
          </w:tcPr>
          <w:p w14:paraId="1048AF4D"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3,400</w:t>
            </w:r>
          </w:p>
        </w:tc>
        <w:tc>
          <w:tcPr>
            <w:tcW w:w="0" w:type="auto"/>
            <w:tcBorders>
              <w:top w:val="nil"/>
              <w:left w:val="nil"/>
              <w:bottom w:val="single" w:sz="4" w:space="0" w:color="5EAA41"/>
              <w:right w:val="single" w:sz="4" w:space="0" w:color="5EAA41"/>
            </w:tcBorders>
            <w:shd w:val="clear" w:color="auto" w:fill="auto"/>
            <w:noWrap/>
            <w:vAlign w:val="center"/>
            <w:hideMark/>
          </w:tcPr>
          <w:p w14:paraId="4F79E1D5"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2,500</w:t>
            </w:r>
          </w:p>
        </w:tc>
        <w:tc>
          <w:tcPr>
            <w:tcW w:w="1120" w:type="dxa"/>
            <w:tcBorders>
              <w:top w:val="nil"/>
              <w:left w:val="nil"/>
              <w:bottom w:val="single" w:sz="4" w:space="0" w:color="5EAA41"/>
              <w:right w:val="single" w:sz="4" w:space="0" w:color="auto"/>
            </w:tcBorders>
            <w:shd w:val="clear" w:color="auto" w:fill="92D050"/>
            <w:vAlign w:val="center"/>
            <w:hideMark/>
          </w:tcPr>
          <w:p w14:paraId="5FFB14CD" w14:textId="5B475821" w:rsidR="000F1BFC" w:rsidRPr="0096761F" w:rsidRDefault="000F1BFC" w:rsidP="000F1BF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759</w:t>
            </w: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748EF32" w14:textId="7FAB0900" w:rsidR="000F1BFC" w:rsidRPr="0096761F" w:rsidRDefault="000F1BFC" w:rsidP="000F1BFC">
            <w:pPr>
              <w:spacing w:after="0" w:line="240" w:lineRule="auto"/>
              <w:jc w:val="center"/>
              <w:rPr>
                <w:rFonts w:ascii="Arial" w:eastAsia="Times New Roman" w:hAnsi="Arial" w:cs="Arial"/>
                <w:color w:val="D9D9D9"/>
                <w:sz w:val="20"/>
                <w:szCs w:val="20"/>
                <w:lang w:eastAsia="en-GB"/>
              </w:rPr>
            </w:pPr>
            <w:r w:rsidRPr="00F35514">
              <w:rPr>
                <w:rFonts w:ascii="Arial" w:eastAsia="Times New Roman" w:hAnsi="Arial" w:cs="Arial"/>
                <w:color w:val="00B050"/>
                <w:sz w:val="20"/>
                <w:szCs w:val="20"/>
                <w:lang w:eastAsia="en-GB"/>
              </w:rPr>
              <w:t>21.44%</w:t>
            </w:r>
          </w:p>
        </w:tc>
        <w:tc>
          <w:tcPr>
            <w:tcW w:w="0" w:type="auto"/>
            <w:tcBorders>
              <w:top w:val="nil"/>
              <w:left w:val="single" w:sz="4" w:space="0" w:color="auto"/>
              <w:bottom w:val="single" w:sz="4" w:space="0" w:color="auto"/>
              <w:right w:val="single" w:sz="4" w:space="0" w:color="5EAA41"/>
            </w:tcBorders>
            <w:shd w:val="clear" w:color="000000" w:fill="FFFFFF"/>
            <w:noWrap/>
            <w:vAlign w:val="center"/>
            <w:hideMark/>
          </w:tcPr>
          <w:p w14:paraId="640D05C3" w14:textId="7E63DD82" w:rsidR="000F1BFC" w:rsidRPr="0096761F" w:rsidRDefault="000F1BFC" w:rsidP="000F1BFC">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22" behindDoc="0" locked="0" layoutInCell="1" allowOverlap="1" wp14:anchorId="5835BF42" wp14:editId="5DFC7661">
                  <wp:simplePos x="0" y="0"/>
                  <wp:positionH relativeFrom="column">
                    <wp:posOffset>38100</wp:posOffset>
                  </wp:positionH>
                  <wp:positionV relativeFrom="paragraph">
                    <wp:posOffset>29210</wp:posOffset>
                  </wp:positionV>
                  <wp:extent cx="273050" cy="241300"/>
                  <wp:effectExtent l="0" t="0" r="0" b="0"/>
                  <wp:wrapNone/>
                  <wp:docPr id="1851306757" name="Picture 82"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5EAA41"/>
              <w:left w:val="single" w:sz="4" w:space="0" w:color="5EAA41"/>
              <w:bottom w:val="single" w:sz="4" w:space="0" w:color="5EAA41"/>
              <w:right w:val="single" w:sz="4" w:space="0" w:color="5EAA41"/>
            </w:tcBorders>
            <w:shd w:val="clear" w:color="000000" w:fill="FFFFFF"/>
            <w:noWrap/>
            <w:vAlign w:val="center"/>
            <w:hideMark/>
          </w:tcPr>
          <w:p w14:paraId="20F67A00"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0F1BFC" w:rsidRPr="0096761F" w14:paraId="26F90BF3" w14:textId="77777777" w:rsidTr="000A08AC">
        <w:trPr>
          <w:trHeight w:val="1140"/>
        </w:trPr>
        <w:tc>
          <w:tcPr>
            <w:tcW w:w="0" w:type="auto"/>
            <w:vMerge w:val="restart"/>
            <w:tcBorders>
              <w:top w:val="single" w:sz="4" w:space="0" w:color="009900"/>
              <w:left w:val="single" w:sz="4" w:space="0" w:color="009900"/>
              <w:bottom w:val="nil"/>
              <w:right w:val="single" w:sz="4" w:space="0" w:color="009900"/>
            </w:tcBorders>
            <w:shd w:val="clear" w:color="000000" w:fill="D2EAC8"/>
            <w:vAlign w:val="center"/>
            <w:hideMark/>
          </w:tcPr>
          <w:p w14:paraId="35BFB320" w14:textId="77777777" w:rsidR="000F1BFC" w:rsidRPr="0096761F" w:rsidRDefault="000F1BFC" w:rsidP="000F1BFC">
            <w:pPr>
              <w:spacing w:after="0" w:line="240" w:lineRule="auto"/>
              <w:jc w:val="center"/>
              <w:rPr>
                <w:rFonts w:ascii="Arial" w:eastAsia="Times New Roman" w:hAnsi="Arial" w:cs="Arial"/>
                <w:b/>
                <w:bCs/>
                <w:color w:val="000000"/>
                <w:sz w:val="20"/>
                <w:szCs w:val="20"/>
                <w:lang w:eastAsia="en-GB"/>
              </w:rPr>
            </w:pPr>
            <w:r w:rsidRPr="0096761F">
              <w:rPr>
                <w:rFonts w:ascii="Arial" w:eastAsia="Times New Roman" w:hAnsi="Arial" w:cs="Arial"/>
                <w:b/>
                <w:bCs/>
                <w:color w:val="000000"/>
                <w:sz w:val="20"/>
                <w:szCs w:val="20"/>
                <w:lang w:eastAsia="en-GB"/>
              </w:rPr>
              <w:t>Our green and open spaces are enjoyed and looked after by us all</w:t>
            </w:r>
          </w:p>
        </w:tc>
        <w:tc>
          <w:tcPr>
            <w:tcW w:w="0" w:type="auto"/>
            <w:tcBorders>
              <w:top w:val="nil"/>
              <w:left w:val="nil"/>
              <w:bottom w:val="single" w:sz="4" w:space="0" w:color="5EAA41"/>
              <w:right w:val="single" w:sz="4" w:space="0" w:color="5EAA41"/>
            </w:tcBorders>
            <w:shd w:val="clear" w:color="auto" w:fill="auto"/>
            <w:vAlign w:val="center"/>
            <w:hideMark/>
          </w:tcPr>
          <w:p w14:paraId="16479C6F"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ENV-007</w:t>
            </w:r>
          </w:p>
        </w:tc>
        <w:tc>
          <w:tcPr>
            <w:tcW w:w="0" w:type="auto"/>
            <w:tcBorders>
              <w:top w:val="nil"/>
              <w:left w:val="nil"/>
              <w:bottom w:val="single" w:sz="4" w:space="0" w:color="5EAA41"/>
              <w:right w:val="single" w:sz="4" w:space="0" w:color="5EAA41"/>
            </w:tcBorders>
            <w:shd w:val="clear" w:color="auto" w:fill="auto"/>
            <w:vAlign w:val="center"/>
            <w:hideMark/>
          </w:tcPr>
          <w:p w14:paraId="5448FE94"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Average number of days taken to remove fly tipping from the public land</w:t>
            </w:r>
          </w:p>
        </w:tc>
        <w:tc>
          <w:tcPr>
            <w:tcW w:w="0" w:type="auto"/>
            <w:tcBorders>
              <w:top w:val="nil"/>
              <w:left w:val="nil"/>
              <w:bottom w:val="single" w:sz="4" w:space="0" w:color="5EAA41"/>
              <w:right w:val="single" w:sz="4" w:space="0" w:color="5EAA41"/>
            </w:tcBorders>
            <w:shd w:val="clear" w:color="auto" w:fill="auto"/>
            <w:vAlign w:val="center"/>
            <w:hideMark/>
          </w:tcPr>
          <w:p w14:paraId="0F5B4CB5"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3C9A8688"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Lower</w:t>
            </w:r>
          </w:p>
        </w:tc>
        <w:tc>
          <w:tcPr>
            <w:tcW w:w="0" w:type="auto"/>
            <w:tcBorders>
              <w:top w:val="nil"/>
              <w:left w:val="nil"/>
              <w:bottom w:val="single" w:sz="4" w:space="0" w:color="5EAA41"/>
              <w:right w:val="single" w:sz="4" w:space="0" w:color="5EAA41"/>
            </w:tcBorders>
            <w:shd w:val="clear" w:color="000000" w:fill="FFFFFF"/>
            <w:vAlign w:val="center"/>
            <w:hideMark/>
          </w:tcPr>
          <w:p w14:paraId="0F27F3E3"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6</w:t>
            </w:r>
          </w:p>
        </w:tc>
        <w:tc>
          <w:tcPr>
            <w:tcW w:w="0" w:type="auto"/>
            <w:tcBorders>
              <w:top w:val="nil"/>
              <w:left w:val="nil"/>
              <w:bottom w:val="single" w:sz="4" w:space="0" w:color="5EAA41"/>
              <w:right w:val="single" w:sz="4" w:space="0" w:color="5EAA41"/>
            </w:tcBorders>
            <w:shd w:val="clear" w:color="auto" w:fill="auto"/>
            <w:noWrap/>
            <w:vAlign w:val="center"/>
            <w:hideMark/>
          </w:tcPr>
          <w:p w14:paraId="0AC41533"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10</w:t>
            </w:r>
          </w:p>
        </w:tc>
        <w:tc>
          <w:tcPr>
            <w:tcW w:w="1120" w:type="dxa"/>
            <w:tcBorders>
              <w:top w:val="nil"/>
              <w:left w:val="nil"/>
              <w:bottom w:val="single" w:sz="4" w:space="0" w:color="5EAA41"/>
              <w:right w:val="single" w:sz="4" w:space="0" w:color="auto"/>
            </w:tcBorders>
            <w:shd w:val="clear" w:color="auto" w:fill="92D050"/>
            <w:vAlign w:val="center"/>
            <w:hideMark/>
          </w:tcPr>
          <w:p w14:paraId="576F7E9F" w14:textId="2CBF3F73" w:rsidR="000F1BFC" w:rsidRPr="0096761F" w:rsidRDefault="000F1BFC" w:rsidP="000F1BF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8.44</w:t>
            </w: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524450B" w14:textId="69EA5F1A" w:rsidR="000F1BFC" w:rsidRPr="0096761F" w:rsidRDefault="000F1BFC" w:rsidP="000F1BFC">
            <w:pPr>
              <w:spacing w:after="0" w:line="240" w:lineRule="auto"/>
              <w:rPr>
                <w:rFonts w:ascii="Arial" w:eastAsia="Times New Roman" w:hAnsi="Arial" w:cs="Arial"/>
                <w:color w:val="D9D9D9"/>
                <w:sz w:val="20"/>
                <w:szCs w:val="20"/>
                <w:lang w:eastAsia="en-GB"/>
              </w:rPr>
            </w:pPr>
            <w:r>
              <w:rPr>
                <w:rFonts w:ascii="Arial" w:eastAsia="Times New Roman" w:hAnsi="Arial" w:cs="Arial"/>
                <w:color w:val="D9D9D9"/>
                <w:sz w:val="20"/>
                <w:szCs w:val="20"/>
                <w:lang w:eastAsia="en-GB"/>
              </w:rPr>
              <w:t xml:space="preserve">  </w:t>
            </w:r>
            <w:r w:rsidRPr="00F35514">
              <w:rPr>
                <w:rFonts w:ascii="Arial" w:eastAsia="Times New Roman" w:hAnsi="Arial" w:cs="Arial"/>
                <w:color w:val="00B050"/>
                <w:sz w:val="20"/>
                <w:szCs w:val="20"/>
                <w:lang w:eastAsia="en-GB"/>
              </w:rPr>
              <w:t xml:space="preserve">  15.6%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99555" w14:textId="77783EFC" w:rsidR="000F1BFC" w:rsidRPr="0096761F" w:rsidRDefault="000F1BFC" w:rsidP="000F1BFC">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23" behindDoc="0" locked="0" layoutInCell="1" allowOverlap="1" wp14:anchorId="5B153AD6" wp14:editId="2CE192D9">
                  <wp:simplePos x="0" y="0"/>
                  <wp:positionH relativeFrom="column">
                    <wp:posOffset>50800</wp:posOffset>
                  </wp:positionH>
                  <wp:positionV relativeFrom="paragraph">
                    <wp:posOffset>80645</wp:posOffset>
                  </wp:positionV>
                  <wp:extent cx="273050" cy="241300"/>
                  <wp:effectExtent l="0" t="0" r="0" b="0"/>
                  <wp:wrapNone/>
                  <wp:docPr id="1514792985" name="Picture 83"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5E601456"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0F1BFC" w:rsidRPr="0096761F" w14:paraId="68736583" w14:textId="77777777" w:rsidTr="000A08AC">
        <w:trPr>
          <w:trHeight w:val="1140"/>
        </w:trPr>
        <w:tc>
          <w:tcPr>
            <w:tcW w:w="0" w:type="auto"/>
            <w:vMerge/>
            <w:tcBorders>
              <w:top w:val="single" w:sz="4" w:space="0" w:color="009900"/>
              <w:left w:val="single" w:sz="4" w:space="0" w:color="009900"/>
              <w:bottom w:val="nil"/>
              <w:right w:val="single" w:sz="4" w:space="0" w:color="009900"/>
            </w:tcBorders>
            <w:vAlign w:val="center"/>
            <w:hideMark/>
          </w:tcPr>
          <w:p w14:paraId="3B4C218D" w14:textId="77777777" w:rsidR="000F1BFC" w:rsidRPr="0096761F" w:rsidRDefault="000F1BFC" w:rsidP="000F1BFC">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72AFE181"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ENV-008</w:t>
            </w:r>
          </w:p>
        </w:tc>
        <w:tc>
          <w:tcPr>
            <w:tcW w:w="0" w:type="auto"/>
            <w:tcBorders>
              <w:top w:val="nil"/>
              <w:left w:val="nil"/>
              <w:bottom w:val="single" w:sz="4" w:space="0" w:color="5EAA41"/>
              <w:right w:val="single" w:sz="4" w:space="0" w:color="5EAA41"/>
            </w:tcBorders>
            <w:shd w:val="clear" w:color="auto" w:fill="auto"/>
            <w:vAlign w:val="center"/>
            <w:hideMark/>
          </w:tcPr>
          <w:p w14:paraId="606B1669"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Percentage of relevant land and highways that is assessed as having deposits of litter at an acceptable level</w:t>
            </w:r>
          </w:p>
        </w:tc>
        <w:tc>
          <w:tcPr>
            <w:tcW w:w="0" w:type="auto"/>
            <w:tcBorders>
              <w:top w:val="nil"/>
              <w:left w:val="nil"/>
              <w:bottom w:val="single" w:sz="4" w:space="0" w:color="5EAA41"/>
              <w:right w:val="single" w:sz="4" w:space="0" w:color="5EAA41"/>
            </w:tcBorders>
            <w:shd w:val="clear" w:color="auto" w:fill="auto"/>
            <w:vAlign w:val="center"/>
            <w:hideMark/>
          </w:tcPr>
          <w:p w14:paraId="0747A06D"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61E226C0"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000000" w:fill="92D050"/>
            <w:vAlign w:val="center"/>
            <w:hideMark/>
          </w:tcPr>
          <w:p w14:paraId="3BF57395"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96.99%</w:t>
            </w:r>
          </w:p>
        </w:tc>
        <w:tc>
          <w:tcPr>
            <w:tcW w:w="0" w:type="auto"/>
            <w:tcBorders>
              <w:top w:val="nil"/>
              <w:left w:val="nil"/>
              <w:bottom w:val="single" w:sz="4" w:space="0" w:color="5EAA41"/>
              <w:right w:val="single" w:sz="4" w:space="0" w:color="5EAA41"/>
            </w:tcBorders>
            <w:shd w:val="clear" w:color="auto" w:fill="auto"/>
            <w:noWrap/>
            <w:vAlign w:val="center"/>
            <w:hideMark/>
          </w:tcPr>
          <w:p w14:paraId="5260012E"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95%</w:t>
            </w:r>
          </w:p>
        </w:tc>
        <w:tc>
          <w:tcPr>
            <w:tcW w:w="1120" w:type="dxa"/>
            <w:tcBorders>
              <w:top w:val="single" w:sz="4" w:space="0" w:color="5EAA41"/>
              <w:left w:val="single" w:sz="4" w:space="0" w:color="5EAA41"/>
              <w:bottom w:val="single" w:sz="4" w:space="0" w:color="5EAA41"/>
              <w:right w:val="single" w:sz="4" w:space="0" w:color="auto"/>
            </w:tcBorders>
            <w:shd w:val="clear" w:color="auto" w:fill="92D050"/>
            <w:vAlign w:val="center"/>
            <w:hideMark/>
          </w:tcPr>
          <w:p w14:paraId="2EE467C6" w14:textId="25ABAE7A" w:rsidR="000F1BFC" w:rsidRPr="0096761F" w:rsidRDefault="000F1BFC" w:rsidP="000F1BF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97.3</w:t>
            </w:r>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FA43651" w14:textId="0D577124" w:rsidR="000F1BFC" w:rsidRPr="0096761F" w:rsidRDefault="000F1BFC" w:rsidP="000F1BFC">
            <w:pPr>
              <w:spacing w:after="0" w:line="240" w:lineRule="auto"/>
              <w:jc w:val="center"/>
              <w:rPr>
                <w:rFonts w:ascii="Arial" w:eastAsia="Times New Roman" w:hAnsi="Arial" w:cs="Arial"/>
                <w:color w:val="D9D9D9"/>
                <w:sz w:val="20"/>
                <w:szCs w:val="20"/>
                <w:lang w:eastAsia="en-GB"/>
              </w:rPr>
            </w:pPr>
            <w:r w:rsidRPr="008E3634">
              <w:rPr>
                <w:rFonts w:ascii="Arial" w:eastAsia="Times New Roman" w:hAnsi="Arial" w:cs="Arial"/>
                <w:color w:val="00B050"/>
                <w:sz w:val="20"/>
                <w:szCs w:val="20"/>
                <w:lang w:eastAsia="en-GB"/>
              </w:rPr>
              <w:t>2.42%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C4785A" w14:textId="4B36ED16"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noProof/>
                <w:color w:val="000000"/>
                <w:sz w:val="20"/>
                <w:szCs w:val="20"/>
                <w:lang w:eastAsia="en-GB"/>
              </w:rPr>
              <w:drawing>
                <wp:anchor distT="0" distB="0" distL="114300" distR="114300" simplePos="0" relativeHeight="251658324" behindDoc="0" locked="0" layoutInCell="1" allowOverlap="1" wp14:anchorId="7F04C928" wp14:editId="72C1BE37">
                  <wp:simplePos x="0" y="0"/>
                  <wp:positionH relativeFrom="column">
                    <wp:posOffset>63500</wp:posOffset>
                  </wp:positionH>
                  <wp:positionV relativeFrom="paragraph">
                    <wp:posOffset>-330200</wp:posOffset>
                  </wp:positionV>
                  <wp:extent cx="292100" cy="241300"/>
                  <wp:effectExtent l="0" t="0" r="0" b="6350"/>
                  <wp:wrapNone/>
                  <wp:docPr id="2124751898" name="Picture 84" descr="P1915C94T39#y1">
                    <a:extLst xmlns:a="http://schemas.openxmlformats.org/drawingml/2006/main">
                      <a:ext uri="{FF2B5EF4-FFF2-40B4-BE49-F238E27FC236}">
                        <a16:creationId xmlns:a16="http://schemas.microsoft.com/office/drawing/2014/main" id="{9CB5A2B7-BEBE-4A8E-91BD-E40A484CE940}"/>
                      </a:ext>
                    </a:extLst>
                  </wp:docPr>
                  <wp:cNvGraphicFramePr/>
                  <a:graphic xmlns:a="http://schemas.openxmlformats.org/drawingml/2006/main">
                    <a:graphicData uri="http://schemas.openxmlformats.org/drawingml/2006/picture">
                      <pic:pic xmlns:pic="http://schemas.openxmlformats.org/drawingml/2006/picture">
                        <pic:nvPicPr>
                          <pic:cNvPr id="970503934" name="Picture 62" descr="P1915C94T39#y1">
                            <a:extLst>
                              <a:ext uri="{FF2B5EF4-FFF2-40B4-BE49-F238E27FC236}">
                                <a16:creationId xmlns:a16="http://schemas.microsoft.com/office/drawing/2014/main" id="{9CB5A2B7-BEBE-4A8E-91BD-E40A484CE94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r w:rsidRPr="0096761F">
              <w:rPr>
                <w:rFonts w:ascii="Arial" w:eastAsia="Times New Roman" w:hAnsi="Arial" w:cs="Arial"/>
                <w:color w:val="000000"/>
                <w:sz w:val="20"/>
                <w:szCs w:val="20"/>
                <w:lang w:eastAsia="en-GB"/>
              </w:rPr>
              <w:t> </w:t>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3762E837"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0F1BFC" w:rsidRPr="0096761F" w14:paraId="2F803333" w14:textId="77777777" w:rsidTr="000A08AC">
        <w:trPr>
          <w:trHeight w:val="1140"/>
        </w:trPr>
        <w:tc>
          <w:tcPr>
            <w:tcW w:w="0" w:type="auto"/>
            <w:vMerge w:val="restart"/>
            <w:tcBorders>
              <w:top w:val="single" w:sz="4" w:space="0" w:color="009900"/>
              <w:left w:val="single" w:sz="4" w:space="0" w:color="009900"/>
              <w:bottom w:val="nil"/>
              <w:right w:val="single" w:sz="4" w:space="0" w:color="009900"/>
            </w:tcBorders>
            <w:shd w:val="clear" w:color="000000" w:fill="D2EAC8"/>
            <w:vAlign w:val="center"/>
            <w:hideMark/>
          </w:tcPr>
          <w:p w14:paraId="2E0A4322" w14:textId="77777777" w:rsidR="000F1BFC" w:rsidRPr="0096761F" w:rsidRDefault="000F1BFC" w:rsidP="000F1BFC">
            <w:pPr>
              <w:spacing w:after="0" w:line="240" w:lineRule="auto"/>
              <w:jc w:val="center"/>
              <w:rPr>
                <w:rFonts w:ascii="Arial" w:eastAsia="Times New Roman" w:hAnsi="Arial" w:cs="Arial"/>
                <w:b/>
                <w:bCs/>
                <w:color w:val="000000"/>
                <w:sz w:val="20"/>
                <w:szCs w:val="20"/>
                <w:lang w:eastAsia="en-GB"/>
              </w:rPr>
            </w:pPr>
            <w:r w:rsidRPr="0096761F">
              <w:rPr>
                <w:rFonts w:ascii="Arial" w:eastAsia="Times New Roman" w:hAnsi="Arial" w:cs="Arial"/>
                <w:b/>
                <w:bCs/>
                <w:color w:val="000000"/>
                <w:sz w:val="20"/>
                <w:szCs w:val="20"/>
                <w:lang w:eastAsia="en-GB"/>
              </w:rPr>
              <w:t xml:space="preserve">Our spirit and identity are celebrated through our heritage, arts, and culture </w:t>
            </w:r>
          </w:p>
        </w:tc>
        <w:tc>
          <w:tcPr>
            <w:tcW w:w="0" w:type="auto"/>
            <w:tcBorders>
              <w:top w:val="nil"/>
              <w:left w:val="nil"/>
              <w:bottom w:val="single" w:sz="4" w:space="0" w:color="5EAA41"/>
              <w:right w:val="single" w:sz="4" w:space="0" w:color="5EAA41"/>
            </w:tcBorders>
            <w:shd w:val="clear" w:color="auto" w:fill="auto"/>
            <w:vAlign w:val="center"/>
            <w:hideMark/>
          </w:tcPr>
          <w:p w14:paraId="5ABE4272"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CC-001</w:t>
            </w:r>
          </w:p>
        </w:tc>
        <w:tc>
          <w:tcPr>
            <w:tcW w:w="0" w:type="auto"/>
            <w:tcBorders>
              <w:top w:val="nil"/>
              <w:left w:val="nil"/>
              <w:bottom w:val="single" w:sz="4" w:space="0" w:color="5EAA41"/>
              <w:right w:val="single" w:sz="4" w:space="0" w:color="5EAA41"/>
            </w:tcBorders>
            <w:shd w:val="clear" w:color="auto" w:fill="auto"/>
            <w:vAlign w:val="center"/>
            <w:hideMark/>
          </w:tcPr>
          <w:p w14:paraId="5007FA1C"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Total number of physical and virtual visits to Library Services</w:t>
            </w:r>
          </w:p>
        </w:tc>
        <w:tc>
          <w:tcPr>
            <w:tcW w:w="0" w:type="auto"/>
            <w:tcBorders>
              <w:top w:val="nil"/>
              <w:left w:val="nil"/>
              <w:bottom w:val="single" w:sz="4" w:space="0" w:color="5EAA41"/>
              <w:right w:val="single" w:sz="4" w:space="0" w:color="5EAA41"/>
            </w:tcBorders>
            <w:shd w:val="clear" w:color="auto" w:fill="auto"/>
            <w:vAlign w:val="center"/>
            <w:hideMark/>
          </w:tcPr>
          <w:p w14:paraId="5D12F72F"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3BA1BF4F"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000000" w:fill="92D050"/>
            <w:noWrap/>
            <w:vAlign w:val="center"/>
            <w:hideMark/>
          </w:tcPr>
          <w:p w14:paraId="47350F7E"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408,819</w:t>
            </w:r>
          </w:p>
        </w:tc>
        <w:tc>
          <w:tcPr>
            <w:tcW w:w="0" w:type="auto"/>
            <w:tcBorders>
              <w:top w:val="nil"/>
              <w:left w:val="nil"/>
              <w:bottom w:val="single" w:sz="4" w:space="0" w:color="5EAA41"/>
              <w:right w:val="single" w:sz="4" w:space="0" w:color="5EAA41"/>
            </w:tcBorders>
            <w:shd w:val="clear" w:color="auto" w:fill="auto"/>
            <w:noWrap/>
            <w:vAlign w:val="center"/>
            <w:hideMark/>
          </w:tcPr>
          <w:p w14:paraId="59A02DC9"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300,000</w:t>
            </w:r>
          </w:p>
        </w:tc>
        <w:tc>
          <w:tcPr>
            <w:tcW w:w="1120" w:type="dxa"/>
            <w:tcBorders>
              <w:top w:val="single" w:sz="4" w:space="0" w:color="5EAA41"/>
              <w:left w:val="single" w:sz="4" w:space="0" w:color="5EAA41"/>
              <w:bottom w:val="single" w:sz="4" w:space="0" w:color="5EAA41"/>
              <w:right w:val="single" w:sz="4" w:space="0" w:color="auto"/>
            </w:tcBorders>
            <w:shd w:val="clear" w:color="000000" w:fill="92D050"/>
            <w:vAlign w:val="center"/>
            <w:hideMark/>
          </w:tcPr>
          <w:p w14:paraId="121F8259"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94428</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8068E" w14:textId="77777777" w:rsidR="000F1BFC" w:rsidRPr="0096761F" w:rsidRDefault="000F1BFC" w:rsidP="000F1BFC">
            <w:pPr>
              <w:spacing w:after="0" w:line="240" w:lineRule="auto"/>
              <w:jc w:val="center"/>
              <w:rPr>
                <w:rFonts w:ascii="Arial" w:eastAsia="Times New Roman" w:hAnsi="Arial" w:cs="Arial"/>
                <w:color w:val="00B050"/>
                <w:sz w:val="20"/>
                <w:szCs w:val="20"/>
                <w:lang w:eastAsia="en-GB"/>
              </w:rPr>
            </w:pPr>
            <w:r w:rsidRPr="0096761F">
              <w:rPr>
                <w:rFonts w:ascii="Arial" w:eastAsia="Times New Roman" w:hAnsi="Arial" w:cs="Arial"/>
                <w:color w:val="00B050"/>
                <w:sz w:val="20"/>
                <w:szCs w:val="20"/>
                <w:lang w:eastAsia="en-GB"/>
              </w:rPr>
              <w:t>25.9%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C05C2A" w14:textId="1123F48F"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noProof/>
                <w:color w:val="000000"/>
                <w:sz w:val="20"/>
                <w:szCs w:val="20"/>
                <w:lang w:eastAsia="en-GB"/>
              </w:rPr>
              <w:drawing>
                <wp:anchor distT="0" distB="0" distL="114300" distR="114300" simplePos="0" relativeHeight="251658320" behindDoc="0" locked="0" layoutInCell="1" allowOverlap="1" wp14:anchorId="1D336DBA" wp14:editId="3742AEDC">
                  <wp:simplePos x="0" y="0"/>
                  <wp:positionH relativeFrom="column">
                    <wp:posOffset>44450</wp:posOffset>
                  </wp:positionH>
                  <wp:positionV relativeFrom="paragraph">
                    <wp:posOffset>-469265</wp:posOffset>
                  </wp:positionV>
                  <wp:extent cx="292100" cy="241300"/>
                  <wp:effectExtent l="0" t="0" r="0" b="6350"/>
                  <wp:wrapNone/>
                  <wp:docPr id="970503934" name="Picture 85" descr="P1915C94T39#y1">
                    <a:extLst xmlns:a="http://schemas.openxmlformats.org/drawingml/2006/main">
                      <a:ext uri="{FF2B5EF4-FFF2-40B4-BE49-F238E27FC236}">
                        <a16:creationId xmlns:a16="http://schemas.microsoft.com/office/drawing/2014/main" id="{9CB5A2B7-BEBE-4A8E-91BD-E40A484CE940}"/>
                      </a:ext>
                    </a:extLst>
                  </wp:docPr>
                  <wp:cNvGraphicFramePr/>
                  <a:graphic xmlns:a="http://schemas.openxmlformats.org/drawingml/2006/main">
                    <a:graphicData uri="http://schemas.openxmlformats.org/drawingml/2006/picture">
                      <pic:pic xmlns:pic="http://schemas.openxmlformats.org/drawingml/2006/picture">
                        <pic:nvPicPr>
                          <pic:cNvPr id="970503934" name="Picture 62" descr="P1915C94T39#y1">
                            <a:extLst>
                              <a:ext uri="{FF2B5EF4-FFF2-40B4-BE49-F238E27FC236}">
                                <a16:creationId xmlns:a16="http://schemas.microsoft.com/office/drawing/2014/main" id="{9CB5A2B7-BEBE-4A8E-91BD-E40A484CE94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698BB3DE" w14:textId="703A8C44"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r w:rsidR="000F1BFC" w:rsidRPr="0096761F" w14:paraId="644431F6" w14:textId="77777777" w:rsidTr="000A08AC">
        <w:trPr>
          <w:trHeight w:val="1080"/>
        </w:trPr>
        <w:tc>
          <w:tcPr>
            <w:tcW w:w="0" w:type="auto"/>
            <w:vMerge/>
            <w:tcBorders>
              <w:top w:val="single" w:sz="4" w:space="0" w:color="009900"/>
              <w:left w:val="single" w:sz="4" w:space="0" w:color="009900"/>
              <w:bottom w:val="nil"/>
              <w:right w:val="single" w:sz="4" w:space="0" w:color="009900"/>
            </w:tcBorders>
            <w:vAlign w:val="center"/>
            <w:hideMark/>
          </w:tcPr>
          <w:p w14:paraId="6439066A" w14:textId="77777777" w:rsidR="000F1BFC" w:rsidRPr="0096761F" w:rsidRDefault="000F1BFC" w:rsidP="000F1BFC">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5EAA41"/>
              <w:right w:val="single" w:sz="4" w:space="0" w:color="5EAA41"/>
            </w:tcBorders>
            <w:shd w:val="clear" w:color="auto" w:fill="auto"/>
            <w:vAlign w:val="center"/>
            <w:hideMark/>
          </w:tcPr>
          <w:p w14:paraId="7AB7F702"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CC-002</w:t>
            </w:r>
          </w:p>
        </w:tc>
        <w:tc>
          <w:tcPr>
            <w:tcW w:w="0" w:type="auto"/>
            <w:tcBorders>
              <w:top w:val="nil"/>
              <w:left w:val="nil"/>
              <w:bottom w:val="single" w:sz="4" w:space="0" w:color="5EAA41"/>
              <w:right w:val="single" w:sz="4" w:space="0" w:color="5EAA41"/>
            </w:tcBorders>
            <w:shd w:val="clear" w:color="auto" w:fill="auto"/>
            <w:vAlign w:val="center"/>
            <w:hideMark/>
          </w:tcPr>
          <w:p w14:paraId="7E8BF425" w14:textId="77777777"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Number of visits to council managed sports and leisure centres</w:t>
            </w:r>
          </w:p>
        </w:tc>
        <w:tc>
          <w:tcPr>
            <w:tcW w:w="0" w:type="auto"/>
            <w:tcBorders>
              <w:top w:val="nil"/>
              <w:left w:val="nil"/>
              <w:bottom w:val="single" w:sz="4" w:space="0" w:color="5EAA41"/>
              <w:right w:val="single" w:sz="4" w:space="0" w:color="5EAA41"/>
            </w:tcBorders>
            <w:shd w:val="clear" w:color="auto" w:fill="auto"/>
            <w:vAlign w:val="center"/>
            <w:hideMark/>
          </w:tcPr>
          <w:p w14:paraId="5A222959"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Quarterly</w:t>
            </w:r>
          </w:p>
        </w:tc>
        <w:tc>
          <w:tcPr>
            <w:tcW w:w="0" w:type="auto"/>
            <w:tcBorders>
              <w:top w:val="nil"/>
              <w:left w:val="nil"/>
              <w:bottom w:val="single" w:sz="4" w:space="0" w:color="5EAA41"/>
              <w:right w:val="single" w:sz="4" w:space="0" w:color="5EAA41"/>
            </w:tcBorders>
            <w:shd w:val="clear" w:color="000000" w:fill="FFFFFF"/>
            <w:noWrap/>
            <w:vAlign w:val="center"/>
            <w:hideMark/>
          </w:tcPr>
          <w:p w14:paraId="6B99298D"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Higher</w:t>
            </w:r>
          </w:p>
        </w:tc>
        <w:tc>
          <w:tcPr>
            <w:tcW w:w="0" w:type="auto"/>
            <w:tcBorders>
              <w:top w:val="nil"/>
              <w:left w:val="nil"/>
              <w:bottom w:val="single" w:sz="4" w:space="0" w:color="5EAA41"/>
              <w:right w:val="single" w:sz="4" w:space="0" w:color="5EAA41"/>
            </w:tcBorders>
            <w:shd w:val="clear" w:color="000000" w:fill="92D050"/>
            <w:noWrap/>
            <w:vAlign w:val="center"/>
            <w:hideMark/>
          </w:tcPr>
          <w:p w14:paraId="6DDBE77A"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1,412,857</w:t>
            </w:r>
          </w:p>
        </w:tc>
        <w:tc>
          <w:tcPr>
            <w:tcW w:w="0" w:type="auto"/>
            <w:tcBorders>
              <w:top w:val="nil"/>
              <w:left w:val="nil"/>
              <w:bottom w:val="single" w:sz="4" w:space="0" w:color="5EAA41"/>
              <w:right w:val="single" w:sz="4" w:space="0" w:color="5EAA41"/>
            </w:tcBorders>
            <w:shd w:val="clear" w:color="auto" w:fill="auto"/>
            <w:noWrap/>
            <w:vAlign w:val="center"/>
            <w:hideMark/>
          </w:tcPr>
          <w:p w14:paraId="284C2AD5" w14:textId="77777777"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1,400,000</w:t>
            </w:r>
          </w:p>
        </w:tc>
        <w:tc>
          <w:tcPr>
            <w:tcW w:w="1120" w:type="dxa"/>
            <w:tcBorders>
              <w:top w:val="single" w:sz="4" w:space="0" w:color="5EAA41"/>
              <w:left w:val="single" w:sz="4" w:space="0" w:color="5EAA41"/>
              <w:bottom w:val="single" w:sz="4" w:space="0" w:color="5EAA41"/>
              <w:right w:val="single" w:sz="4" w:space="0" w:color="auto"/>
            </w:tcBorders>
            <w:shd w:val="clear" w:color="000000" w:fill="FFC000"/>
            <w:vAlign w:val="center"/>
            <w:hideMark/>
          </w:tcPr>
          <w:p w14:paraId="52C7D3A3" w14:textId="77777777" w:rsidR="000F1BFC" w:rsidRPr="0096761F" w:rsidRDefault="000F1BFC" w:rsidP="000F1BFC">
            <w:pPr>
              <w:spacing w:after="0" w:line="240" w:lineRule="auto"/>
              <w:jc w:val="center"/>
              <w:rPr>
                <w:rFonts w:ascii="Arial" w:eastAsia="Times New Roman" w:hAnsi="Arial" w:cs="Arial"/>
                <w:color w:val="000000"/>
                <w:sz w:val="20"/>
                <w:szCs w:val="20"/>
                <w:lang w:eastAsia="en-GB"/>
              </w:rPr>
            </w:pPr>
            <w:r w:rsidRPr="0096761F">
              <w:rPr>
                <w:rFonts w:ascii="Arial" w:eastAsia="Times New Roman" w:hAnsi="Arial" w:cs="Arial"/>
                <w:color w:val="000000"/>
                <w:sz w:val="20"/>
                <w:szCs w:val="20"/>
                <w:lang w:eastAsia="en-GB"/>
              </w:rPr>
              <w:t>346725</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0027E" w14:textId="77777777" w:rsidR="000F1BFC" w:rsidRPr="0096761F" w:rsidRDefault="000F1BFC" w:rsidP="000F1BFC">
            <w:pPr>
              <w:spacing w:after="0" w:line="240" w:lineRule="auto"/>
              <w:jc w:val="center"/>
              <w:rPr>
                <w:rFonts w:ascii="Arial" w:eastAsia="Times New Roman" w:hAnsi="Arial" w:cs="Arial"/>
                <w:color w:val="FF0000"/>
                <w:sz w:val="20"/>
                <w:szCs w:val="20"/>
                <w:lang w:eastAsia="en-GB"/>
              </w:rPr>
            </w:pPr>
            <w:r w:rsidRPr="00DB6318">
              <w:rPr>
                <w:rFonts w:ascii="Arial" w:eastAsia="Times New Roman" w:hAnsi="Arial" w:cs="Arial"/>
                <w:sz w:val="20"/>
                <w:szCs w:val="20"/>
                <w:lang w:eastAsia="en-GB"/>
              </w:rPr>
              <w:t>-2.33%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1C9647" w14:textId="3DF8C799" w:rsidR="000F1BFC" w:rsidRPr="0096761F" w:rsidRDefault="000F1BFC" w:rsidP="000F1BFC">
            <w:pPr>
              <w:spacing w:after="0" w:line="240" w:lineRule="auto"/>
              <w:rPr>
                <w:rFonts w:ascii="Arial" w:eastAsia="Times New Roman" w:hAnsi="Arial" w:cs="Arial"/>
                <w:color w:val="000000"/>
                <w:sz w:val="20"/>
                <w:szCs w:val="20"/>
                <w:lang w:eastAsia="en-GB"/>
              </w:rPr>
            </w:pPr>
            <w:r w:rsidRPr="0096761F">
              <w:rPr>
                <w:rFonts w:ascii="Arial" w:eastAsia="Times New Roman" w:hAnsi="Arial" w:cs="Arial"/>
                <w:noProof/>
                <w:color w:val="000000"/>
                <w:sz w:val="20"/>
                <w:szCs w:val="20"/>
                <w:lang w:eastAsia="en-GB"/>
              </w:rPr>
              <w:drawing>
                <wp:anchor distT="0" distB="0" distL="114300" distR="114300" simplePos="0" relativeHeight="251658321" behindDoc="0" locked="0" layoutInCell="1" allowOverlap="1" wp14:anchorId="5905484B" wp14:editId="535423FA">
                  <wp:simplePos x="0" y="0"/>
                  <wp:positionH relativeFrom="column">
                    <wp:posOffset>76200</wp:posOffset>
                  </wp:positionH>
                  <wp:positionV relativeFrom="paragraph">
                    <wp:posOffset>-452755</wp:posOffset>
                  </wp:positionV>
                  <wp:extent cx="285750" cy="254000"/>
                  <wp:effectExtent l="0" t="0" r="0" b="0"/>
                  <wp:wrapNone/>
                  <wp:docPr id="1996866188" name="Picture 86" descr="P1927C104T39#y1">
                    <a:extLst xmlns:a="http://schemas.openxmlformats.org/drawingml/2006/main">
                      <a:ext uri="{FF2B5EF4-FFF2-40B4-BE49-F238E27FC236}">
                        <a16:creationId xmlns:a16="http://schemas.microsoft.com/office/drawing/2014/main" id="{1358AC2C-5659-437D-91B0-FB3EA0A1CF69}"/>
                      </a:ext>
                      <a:ext uri="{147F2762-F138-4A5C-976F-8EAC2B608ADB}">
                        <a16:predDERef xmlns:a16="http://schemas.microsoft.com/office/drawing/2014/main" pred="{5A9FE61C-356F-4B02-8A0C-5DEE3AA0256D}"/>
                      </a:ext>
                    </a:extLst>
                  </wp:docPr>
                  <wp:cNvGraphicFramePr/>
                  <a:graphic xmlns:a="http://schemas.openxmlformats.org/drawingml/2006/main">
                    <a:graphicData uri="http://schemas.openxmlformats.org/drawingml/2006/picture">
                      <pic:pic xmlns:pic="http://schemas.openxmlformats.org/drawingml/2006/picture">
                        <pic:nvPicPr>
                          <pic:cNvPr id="1996866188" name="Picture 61" descr="P1927C104T39#y1">
                            <a:extLst>
                              <a:ext uri="{FF2B5EF4-FFF2-40B4-BE49-F238E27FC236}">
                                <a16:creationId xmlns:a16="http://schemas.microsoft.com/office/drawing/2014/main" id="{1358AC2C-5659-437D-91B0-FB3EA0A1CF69}"/>
                              </a:ext>
                              <a:ext uri="{147F2762-F138-4A5C-976F-8EAC2B608ADB}">
                                <a16:predDERef xmlns:a16="http://schemas.microsoft.com/office/drawing/2014/main" pred="{5A9FE61C-356F-4B02-8A0C-5DEE3AA025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5D140657" w14:textId="6EAEAB91" w:rsidR="000F1BFC" w:rsidRPr="0096761F" w:rsidRDefault="000F1BFC" w:rsidP="000F1BFC">
            <w:pPr>
              <w:spacing w:after="0" w:line="240" w:lineRule="auto"/>
              <w:jc w:val="center"/>
              <w:rPr>
                <w:rFonts w:ascii="Arial" w:eastAsia="Times New Roman" w:hAnsi="Arial" w:cs="Arial"/>
                <w:sz w:val="20"/>
                <w:szCs w:val="20"/>
                <w:lang w:eastAsia="en-GB"/>
              </w:rPr>
            </w:pPr>
            <w:r w:rsidRPr="0096761F">
              <w:rPr>
                <w:rFonts w:ascii="Arial" w:eastAsia="Times New Roman" w:hAnsi="Arial" w:cs="Arial"/>
                <w:sz w:val="20"/>
                <w:szCs w:val="20"/>
                <w:lang w:eastAsia="en-GB"/>
              </w:rPr>
              <w:t>N/A</w:t>
            </w:r>
          </w:p>
        </w:tc>
      </w:tr>
    </w:tbl>
    <w:p w14:paraId="0DE36BC1" w14:textId="77777777" w:rsidR="00D26963" w:rsidRDefault="00D26963" w:rsidP="79F139C8">
      <w:pPr>
        <w:rPr>
          <w:rStyle w:val="eop"/>
          <w:rFonts w:ascii="Arial" w:hAnsi="Arial" w:cs="Arial"/>
          <w:b/>
          <w:bCs/>
          <w:color w:val="5EAA41"/>
        </w:rPr>
      </w:pPr>
    </w:p>
    <w:p w14:paraId="29CADF14" w14:textId="18564794" w:rsidR="007A3320" w:rsidRPr="00300A57" w:rsidRDefault="00300A57" w:rsidP="00300A57">
      <w:pPr>
        <w:rPr>
          <w:color w:val="FF0000"/>
          <w:sz w:val="32"/>
          <w:szCs w:val="32"/>
        </w:rPr>
      </w:pPr>
      <w:r w:rsidRPr="79F139C8">
        <w:rPr>
          <w:rStyle w:val="normaltextrun"/>
          <w:rFonts w:ascii="Arial" w:eastAsia="Arial" w:hAnsi="Arial" w:cs="Arial"/>
          <w:b/>
          <w:bCs/>
          <w:color w:val="5EAA41"/>
          <w:sz w:val="32"/>
          <w:szCs w:val="32"/>
        </w:rPr>
        <w:t xml:space="preserve">Tier </w:t>
      </w:r>
      <w:r>
        <w:rPr>
          <w:rStyle w:val="normaltextrun"/>
          <w:rFonts w:ascii="Arial" w:eastAsia="Arial" w:hAnsi="Arial" w:cs="Arial"/>
          <w:b/>
          <w:bCs/>
          <w:color w:val="5EAA41"/>
          <w:sz w:val="32"/>
          <w:szCs w:val="32"/>
        </w:rPr>
        <w:t>2</w:t>
      </w:r>
    </w:p>
    <w:tbl>
      <w:tblPr>
        <w:tblW w:w="0" w:type="auto"/>
        <w:tblLook w:val="04A0" w:firstRow="1" w:lastRow="0" w:firstColumn="1" w:lastColumn="0" w:noHBand="0" w:noVBand="1"/>
      </w:tblPr>
      <w:tblGrid>
        <w:gridCol w:w="2363"/>
        <w:gridCol w:w="751"/>
        <w:gridCol w:w="2551"/>
        <w:gridCol w:w="1418"/>
        <w:gridCol w:w="1134"/>
        <w:gridCol w:w="1276"/>
        <w:gridCol w:w="1134"/>
        <w:gridCol w:w="1263"/>
        <w:gridCol w:w="1052"/>
        <w:gridCol w:w="772"/>
        <w:gridCol w:w="1674"/>
      </w:tblGrid>
      <w:tr w:rsidR="0012164A" w:rsidRPr="0012164A" w14:paraId="22206F75" w14:textId="77777777" w:rsidTr="006F2E4F">
        <w:trPr>
          <w:trHeight w:val="298"/>
          <w:tblHeader/>
        </w:trPr>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noWrap/>
            <w:vAlign w:val="center"/>
            <w:hideMark/>
          </w:tcPr>
          <w:p w14:paraId="7B43CEB4"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Outcome</w:t>
            </w:r>
          </w:p>
        </w:tc>
        <w:tc>
          <w:tcPr>
            <w:tcW w:w="751" w:type="dxa"/>
            <w:vMerge w:val="restart"/>
            <w:tcBorders>
              <w:top w:val="single" w:sz="4" w:space="0" w:color="5EAA41"/>
              <w:left w:val="single" w:sz="4" w:space="0" w:color="5EAA41"/>
              <w:bottom w:val="single" w:sz="4" w:space="0" w:color="5EAA41"/>
              <w:right w:val="single" w:sz="4" w:space="0" w:color="5EAA41"/>
            </w:tcBorders>
            <w:shd w:val="clear" w:color="000000" w:fill="5EAA41"/>
            <w:noWrap/>
            <w:vAlign w:val="center"/>
            <w:hideMark/>
          </w:tcPr>
          <w:p w14:paraId="735DBEE2"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Ref</w:t>
            </w:r>
          </w:p>
        </w:tc>
        <w:tc>
          <w:tcPr>
            <w:tcW w:w="2551"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6E70C8BA"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Performance Indicator</w:t>
            </w:r>
          </w:p>
        </w:tc>
        <w:tc>
          <w:tcPr>
            <w:tcW w:w="1418"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77D185AC"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Reporting Frequency</w:t>
            </w:r>
          </w:p>
        </w:tc>
        <w:tc>
          <w:tcPr>
            <w:tcW w:w="1134"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3C020C4C"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Higher / Lower is better?</w:t>
            </w:r>
          </w:p>
        </w:tc>
        <w:tc>
          <w:tcPr>
            <w:tcW w:w="1276"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359EA058" w14:textId="7BE8B73F"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3</w:t>
            </w:r>
            <w:r w:rsidRPr="0012164A">
              <w:rPr>
                <w:rFonts w:ascii="Arial" w:eastAsia="Times New Roman" w:hAnsi="Arial" w:cs="Arial"/>
                <w:b/>
                <w:bCs/>
                <w:color w:val="FFFFFF"/>
                <w:sz w:val="20"/>
                <w:szCs w:val="20"/>
                <w:lang w:eastAsia="en-GB"/>
              </w:rPr>
              <w:t>/2</w:t>
            </w:r>
            <w:r w:rsidR="00D6114E">
              <w:rPr>
                <w:rFonts w:ascii="Arial" w:eastAsia="Times New Roman" w:hAnsi="Arial" w:cs="Arial"/>
                <w:b/>
                <w:bCs/>
                <w:color w:val="FFFFFF"/>
                <w:sz w:val="20"/>
                <w:szCs w:val="20"/>
                <w:lang w:eastAsia="en-GB"/>
              </w:rPr>
              <w:t>4</w:t>
            </w:r>
            <w:r w:rsidRPr="0012164A">
              <w:rPr>
                <w:rFonts w:ascii="Arial" w:eastAsia="Times New Roman" w:hAnsi="Arial" w:cs="Arial"/>
                <w:b/>
                <w:bCs/>
                <w:color w:val="FFFFFF"/>
                <w:sz w:val="20"/>
                <w:szCs w:val="20"/>
                <w:lang w:eastAsia="en-GB"/>
              </w:rPr>
              <w:t xml:space="preserve"> Outturn</w:t>
            </w:r>
          </w:p>
        </w:tc>
        <w:tc>
          <w:tcPr>
            <w:tcW w:w="1134"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217A168E" w14:textId="5A71DA23"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4</w:t>
            </w:r>
            <w:r w:rsidRPr="0012164A">
              <w:rPr>
                <w:rFonts w:ascii="Arial" w:eastAsia="Times New Roman" w:hAnsi="Arial" w:cs="Arial"/>
                <w:b/>
                <w:bCs/>
                <w:color w:val="FFFFFF"/>
                <w:sz w:val="20"/>
                <w:szCs w:val="20"/>
                <w:lang w:eastAsia="en-GB"/>
              </w:rPr>
              <w:t>/2</w:t>
            </w:r>
            <w:r w:rsidR="000453B6">
              <w:rPr>
                <w:rFonts w:ascii="Arial" w:eastAsia="Times New Roman" w:hAnsi="Arial" w:cs="Arial"/>
                <w:b/>
                <w:bCs/>
                <w:color w:val="FFFFFF"/>
                <w:sz w:val="20"/>
                <w:szCs w:val="20"/>
                <w:lang w:eastAsia="en-GB"/>
              </w:rPr>
              <w:t>5</w:t>
            </w:r>
            <w:r w:rsidRPr="0012164A">
              <w:rPr>
                <w:rFonts w:ascii="Arial" w:eastAsia="Times New Roman" w:hAnsi="Arial" w:cs="Arial"/>
                <w:b/>
                <w:bCs/>
                <w:color w:val="FFFFFF"/>
                <w:sz w:val="20"/>
                <w:szCs w:val="20"/>
                <w:lang w:eastAsia="en-GB"/>
              </w:rPr>
              <w:t xml:space="preserve"> Target</w:t>
            </w:r>
          </w:p>
        </w:tc>
        <w:tc>
          <w:tcPr>
            <w:tcW w:w="1263" w:type="dxa"/>
            <w:tcBorders>
              <w:top w:val="single" w:sz="4" w:space="0" w:color="5EAA41"/>
              <w:left w:val="nil"/>
              <w:bottom w:val="single" w:sz="4" w:space="0" w:color="5EAA41"/>
              <w:right w:val="single" w:sz="4" w:space="0" w:color="5EAA41"/>
            </w:tcBorders>
            <w:shd w:val="clear" w:color="000000" w:fill="5EAA41"/>
            <w:vAlign w:val="center"/>
            <w:hideMark/>
          </w:tcPr>
          <w:p w14:paraId="575DE580"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Q1</w:t>
            </w:r>
          </w:p>
        </w:tc>
        <w:tc>
          <w:tcPr>
            <w:tcW w:w="1052" w:type="dxa"/>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7DCA83DC"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5EAA41"/>
              <w:left w:val="nil"/>
              <w:bottom w:val="single" w:sz="4" w:space="0" w:color="5EAA41"/>
              <w:right w:val="single" w:sz="4" w:space="0" w:color="5EAA41"/>
            </w:tcBorders>
            <w:shd w:val="clear" w:color="000000" w:fill="5EAA41"/>
            <w:vAlign w:val="center"/>
            <w:hideMark/>
          </w:tcPr>
          <w:p w14:paraId="5D3182AF"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Trend</w:t>
            </w:r>
          </w:p>
        </w:tc>
        <w:tc>
          <w:tcPr>
            <w:tcW w:w="0" w:type="auto"/>
            <w:vMerge w:val="restart"/>
            <w:tcBorders>
              <w:top w:val="single" w:sz="4" w:space="0" w:color="5EAA41"/>
              <w:left w:val="single" w:sz="4" w:space="0" w:color="5EAA41"/>
              <w:bottom w:val="single" w:sz="4" w:space="0" w:color="5EAA41"/>
              <w:right w:val="single" w:sz="4" w:space="0" w:color="5EAA41"/>
            </w:tcBorders>
            <w:shd w:val="clear" w:color="000000" w:fill="5EAA41"/>
            <w:vAlign w:val="center"/>
            <w:hideMark/>
          </w:tcPr>
          <w:p w14:paraId="7FA2C304"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Comparative Performance</w:t>
            </w:r>
          </w:p>
        </w:tc>
      </w:tr>
      <w:tr w:rsidR="0012164A" w:rsidRPr="0012164A" w14:paraId="66267D91" w14:textId="77777777" w:rsidTr="006F2E4F">
        <w:trPr>
          <w:trHeight w:val="900"/>
        </w:trPr>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5160B0D9"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751" w:type="dxa"/>
            <w:vMerge/>
            <w:tcBorders>
              <w:top w:val="single" w:sz="4" w:space="0" w:color="5EAA41"/>
              <w:left w:val="single" w:sz="4" w:space="0" w:color="5EAA41"/>
              <w:bottom w:val="single" w:sz="4" w:space="0" w:color="5EAA41"/>
              <w:right w:val="single" w:sz="4" w:space="0" w:color="5EAA41"/>
            </w:tcBorders>
            <w:vAlign w:val="center"/>
            <w:hideMark/>
          </w:tcPr>
          <w:p w14:paraId="056D4A67"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2551" w:type="dxa"/>
            <w:vMerge/>
            <w:tcBorders>
              <w:top w:val="single" w:sz="4" w:space="0" w:color="5EAA41"/>
              <w:left w:val="single" w:sz="4" w:space="0" w:color="5EAA41"/>
              <w:bottom w:val="single" w:sz="4" w:space="0" w:color="5EAA41"/>
              <w:right w:val="single" w:sz="4" w:space="0" w:color="5EAA41"/>
            </w:tcBorders>
            <w:vAlign w:val="center"/>
            <w:hideMark/>
          </w:tcPr>
          <w:p w14:paraId="4CCC1587"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1418" w:type="dxa"/>
            <w:vMerge/>
            <w:tcBorders>
              <w:top w:val="single" w:sz="4" w:space="0" w:color="5EAA41"/>
              <w:left w:val="single" w:sz="4" w:space="0" w:color="5EAA41"/>
              <w:bottom w:val="single" w:sz="4" w:space="0" w:color="5EAA41"/>
              <w:right w:val="single" w:sz="4" w:space="0" w:color="5EAA41"/>
            </w:tcBorders>
            <w:vAlign w:val="center"/>
            <w:hideMark/>
          </w:tcPr>
          <w:p w14:paraId="4C62BA27"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1134" w:type="dxa"/>
            <w:vMerge/>
            <w:tcBorders>
              <w:top w:val="single" w:sz="4" w:space="0" w:color="5EAA41"/>
              <w:left w:val="single" w:sz="4" w:space="0" w:color="5EAA41"/>
              <w:bottom w:val="single" w:sz="4" w:space="0" w:color="5EAA41"/>
              <w:right w:val="single" w:sz="4" w:space="0" w:color="5EAA41"/>
            </w:tcBorders>
            <w:vAlign w:val="center"/>
            <w:hideMark/>
          </w:tcPr>
          <w:p w14:paraId="028C4968"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1276" w:type="dxa"/>
            <w:vMerge/>
            <w:tcBorders>
              <w:top w:val="single" w:sz="4" w:space="0" w:color="5EAA41"/>
              <w:left w:val="single" w:sz="4" w:space="0" w:color="5EAA41"/>
              <w:bottom w:val="single" w:sz="4" w:space="0" w:color="5EAA41"/>
              <w:right w:val="single" w:sz="4" w:space="0" w:color="5EAA41"/>
            </w:tcBorders>
            <w:vAlign w:val="center"/>
            <w:hideMark/>
          </w:tcPr>
          <w:p w14:paraId="5AE8C916"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1134" w:type="dxa"/>
            <w:vMerge/>
            <w:tcBorders>
              <w:top w:val="single" w:sz="4" w:space="0" w:color="5EAA41"/>
              <w:left w:val="single" w:sz="4" w:space="0" w:color="5EAA41"/>
              <w:bottom w:val="single" w:sz="4" w:space="0" w:color="5EAA41"/>
              <w:right w:val="single" w:sz="4" w:space="0" w:color="5EAA41"/>
            </w:tcBorders>
            <w:vAlign w:val="center"/>
            <w:hideMark/>
          </w:tcPr>
          <w:p w14:paraId="2F773493"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1263" w:type="dxa"/>
            <w:tcBorders>
              <w:top w:val="nil"/>
              <w:left w:val="nil"/>
              <w:bottom w:val="single" w:sz="4" w:space="0" w:color="5EAA41"/>
              <w:right w:val="single" w:sz="4" w:space="0" w:color="5EAA41"/>
            </w:tcBorders>
            <w:shd w:val="clear" w:color="000000" w:fill="5EAA41"/>
            <w:vAlign w:val="center"/>
            <w:hideMark/>
          </w:tcPr>
          <w:p w14:paraId="3623AD32" w14:textId="77777777" w:rsidR="0012164A" w:rsidRPr="0012164A" w:rsidRDefault="0012164A" w:rsidP="0012164A">
            <w:pPr>
              <w:spacing w:after="0" w:line="240" w:lineRule="auto"/>
              <w:jc w:val="center"/>
              <w:rPr>
                <w:rFonts w:ascii="Arial" w:eastAsia="Times New Roman" w:hAnsi="Arial" w:cs="Arial"/>
                <w:b/>
                <w:bCs/>
                <w:color w:val="FFFFFF"/>
                <w:sz w:val="20"/>
                <w:szCs w:val="20"/>
                <w:lang w:eastAsia="en-GB"/>
              </w:rPr>
            </w:pPr>
            <w:r w:rsidRPr="0012164A">
              <w:rPr>
                <w:rFonts w:ascii="Arial" w:eastAsia="Times New Roman" w:hAnsi="Arial" w:cs="Arial"/>
                <w:b/>
                <w:bCs/>
                <w:color w:val="FFFFFF"/>
                <w:sz w:val="20"/>
                <w:szCs w:val="20"/>
                <w:lang w:eastAsia="en-GB"/>
              </w:rPr>
              <w:t>June</w:t>
            </w:r>
          </w:p>
        </w:tc>
        <w:tc>
          <w:tcPr>
            <w:tcW w:w="1052" w:type="dxa"/>
            <w:vMerge/>
            <w:tcBorders>
              <w:top w:val="single" w:sz="4" w:space="0" w:color="5EAA41"/>
              <w:left w:val="single" w:sz="4" w:space="0" w:color="5EAA41"/>
              <w:bottom w:val="single" w:sz="4" w:space="0" w:color="auto"/>
              <w:right w:val="single" w:sz="4" w:space="0" w:color="5EAA41"/>
            </w:tcBorders>
            <w:vAlign w:val="center"/>
            <w:hideMark/>
          </w:tcPr>
          <w:p w14:paraId="622B85CF"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nil"/>
              <w:bottom w:val="single" w:sz="4" w:space="0" w:color="auto"/>
              <w:right w:val="single" w:sz="4" w:space="0" w:color="5EAA41"/>
            </w:tcBorders>
            <w:vAlign w:val="center"/>
            <w:hideMark/>
          </w:tcPr>
          <w:p w14:paraId="3AB94851"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c>
          <w:tcPr>
            <w:tcW w:w="0" w:type="auto"/>
            <w:vMerge/>
            <w:tcBorders>
              <w:top w:val="single" w:sz="4" w:space="0" w:color="5EAA41"/>
              <w:left w:val="single" w:sz="4" w:space="0" w:color="5EAA41"/>
              <w:bottom w:val="single" w:sz="4" w:space="0" w:color="5EAA41"/>
              <w:right w:val="single" w:sz="4" w:space="0" w:color="5EAA41"/>
            </w:tcBorders>
            <w:vAlign w:val="center"/>
            <w:hideMark/>
          </w:tcPr>
          <w:p w14:paraId="4446AB4D" w14:textId="77777777" w:rsidR="0012164A" w:rsidRPr="0012164A" w:rsidRDefault="0012164A" w:rsidP="0012164A">
            <w:pPr>
              <w:spacing w:after="0" w:line="240" w:lineRule="auto"/>
              <w:rPr>
                <w:rFonts w:ascii="Arial" w:eastAsia="Times New Roman" w:hAnsi="Arial" w:cs="Arial"/>
                <w:b/>
                <w:bCs/>
                <w:color w:val="FFFFFF"/>
                <w:sz w:val="20"/>
                <w:szCs w:val="20"/>
                <w:lang w:eastAsia="en-GB"/>
              </w:rPr>
            </w:pPr>
          </w:p>
        </w:tc>
      </w:tr>
      <w:tr w:rsidR="0012164A" w:rsidRPr="0012164A" w14:paraId="334A6070" w14:textId="77777777" w:rsidTr="006F2E4F">
        <w:trPr>
          <w:trHeight w:val="1160"/>
        </w:trPr>
        <w:tc>
          <w:tcPr>
            <w:tcW w:w="0" w:type="auto"/>
            <w:vMerge w:val="restart"/>
            <w:tcBorders>
              <w:top w:val="nil"/>
              <w:left w:val="single" w:sz="4" w:space="0" w:color="5EAA41"/>
              <w:bottom w:val="nil"/>
              <w:right w:val="single" w:sz="4" w:space="0" w:color="5EAA41"/>
            </w:tcBorders>
            <w:shd w:val="clear" w:color="000000" w:fill="D2EAC8"/>
            <w:vAlign w:val="center"/>
            <w:hideMark/>
          </w:tcPr>
          <w:p w14:paraId="6DAC0049" w14:textId="77777777" w:rsidR="0012164A" w:rsidRPr="0012164A" w:rsidRDefault="0012164A" w:rsidP="0012164A">
            <w:pPr>
              <w:spacing w:after="0" w:line="240" w:lineRule="auto"/>
              <w:jc w:val="center"/>
              <w:rPr>
                <w:rFonts w:ascii="Arial" w:eastAsia="Times New Roman" w:hAnsi="Arial" w:cs="Arial"/>
                <w:b/>
                <w:bCs/>
                <w:color w:val="000000"/>
                <w:sz w:val="20"/>
                <w:szCs w:val="20"/>
                <w:lang w:eastAsia="en-GB"/>
              </w:rPr>
            </w:pPr>
            <w:r w:rsidRPr="0012164A">
              <w:rPr>
                <w:rFonts w:ascii="Arial" w:eastAsia="Times New Roman" w:hAnsi="Arial" w:cs="Arial"/>
                <w:b/>
                <w:bCs/>
                <w:color w:val="000000"/>
                <w:sz w:val="20"/>
                <w:szCs w:val="20"/>
                <w:lang w:eastAsia="en-GB"/>
              </w:rPr>
              <w:t xml:space="preserve">Our spirit and identity are celebrated through our heritage, arts, and culture </w:t>
            </w:r>
          </w:p>
        </w:tc>
        <w:tc>
          <w:tcPr>
            <w:tcW w:w="751" w:type="dxa"/>
            <w:tcBorders>
              <w:top w:val="nil"/>
              <w:left w:val="nil"/>
              <w:bottom w:val="single" w:sz="4" w:space="0" w:color="5EAA41"/>
              <w:right w:val="single" w:sz="4" w:space="0" w:color="5EAA41"/>
            </w:tcBorders>
            <w:shd w:val="clear" w:color="auto" w:fill="auto"/>
            <w:vAlign w:val="center"/>
            <w:hideMark/>
          </w:tcPr>
          <w:p w14:paraId="7A93DDD6"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CC-003</w:t>
            </w:r>
          </w:p>
        </w:tc>
        <w:tc>
          <w:tcPr>
            <w:tcW w:w="2551" w:type="dxa"/>
            <w:tcBorders>
              <w:top w:val="nil"/>
              <w:left w:val="nil"/>
              <w:bottom w:val="single" w:sz="4" w:space="0" w:color="5EAA41"/>
              <w:right w:val="single" w:sz="4" w:space="0" w:color="5EAA41"/>
            </w:tcBorders>
            <w:shd w:val="clear" w:color="auto" w:fill="auto"/>
            <w:vAlign w:val="center"/>
            <w:hideMark/>
          </w:tcPr>
          <w:p w14:paraId="15B25B8C" w14:textId="77777777" w:rsidR="0012164A" w:rsidRPr="0012164A" w:rsidRDefault="0012164A" w:rsidP="0012164A">
            <w:pPr>
              <w:spacing w:after="0" w:line="240" w:lineRule="auto"/>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Total number of attendances at library, arts and cultural events supported by St Helens Library and Arts Services</w:t>
            </w:r>
          </w:p>
        </w:tc>
        <w:tc>
          <w:tcPr>
            <w:tcW w:w="1418" w:type="dxa"/>
            <w:tcBorders>
              <w:top w:val="nil"/>
              <w:left w:val="nil"/>
              <w:bottom w:val="single" w:sz="4" w:space="0" w:color="5EAA41"/>
              <w:right w:val="single" w:sz="4" w:space="0" w:color="5EAA41"/>
            </w:tcBorders>
            <w:shd w:val="clear" w:color="auto" w:fill="auto"/>
            <w:vAlign w:val="center"/>
            <w:hideMark/>
          </w:tcPr>
          <w:p w14:paraId="766EC6A0"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Quarterly</w:t>
            </w:r>
          </w:p>
        </w:tc>
        <w:tc>
          <w:tcPr>
            <w:tcW w:w="1134" w:type="dxa"/>
            <w:tcBorders>
              <w:top w:val="nil"/>
              <w:left w:val="nil"/>
              <w:bottom w:val="single" w:sz="4" w:space="0" w:color="5EAA41"/>
              <w:right w:val="single" w:sz="4" w:space="0" w:color="5EAA41"/>
            </w:tcBorders>
            <w:shd w:val="clear" w:color="000000" w:fill="FFFFFF"/>
            <w:noWrap/>
            <w:vAlign w:val="center"/>
            <w:hideMark/>
          </w:tcPr>
          <w:p w14:paraId="12C6CDE1"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Higher</w:t>
            </w:r>
          </w:p>
        </w:tc>
        <w:tc>
          <w:tcPr>
            <w:tcW w:w="1276" w:type="dxa"/>
            <w:tcBorders>
              <w:top w:val="nil"/>
              <w:left w:val="nil"/>
              <w:bottom w:val="single" w:sz="4" w:space="0" w:color="5EAA41"/>
              <w:right w:val="single" w:sz="4" w:space="0" w:color="5EAA41"/>
            </w:tcBorders>
            <w:shd w:val="clear" w:color="000000" w:fill="92D050"/>
            <w:noWrap/>
            <w:vAlign w:val="center"/>
            <w:hideMark/>
          </w:tcPr>
          <w:p w14:paraId="6FD4FDFD"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47,554</w:t>
            </w:r>
          </w:p>
        </w:tc>
        <w:tc>
          <w:tcPr>
            <w:tcW w:w="1134" w:type="dxa"/>
            <w:tcBorders>
              <w:top w:val="nil"/>
              <w:left w:val="nil"/>
              <w:bottom w:val="single" w:sz="4" w:space="0" w:color="5EAA41"/>
              <w:right w:val="single" w:sz="4" w:space="0" w:color="5EAA41"/>
            </w:tcBorders>
            <w:shd w:val="clear" w:color="auto" w:fill="auto"/>
            <w:noWrap/>
            <w:vAlign w:val="center"/>
            <w:hideMark/>
          </w:tcPr>
          <w:p w14:paraId="5920B72A"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35,000</w:t>
            </w:r>
          </w:p>
        </w:tc>
        <w:tc>
          <w:tcPr>
            <w:tcW w:w="1263" w:type="dxa"/>
            <w:tcBorders>
              <w:top w:val="single" w:sz="4" w:space="0" w:color="5EAA41"/>
              <w:left w:val="single" w:sz="4" w:space="0" w:color="5EAA41"/>
              <w:bottom w:val="single" w:sz="4" w:space="0" w:color="5EAA41"/>
              <w:right w:val="single" w:sz="4" w:space="0" w:color="auto"/>
            </w:tcBorders>
            <w:shd w:val="clear" w:color="000000" w:fill="92D050"/>
            <w:vAlign w:val="center"/>
            <w:hideMark/>
          </w:tcPr>
          <w:p w14:paraId="73872E2A"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11089</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02839" w14:textId="77777777" w:rsidR="0012164A" w:rsidRPr="0012164A" w:rsidRDefault="0012164A" w:rsidP="0012164A">
            <w:pPr>
              <w:spacing w:after="0" w:line="240" w:lineRule="auto"/>
              <w:jc w:val="center"/>
              <w:rPr>
                <w:rFonts w:ascii="Arial" w:eastAsia="Times New Roman" w:hAnsi="Arial" w:cs="Arial"/>
                <w:color w:val="00B050"/>
                <w:sz w:val="20"/>
                <w:szCs w:val="20"/>
                <w:lang w:eastAsia="en-GB"/>
              </w:rPr>
            </w:pPr>
            <w:r w:rsidRPr="0012164A">
              <w:rPr>
                <w:rFonts w:ascii="Arial" w:eastAsia="Times New Roman" w:hAnsi="Arial" w:cs="Arial"/>
                <w:color w:val="00B050"/>
                <w:sz w:val="20"/>
                <w:szCs w:val="20"/>
                <w:lang w:eastAsia="en-GB"/>
              </w:rPr>
              <w:t>26.73%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3C55B" w14:textId="36FEF449"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03" behindDoc="0" locked="0" layoutInCell="1" allowOverlap="1" wp14:anchorId="5200F9AB" wp14:editId="4CE867B8">
                  <wp:simplePos x="0" y="0"/>
                  <wp:positionH relativeFrom="column">
                    <wp:posOffset>45720</wp:posOffset>
                  </wp:positionH>
                  <wp:positionV relativeFrom="paragraph">
                    <wp:posOffset>635</wp:posOffset>
                  </wp:positionV>
                  <wp:extent cx="273050" cy="241300"/>
                  <wp:effectExtent l="0" t="0" r="0" b="0"/>
                  <wp:wrapNone/>
                  <wp:docPr id="1429712154" name="Picture 87" descr="P1965C22T40#y1">
                    <a:extLst xmlns:a="http://schemas.openxmlformats.org/drawingml/2006/main">
                      <a:ext uri="{FF2B5EF4-FFF2-40B4-BE49-F238E27FC236}">
                        <a16:creationId xmlns:a16="http://schemas.microsoft.com/office/drawing/2014/main" id="{4E5C6C6A-9318-4438-9BEC-A380A541D872}"/>
                      </a:ext>
                      <a:ext uri="{147F2762-F138-4A5C-976F-8EAC2B608ADB}">
                        <a16:predDERef xmlns:a16="http://schemas.microsoft.com/office/drawing/2014/main" pred="{1358AC2C-5659-437D-91B0-FB3EA0A1CF69}"/>
                      </a:ext>
                    </a:extLst>
                  </wp:docPr>
                  <wp:cNvGraphicFramePr/>
                  <a:graphic xmlns:a="http://schemas.openxmlformats.org/drawingml/2006/main">
                    <a:graphicData uri="http://schemas.openxmlformats.org/drawingml/2006/picture">
                      <pic:pic xmlns:pic="http://schemas.openxmlformats.org/drawingml/2006/picture">
                        <pic:nvPicPr>
                          <pic:cNvPr id="1429712154" name="Picture 65" descr="P1965C22T40#y1">
                            <a:extLst>
                              <a:ext uri="{FF2B5EF4-FFF2-40B4-BE49-F238E27FC236}">
                                <a16:creationId xmlns:a16="http://schemas.microsoft.com/office/drawing/2014/main" id="{4E5C6C6A-9318-4438-9BEC-A380A541D872}"/>
                              </a:ext>
                              <a:ext uri="{147F2762-F138-4A5C-976F-8EAC2B608ADB}">
                                <a16:predDERef xmlns:a16="http://schemas.microsoft.com/office/drawing/2014/main" pred="{1358AC2C-5659-437D-91B0-FB3EA0A1CF6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19E64DFB"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N/A</w:t>
            </w:r>
          </w:p>
        </w:tc>
      </w:tr>
      <w:tr w:rsidR="0012164A" w:rsidRPr="0012164A" w14:paraId="651BF81B" w14:textId="77777777" w:rsidTr="006F2E4F">
        <w:trPr>
          <w:trHeight w:val="1138"/>
        </w:trPr>
        <w:tc>
          <w:tcPr>
            <w:tcW w:w="0" w:type="auto"/>
            <w:vMerge/>
            <w:tcBorders>
              <w:top w:val="nil"/>
              <w:left w:val="single" w:sz="4" w:space="0" w:color="5EAA41"/>
              <w:bottom w:val="nil"/>
              <w:right w:val="single" w:sz="4" w:space="0" w:color="5EAA41"/>
            </w:tcBorders>
            <w:vAlign w:val="center"/>
            <w:hideMark/>
          </w:tcPr>
          <w:p w14:paraId="476282C0" w14:textId="77777777" w:rsidR="0012164A" w:rsidRPr="0012164A" w:rsidRDefault="0012164A" w:rsidP="0012164A">
            <w:pPr>
              <w:spacing w:after="0" w:line="240" w:lineRule="auto"/>
              <w:rPr>
                <w:rFonts w:ascii="Arial" w:eastAsia="Times New Roman" w:hAnsi="Arial" w:cs="Arial"/>
                <w:b/>
                <w:bCs/>
                <w:color w:val="000000"/>
                <w:sz w:val="20"/>
                <w:szCs w:val="20"/>
                <w:lang w:eastAsia="en-GB"/>
              </w:rPr>
            </w:pPr>
          </w:p>
        </w:tc>
        <w:tc>
          <w:tcPr>
            <w:tcW w:w="751" w:type="dxa"/>
            <w:tcBorders>
              <w:top w:val="nil"/>
              <w:left w:val="nil"/>
              <w:bottom w:val="single" w:sz="4" w:space="0" w:color="5EAA41"/>
              <w:right w:val="single" w:sz="4" w:space="0" w:color="5EAA41"/>
            </w:tcBorders>
            <w:shd w:val="clear" w:color="auto" w:fill="auto"/>
            <w:vAlign w:val="center"/>
            <w:hideMark/>
          </w:tcPr>
          <w:p w14:paraId="293EE654"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CC-005</w:t>
            </w:r>
          </w:p>
        </w:tc>
        <w:tc>
          <w:tcPr>
            <w:tcW w:w="2551" w:type="dxa"/>
            <w:tcBorders>
              <w:top w:val="nil"/>
              <w:left w:val="nil"/>
              <w:bottom w:val="single" w:sz="4" w:space="0" w:color="5EAA41"/>
              <w:right w:val="single" w:sz="4" w:space="0" w:color="5EAA41"/>
            </w:tcBorders>
            <w:shd w:val="clear" w:color="auto" w:fill="auto"/>
            <w:vAlign w:val="center"/>
            <w:hideMark/>
          </w:tcPr>
          <w:p w14:paraId="6D16F18A" w14:textId="77777777" w:rsidR="0012164A" w:rsidRPr="0012164A" w:rsidRDefault="0012164A" w:rsidP="0012164A">
            <w:pPr>
              <w:spacing w:after="0" w:line="240" w:lineRule="auto"/>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Number of Physical Items Borrowed from St Helens Libraries</w:t>
            </w:r>
          </w:p>
        </w:tc>
        <w:tc>
          <w:tcPr>
            <w:tcW w:w="1418" w:type="dxa"/>
            <w:tcBorders>
              <w:top w:val="nil"/>
              <w:left w:val="nil"/>
              <w:bottom w:val="single" w:sz="4" w:space="0" w:color="5EAA41"/>
              <w:right w:val="single" w:sz="4" w:space="0" w:color="5EAA41"/>
            </w:tcBorders>
            <w:shd w:val="clear" w:color="auto" w:fill="auto"/>
            <w:vAlign w:val="center"/>
            <w:hideMark/>
          </w:tcPr>
          <w:p w14:paraId="243D30D9"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Quarterly</w:t>
            </w:r>
          </w:p>
        </w:tc>
        <w:tc>
          <w:tcPr>
            <w:tcW w:w="1134" w:type="dxa"/>
            <w:tcBorders>
              <w:top w:val="nil"/>
              <w:left w:val="nil"/>
              <w:bottom w:val="single" w:sz="4" w:space="0" w:color="5EAA41"/>
              <w:right w:val="single" w:sz="4" w:space="0" w:color="5EAA41"/>
            </w:tcBorders>
            <w:shd w:val="clear" w:color="000000" w:fill="FFFFFF"/>
            <w:noWrap/>
            <w:vAlign w:val="center"/>
            <w:hideMark/>
          </w:tcPr>
          <w:p w14:paraId="5A87B618"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Higher</w:t>
            </w:r>
          </w:p>
        </w:tc>
        <w:tc>
          <w:tcPr>
            <w:tcW w:w="1276" w:type="dxa"/>
            <w:tcBorders>
              <w:top w:val="nil"/>
              <w:left w:val="nil"/>
              <w:bottom w:val="single" w:sz="4" w:space="0" w:color="5EAA41"/>
              <w:right w:val="single" w:sz="4" w:space="0" w:color="5EAA41"/>
            </w:tcBorders>
            <w:shd w:val="clear" w:color="000000" w:fill="92D050"/>
            <w:noWrap/>
            <w:vAlign w:val="center"/>
            <w:hideMark/>
          </w:tcPr>
          <w:p w14:paraId="23619894"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331,929</w:t>
            </w:r>
          </w:p>
        </w:tc>
        <w:tc>
          <w:tcPr>
            <w:tcW w:w="1134" w:type="dxa"/>
            <w:tcBorders>
              <w:top w:val="nil"/>
              <w:left w:val="nil"/>
              <w:bottom w:val="single" w:sz="4" w:space="0" w:color="5EAA41"/>
              <w:right w:val="single" w:sz="4" w:space="0" w:color="5EAA41"/>
            </w:tcBorders>
            <w:shd w:val="clear" w:color="auto" w:fill="auto"/>
            <w:noWrap/>
            <w:vAlign w:val="center"/>
            <w:hideMark/>
          </w:tcPr>
          <w:p w14:paraId="722721C8"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260,000</w:t>
            </w:r>
          </w:p>
        </w:tc>
        <w:tc>
          <w:tcPr>
            <w:tcW w:w="1263" w:type="dxa"/>
            <w:tcBorders>
              <w:top w:val="single" w:sz="4" w:space="0" w:color="5EAA41"/>
              <w:left w:val="single" w:sz="4" w:space="0" w:color="5EAA41"/>
              <w:bottom w:val="single" w:sz="4" w:space="0" w:color="5EAA41"/>
              <w:right w:val="single" w:sz="4" w:space="0" w:color="auto"/>
            </w:tcBorders>
            <w:shd w:val="clear" w:color="000000" w:fill="92D050"/>
            <w:vAlign w:val="center"/>
            <w:hideMark/>
          </w:tcPr>
          <w:p w14:paraId="7AC74C16"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77831</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7C488" w14:textId="77777777" w:rsidR="0012164A" w:rsidRPr="0012164A" w:rsidRDefault="0012164A" w:rsidP="0012164A">
            <w:pPr>
              <w:spacing w:after="0" w:line="240" w:lineRule="auto"/>
              <w:jc w:val="center"/>
              <w:rPr>
                <w:rFonts w:ascii="Arial" w:eastAsia="Times New Roman" w:hAnsi="Arial" w:cs="Arial"/>
                <w:color w:val="00B050"/>
                <w:sz w:val="20"/>
                <w:szCs w:val="20"/>
                <w:lang w:eastAsia="en-GB"/>
              </w:rPr>
            </w:pPr>
            <w:r w:rsidRPr="0012164A">
              <w:rPr>
                <w:rFonts w:ascii="Arial" w:eastAsia="Times New Roman" w:hAnsi="Arial" w:cs="Arial"/>
                <w:color w:val="00B050"/>
                <w:sz w:val="20"/>
                <w:szCs w:val="20"/>
                <w:lang w:eastAsia="en-GB"/>
              </w:rPr>
              <w:t>19.74%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B667A" w14:textId="0CD598A8"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02" behindDoc="0" locked="0" layoutInCell="1" allowOverlap="1" wp14:anchorId="0A76E646" wp14:editId="3B2ABBE0">
                  <wp:simplePos x="0" y="0"/>
                  <wp:positionH relativeFrom="column">
                    <wp:posOffset>26035</wp:posOffset>
                  </wp:positionH>
                  <wp:positionV relativeFrom="paragraph">
                    <wp:posOffset>106680</wp:posOffset>
                  </wp:positionV>
                  <wp:extent cx="273050" cy="241300"/>
                  <wp:effectExtent l="0" t="0" r="0" b="0"/>
                  <wp:wrapNone/>
                  <wp:docPr id="29" name="Picture 88" descr="P1977C32T40#y1">
                    <a:extLst xmlns:a="http://schemas.openxmlformats.org/drawingml/2006/main">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wp:docPr>
                  <wp:cNvGraphicFramePr/>
                  <a:graphic xmlns:a="http://schemas.openxmlformats.org/drawingml/2006/main">
                    <a:graphicData uri="http://schemas.openxmlformats.org/drawingml/2006/picture">
                      <pic:pic xmlns:pic="http://schemas.openxmlformats.org/drawingml/2006/picture">
                        <pic:nvPicPr>
                          <pic:cNvPr id="29" name="Picture 64" descr="P1977C32T40#y1">
                            <a:extLst>
                              <a:ext uri="{FF2B5EF4-FFF2-40B4-BE49-F238E27FC236}">
                                <a16:creationId xmlns:a16="http://schemas.microsoft.com/office/drawing/2014/main" id="{978F043C-B878-4F03-966B-5918A6489C7E}"/>
                              </a:ext>
                              <a:ext uri="{147F2762-F138-4A5C-976F-8EAC2B608ADB}">
                                <a16:predDERef xmlns:a16="http://schemas.microsoft.com/office/drawing/2014/main" pred="{FDCD9937-F2DC-42CA-B4AD-4359C42D8EF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48830322"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N/A</w:t>
            </w:r>
          </w:p>
        </w:tc>
      </w:tr>
      <w:tr w:rsidR="0012164A" w:rsidRPr="0012164A" w14:paraId="04581512" w14:textId="77777777" w:rsidTr="006F2E4F">
        <w:trPr>
          <w:trHeight w:val="1138"/>
        </w:trPr>
        <w:tc>
          <w:tcPr>
            <w:tcW w:w="0" w:type="auto"/>
            <w:vMerge/>
            <w:tcBorders>
              <w:top w:val="nil"/>
              <w:left w:val="single" w:sz="4" w:space="0" w:color="5EAA41"/>
              <w:bottom w:val="nil"/>
              <w:right w:val="single" w:sz="4" w:space="0" w:color="5EAA41"/>
            </w:tcBorders>
            <w:vAlign w:val="center"/>
            <w:hideMark/>
          </w:tcPr>
          <w:p w14:paraId="7D0A0BF5" w14:textId="77777777" w:rsidR="0012164A" w:rsidRPr="0012164A" w:rsidRDefault="0012164A" w:rsidP="0012164A">
            <w:pPr>
              <w:spacing w:after="0" w:line="240" w:lineRule="auto"/>
              <w:rPr>
                <w:rFonts w:ascii="Arial" w:eastAsia="Times New Roman" w:hAnsi="Arial" w:cs="Arial"/>
                <w:b/>
                <w:bCs/>
                <w:color w:val="000000"/>
                <w:sz w:val="20"/>
                <w:szCs w:val="20"/>
                <w:lang w:eastAsia="en-GB"/>
              </w:rPr>
            </w:pPr>
          </w:p>
        </w:tc>
        <w:tc>
          <w:tcPr>
            <w:tcW w:w="751" w:type="dxa"/>
            <w:tcBorders>
              <w:top w:val="nil"/>
              <w:left w:val="nil"/>
              <w:bottom w:val="single" w:sz="4" w:space="0" w:color="5EAA41"/>
              <w:right w:val="single" w:sz="4" w:space="0" w:color="5EAA41"/>
            </w:tcBorders>
            <w:shd w:val="clear" w:color="auto" w:fill="auto"/>
            <w:vAlign w:val="center"/>
            <w:hideMark/>
          </w:tcPr>
          <w:p w14:paraId="0579A247"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CC-006</w:t>
            </w:r>
          </w:p>
        </w:tc>
        <w:tc>
          <w:tcPr>
            <w:tcW w:w="2551" w:type="dxa"/>
            <w:tcBorders>
              <w:top w:val="nil"/>
              <w:left w:val="nil"/>
              <w:bottom w:val="single" w:sz="4" w:space="0" w:color="5EAA41"/>
              <w:right w:val="single" w:sz="4" w:space="0" w:color="5EAA41"/>
            </w:tcBorders>
            <w:shd w:val="clear" w:color="auto" w:fill="auto"/>
            <w:vAlign w:val="center"/>
            <w:hideMark/>
          </w:tcPr>
          <w:p w14:paraId="26534367" w14:textId="77777777" w:rsidR="0012164A" w:rsidRPr="0012164A" w:rsidRDefault="0012164A" w:rsidP="0012164A">
            <w:pPr>
              <w:spacing w:after="0" w:line="240" w:lineRule="auto"/>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Number of Virtual Items Borrowed from St Helens Libraries</w:t>
            </w:r>
          </w:p>
        </w:tc>
        <w:tc>
          <w:tcPr>
            <w:tcW w:w="1418" w:type="dxa"/>
            <w:tcBorders>
              <w:top w:val="nil"/>
              <w:left w:val="nil"/>
              <w:bottom w:val="single" w:sz="4" w:space="0" w:color="5EAA41"/>
              <w:right w:val="single" w:sz="4" w:space="0" w:color="5EAA41"/>
            </w:tcBorders>
            <w:shd w:val="clear" w:color="auto" w:fill="auto"/>
            <w:vAlign w:val="center"/>
            <w:hideMark/>
          </w:tcPr>
          <w:p w14:paraId="634D9671"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Quarterly</w:t>
            </w:r>
          </w:p>
        </w:tc>
        <w:tc>
          <w:tcPr>
            <w:tcW w:w="1134" w:type="dxa"/>
            <w:tcBorders>
              <w:top w:val="nil"/>
              <w:left w:val="nil"/>
              <w:bottom w:val="single" w:sz="4" w:space="0" w:color="5EAA41"/>
              <w:right w:val="single" w:sz="4" w:space="0" w:color="5EAA41"/>
            </w:tcBorders>
            <w:shd w:val="clear" w:color="000000" w:fill="FFFFFF"/>
            <w:noWrap/>
            <w:vAlign w:val="center"/>
            <w:hideMark/>
          </w:tcPr>
          <w:p w14:paraId="32914697"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Higher</w:t>
            </w:r>
          </w:p>
        </w:tc>
        <w:tc>
          <w:tcPr>
            <w:tcW w:w="1276" w:type="dxa"/>
            <w:tcBorders>
              <w:top w:val="nil"/>
              <w:left w:val="nil"/>
              <w:bottom w:val="single" w:sz="4" w:space="0" w:color="5EAA41"/>
              <w:right w:val="single" w:sz="4" w:space="0" w:color="5EAA41"/>
            </w:tcBorders>
            <w:shd w:val="clear" w:color="000000" w:fill="92D050"/>
            <w:noWrap/>
            <w:vAlign w:val="center"/>
            <w:hideMark/>
          </w:tcPr>
          <w:p w14:paraId="0A4DEB05" w14:textId="77777777"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96,127</w:t>
            </w:r>
          </w:p>
        </w:tc>
        <w:tc>
          <w:tcPr>
            <w:tcW w:w="1134" w:type="dxa"/>
            <w:tcBorders>
              <w:top w:val="nil"/>
              <w:left w:val="nil"/>
              <w:bottom w:val="single" w:sz="4" w:space="0" w:color="5EAA41"/>
              <w:right w:val="single" w:sz="4" w:space="0" w:color="5EAA41"/>
            </w:tcBorders>
            <w:shd w:val="clear" w:color="auto" w:fill="auto"/>
            <w:noWrap/>
            <w:vAlign w:val="center"/>
            <w:hideMark/>
          </w:tcPr>
          <w:p w14:paraId="6A3DE253" w14:textId="5DB980A1"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10</w:t>
            </w:r>
            <w:r w:rsidR="000453B6">
              <w:rPr>
                <w:rFonts w:ascii="Arial" w:eastAsia="Times New Roman" w:hAnsi="Arial" w:cs="Arial"/>
                <w:sz w:val="20"/>
                <w:szCs w:val="20"/>
                <w:lang w:eastAsia="en-GB"/>
              </w:rPr>
              <w:t>4</w:t>
            </w:r>
            <w:r w:rsidRPr="0012164A">
              <w:rPr>
                <w:rFonts w:ascii="Arial" w:eastAsia="Times New Roman" w:hAnsi="Arial" w:cs="Arial"/>
                <w:sz w:val="20"/>
                <w:szCs w:val="20"/>
                <w:lang w:eastAsia="en-GB"/>
              </w:rPr>
              <w:t>,000</w:t>
            </w:r>
          </w:p>
        </w:tc>
        <w:tc>
          <w:tcPr>
            <w:tcW w:w="1263" w:type="dxa"/>
            <w:tcBorders>
              <w:top w:val="single" w:sz="4" w:space="0" w:color="5EAA41"/>
              <w:left w:val="single" w:sz="4" w:space="0" w:color="5EAA41"/>
              <w:bottom w:val="single" w:sz="4" w:space="0" w:color="5EAA41"/>
              <w:right w:val="single" w:sz="4" w:space="0" w:color="auto"/>
            </w:tcBorders>
            <w:shd w:val="clear" w:color="000000" w:fill="92D050"/>
            <w:vAlign w:val="center"/>
            <w:hideMark/>
          </w:tcPr>
          <w:p w14:paraId="70718D5C" w14:textId="77777777" w:rsidR="0012164A" w:rsidRPr="0012164A" w:rsidRDefault="0012164A" w:rsidP="0012164A">
            <w:pPr>
              <w:spacing w:after="0" w:line="240" w:lineRule="auto"/>
              <w:jc w:val="center"/>
              <w:rPr>
                <w:rFonts w:ascii="Arial" w:eastAsia="Times New Roman" w:hAnsi="Arial" w:cs="Arial"/>
                <w:color w:val="000000"/>
                <w:sz w:val="20"/>
                <w:szCs w:val="20"/>
                <w:lang w:eastAsia="en-GB"/>
              </w:rPr>
            </w:pPr>
            <w:r w:rsidRPr="0012164A">
              <w:rPr>
                <w:rFonts w:ascii="Arial" w:eastAsia="Times New Roman" w:hAnsi="Arial" w:cs="Arial"/>
                <w:color w:val="000000"/>
                <w:sz w:val="20"/>
                <w:szCs w:val="20"/>
                <w:lang w:eastAsia="en-GB"/>
              </w:rPr>
              <w:t>35286</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D340B" w14:textId="77777777" w:rsidR="0012164A" w:rsidRPr="0012164A" w:rsidRDefault="0012164A" w:rsidP="0012164A">
            <w:pPr>
              <w:spacing w:after="0" w:line="240" w:lineRule="auto"/>
              <w:jc w:val="center"/>
              <w:rPr>
                <w:rFonts w:ascii="Arial" w:eastAsia="Times New Roman" w:hAnsi="Arial" w:cs="Arial"/>
                <w:color w:val="00B050"/>
                <w:sz w:val="20"/>
                <w:szCs w:val="20"/>
                <w:lang w:eastAsia="en-GB"/>
              </w:rPr>
            </w:pPr>
            <w:r w:rsidRPr="0012164A">
              <w:rPr>
                <w:rFonts w:ascii="Arial" w:eastAsia="Times New Roman" w:hAnsi="Arial" w:cs="Arial"/>
                <w:color w:val="00B050"/>
                <w:sz w:val="20"/>
                <w:szCs w:val="20"/>
                <w:lang w:eastAsia="en-GB"/>
              </w:rPr>
              <w:t>44.14%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26629" w14:textId="3947B7E9"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noProof/>
                <w:sz w:val="20"/>
                <w:szCs w:val="20"/>
                <w:lang w:eastAsia="en-GB"/>
              </w:rPr>
              <w:drawing>
                <wp:anchor distT="0" distB="0" distL="114300" distR="114300" simplePos="0" relativeHeight="251658304" behindDoc="0" locked="0" layoutInCell="1" allowOverlap="1" wp14:anchorId="0E6CB40B" wp14:editId="3647A9BF">
                  <wp:simplePos x="0" y="0"/>
                  <wp:positionH relativeFrom="column">
                    <wp:posOffset>31750</wp:posOffset>
                  </wp:positionH>
                  <wp:positionV relativeFrom="paragraph">
                    <wp:posOffset>-19050</wp:posOffset>
                  </wp:positionV>
                  <wp:extent cx="279400" cy="234950"/>
                  <wp:effectExtent l="0" t="0" r="0" b="0"/>
                  <wp:wrapNone/>
                  <wp:docPr id="2066828814" name="Picture 89" descr="P1989C42T40#y1">
                    <a:extLst xmlns:a="http://schemas.openxmlformats.org/drawingml/2006/main">
                      <a:ext uri="{FF2B5EF4-FFF2-40B4-BE49-F238E27FC236}">
                        <a16:creationId xmlns:a16="http://schemas.microsoft.com/office/drawing/2014/main" id="{3FF0C183-BF36-4E2D-A8AB-5DD34F1DF8B6}"/>
                      </a:ext>
                    </a:extLst>
                  </wp:docPr>
                  <wp:cNvGraphicFramePr/>
                  <a:graphic xmlns:a="http://schemas.openxmlformats.org/drawingml/2006/main">
                    <a:graphicData uri="http://schemas.openxmlformats.org/drawingml/2006/picture">
                      <pic:pic xmlns:pic="http://schemas.openxmlformats.org/drawingml/2006/picture">
                        <pic:nvPicPr>
                          <pic:cNvPr id="2066828814" name="Picture 63" descr="P1989C42T40#y1">
                            <a:extLst>
                              <a:ext uri="{FF2B5EF4-FFF2-40B4-BE49-F238E27FC236}">
                                <a16:creationId xmlns:a16="http://schemas.microsoft.com/office/drawing/2014/main" id="{3FF0C183-BF36-4E2D-A8AB-5DD34F1DF8B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79400" cy="2349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auto"/>
              <w:bottom w:val="single" w:sz="4" w:space="0" w:color="5EAA41"/>
              <w:right w:val="single" w:sz="4" w:space="0" w:color="5EAA41"/>
            </w:tcBorders>
            <w:shd w:val="clear" w:color="000000" w:fill="FFFFFF"/>
            <w:noWrap/>
            <w:vAlign w:val="center"/>
            <w:hideMark/>
          </w:tcPr>
          <w:p w14:paraId="131AC083" w14:textId="53532F3A" w:rsidR="0012164A" w:rsidRPr="0012164A" w:rsidRDefault="0012164A" w:rsidP="0012164A">
            <w:pPr>
              <w:spacing w:after="0" w:line="240" w:lineRule="auto"/>
              <w:jc w:val="center"/>
              <w:rPr>
                <w:rFonts w:ascii="Arial" w:eastAsia="Times New Roman" w:hAnsi="Arial" w:cs="Arial"/>
                <w:sz w:val="20"/>
                <w:szCs w:val="20"/>
                <w:lang w:eastAsia="en-GB"/>
              </w:rPr>
            </w:pPr>
            <w:r w:rsidRPr="0012164A">
              <w:rPr>
                <w:rFonts w:ascii="Arial" w:eastAsia="Times New Roman" w:hAnsi="Arial" w:cs="Arial"/>
                <w:sz w:val="20"/>
                <w:szCs w:val="20"/>
                <w:lang w:eastAsia="en-GB"/>
              </w:rPr>
              <w:t>N/A</w:t>
            </w:r>
          </w:p>
        </w:tc>
      </w:tr>
    </w:tbl>
    <w:p w14:paraId="46636C38" w14:textId="54A69E00" w:rsidR="007A3320" w:rsidRDefault="007A3320" w:rsidP="00B0379D">
      <w:pPr>
        <w:spacing w:after="240" w:line="240" w:lineRule="auto"/>
        <w:jc w:val="both"/>
        <w:rPr>
          <w:rFonts w:ascii="Arial" w:hAnsi="Arial" w:cs="Arial"/>
          <w:b/>
          <w:color w:val="5EAA41"/>
          <w:sz w:val="32"/>
          <w:szCs w:val="32"/>
        </w:rPr>
      </w:pPr>
    </w:p>
    <w:p w14:paraId="14873134" w14:textId="269C3112" w:rsidR="00B0379D" w:rsidRPr="00D23B44" w:rsidRDefault="00E75E6D" w:rsidP="00B0379D">
      <w:pPr>
        <w:spacing w:after="240" w:line="240" w:lineRule="auto"/>
        <w:jc w:val="both"/>
        <w:rPr>
          <w:rStyle w:val="normaltextrun"/>
          <w:rFonts w:ascii="Arial" w:hAnsi="Arial" w:cs="Arial"/>
          <w:b/>
          <w:color w:val="5EAA41"/>
          <w:sz w:val="32"/>
          <w:szCs w:val="32"/>
        </w:rPr>
      </w:pPr>
      <w:r w:rsidRPr="00D23B44">
        <w:rPr>
          <w:rFonts w:ascii="Arial" w:hAnsi="Arial" w:cs="Arial"/>
          <w:b/>
          <w:color w:val="5EAA41"/>
          <w:sz w:val="32"/>
          <w:szCs w:val="32"/>
        </w:rPr>
        <w:t>Summary of Performance against outcome and action for improvement</w:t>
      </w:r>
    </w:p>
    <w:p w14:paraId="21775E40" w14:textId="7F06A607" w:rsidR="00B0379D" w:rsidRPr="00D23B44" w:rsidRDefault="00E75E6D" w:rsidP="5545C372">
      <w:pPr>
        <w:pStyle w:val="ListBullet"/>
        <w:numPr>
          <w:ilvl w:val="0"/>
          <w:numId w:val="0"/>
        </w:numPr>
        <w:spacing w:after="120" w:line="240" w:lineRule="auto"/>
        <w:rPr>
          <w:rStyle w:val="normaltextrun"/>
          <w:rFonts w:ascii="Arial" w:hAnsi="Arial" w:cs="Arial"/>
          <w:b/>
          <w:color w:val="5EAA41"/>
          <w:sz w:val="32"/>
          <w:szCs w:val="32"/>
        </w:rPr>
      </w:pPr>
      <w:r w:rsidRPr="00D23B44">
        <w:rPr>
          <w:rStyle w:val="normaltextrun"/>
          <w:rFonts w:ascii="Arial" w:hAnsi="Arial" w:cs="Arial"/>
          <w:b/>
          <w:color w:val="5EAA41"/>
          <w:sz w:val="32"/>
          <w:szCs w:val="32"/>
        </w:rPr>
        <w:t>Outcome – Our environment is protected for the future</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ook w:val="04A0" w:firstRow="1" w:lastRow="0" w:firstColumn="1" w:lastColumn="0" w:noHBand="0" w:noVBand="1"/>
      </w:tblPr>
      <w:tblGrid>
        <w:gridCol w:w="8359"/>
        <w:gridCol w:w="7029"/>
      </w:tblGrid>
      <w:tr w:rsidR="00970157" w14:paraId="75FC179B" w14:textId="77777777" w:rsidTr="10DDAC33">
        <w:tc>
          <w:tcPr>
            <w:tcW w:w="8359" w:type="dxa"/>
            <w:shd w:val="clear" w:color="auto" w:fill="5EAA41"/>
          </w:tcPr>
          <w:p w14:paraId="7B67863A"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5EAA41"/>
          </w:tcPr>
          <w:p w14:paraId="4D955C20" w14:textId="77777777" w:rsidR="00B0379D" w:rsidRPr="00896DF5" w:rsidRDefault="00B0379D" w:rsidP="00B0379D">
            <w:pPr>
              <w:spacing w:after="120"/>
              <w:jc w:val="both"/>
              <w:rPr>
                <w:rFonts w:ascii="Arial" w:hAnsi="Arial" w:cs="Arial"/>
                <w:b/>
                <w:bCs/>
                <w:color w:val="FFFFFF" w:themeColor="background1"/>
              </w:rPr>
            </w:pPr>
          </w:p>
        </w:tc>
      </w:tr>
      <w:tr w:rsidR="00970157" w14:paraId="100A6E1C" w14:textId="77777777" w:rsidTr="10DDAC33">
        <w:tc>
          <w:tcPr>
            <w:tcW w:w="15388" w:type="dxa"/>
            <w:gridSpan w:val="2"/>
          </w:tcPr>
          <w:p w14:paraId="324ADA5C" w14:textId="7BF57AF0" w:rsidR="00B63FB7" w:rsidRPr="0082243C" w:rsidRDefault="00B63FB7" w:rsidP="4CBE3EC7">
            <w:pPr>
              <w:pStyle w:val="ListParagraph"/>
              <w:numPr>
                <w:ilvl w:val="0"/>
                <w:numId w:val="26"/>
              </w:numPr>
              <w:spacing w:before="120" w:after="120"/>
              <w:ind w:left="714" w:hanging="357"/>
              <w:rPr>
                <w:rFonts w:ascii="Arial" w:eastAsiaTheme="minorEastAsia" w:hAnsi="Arial" w:cs="Arial"/>
                <w:i/>
                <w:iCs/>
                <w:color w:val="000000" w:themeColor="text1"/>
              </w:rPr>
            </w:pPr>
            <w:r w:rsidRPr="00F44A13">
              <w:rPr>
                <w:rFonts w:ascii="Arial" w:eastAsiaTheme="minorEastAsia" w:hAnsi="Arial" w:cs="Arial"/>
                <w:b/>
                <w:bCs/>
              </w:rPr>
              <w:t>ENV-001 -</w:t>
            </w:r>
            <w:r w:rsidRPr="00213CC6">
              <w:rPr>
                <w:rFonts w:ascii="Arial" w:eastAsiaTheme="minorEastAsia" w:hAnsi="Arial" w:cs="Arial"/>
              </w:rPr>
              <w:t xml:space="preserve"> The</w:t>
            </w:r>
            <w:r w:rsidRPr="00F44A13">
              <w:rPr>
                <w:rFonts w:ascii="Arial" w:eastAsiaTheme="minorEastAsia" w:hAnsi="Arial" w:cs="Arial"/>
              </w:rPr>
              <w:t xml:space="preserve"> Quarter 1 2024-25 outturn data for CO2 emissions is not yet available. The time lagged 2023-24 outturn data is however now </w:t>
            </w:r>
            <w:r w:rsidRPr="0082243C">
              <w:rPr>
                <w:rFonts w:ascii="Arial" w:eastAsiaTheme="minorEastAsia" w:hAnsi="Arial" w:cs="Arial"/>
                <w:color w:val="000000" w:themeColor="text1"/>
              </w:rPr>
              <w:t>available. The final outturn for 2023-24 was 8,196 tonnes of CO2, which as better than the 2023-24 target of 8551 tonnes of CO2.</w:t>
            </w:r>
            <w:r w:rsidRPr="0082243C">
              <w:rPr>
                <w:rFonts w:ascii="Arial" w:eastAsiaTheme="minorEastAsia" w:hAnsi="Arial" w:cs="Arial"/>
                <w:i/>
                <w:iCs/>
                <w:color w:val="000000" w:themeColor="text1"/>
              </w:rPr>
              <w:t xml:space="preserve"> </w:t>
            </w:r>
            <w:r w:rsidRPr="0082243C">
              <w:rPr>
                <w:rFonts w:ascii="Arial" w:eastAsiaTheme="minorEastAsia" w:hAnsi="Arial" w:cs="Arial"/>
                <w:color w:val="000000" w:themeColor="text1"/>
              </w:rPr>
              <w:t xml:space="preserve">The outturn data is a significant reduction on the last reported data which related to the 12-month period to the end of </w:t>
            </w:r>
            <w:r w:rsidR="007D757B" w:rsidRPr="0082243C">
              <w:rPr>
                <w:rFonts w:ascii="Arial" w:eastAsiaTheme="minorEastAsia" w:hAnsi="Arial" w:cs="Arial"/>
                <w:color w:val="000000" w:themeColor="text1"/>
              </w:rPr>
              <w:t>March</w:t>
            </w:r>
            <w:r w:rsidRPr="0082243C">
              <w:rPr>
                <w:rFonts w:ascii="Arial" w:eastAsiaTheme="minorEastAsia" w:hAnsi="Arial" w:cs="Arial"/>
                <w:color w:val="000000" w:themeColor="text1"/>
              </w:rPr>
              <w:t xml:space="preserve"> 2023 which showed that total emissions under the influence of local authority control were 9,</w:t>
            </w:r>
            <w:r w:rsidR="003E28B9" w:rsidRPr="0082243C">
              <w:rPr>
                <w:rFonts w:ascii="Arial" w:eastAsiaTheme="minorEastAsia" w:hAnsi="Arial" w:cs="Arial"/>
                <w:color w:val="000000" w:themeColor="text1"/>
              </w:rPr>
              <w:t>092</w:t>
            </w:r>
            <w:r w:rsidRPr="0082243C">
              <w:rPr>
                <w:rFonts w:ascii="Arial" w:eastAsiaTheme="minorEastAsia" w:hAnsi="Arial" w:cs="Arial"/>
                <w:color w:val="000000" w:themeColor="text1"/>
              </w:rPr>
              <w:t xml:space="preserve"> tonnes of CO2. </w:t>
            </w:r>
          </w:p>
          <w:p w14:paraId="7CA7DBB4" w14:textId="76349D07" w:rsidR="00B63FB7" w:rsidRPr="001D48DC" w:rsidRDefault="00B63FB7" w:rsidP="00B63FB7">
            <w:pPr>
              <w:pStyle w:val="ListParagraph"/>
              <w:numPr>
                <w:ilvl w:val="0"/>
                <w:numId w:val="26"/>
              </w:numPr>
              <w:spacing w:before="120" w:after="120"/>
              <w:ind w:left="714" w:hanging="357"/>
              <w:contextualSpacing w:val="0"/>
              <w:rPr>
                <w:rFonts w:ascii="Arial" w:eastAsiaTheme="minorEastAsia" w:hAnsi="Arial" w:cs="Arial"/>
                <w:i/>
                <w:iCs/>
                <w:color w:val="000000" w:themeColor="text1"/>
              </w:rPr>
            </w:pPr>
            <w:r w:rsidRPr="0082243C">
              <w:rPr>
                <w:rFonts w:ascii="Arial" w:eastAsiaTheme="minorEastAsia" w:hAnsi="Arial" w:cs="Arial"/>
                <w:b/>
                <w:bCs/>
                <w:color w:val="000000" w:themeColor="text1"/>
              </w:rPr>
              <w:t xml:space="preserve">ENV-004A - </w:t>
            </w:r>
            <w:r w:rsidR="0082243C" w:rsidRPr="001D48DC">
              <w:rPr>
                <w:rFonts w:ascii="Arial" w:eastAsiaTheme="minorEastAsia" w:hAnsi="Arial" w:cs="Arial"/>
                <w:color w:val="000000" w:themeColor="text1"/>
              </w:rPr>
              <w:t xml:space="preserve">The Quarter 1 2024-25 outturn data </w:t>
            </w:r>
            <w:r w:rsidR="00635201" w:rsidRPr="001D48DC">
              <w:rPr>
                <w:rFonts w:ascii="Arial" w:eastAsiaTheme="minorEastAsia" w:hAnsi="Arial" w:cs="Arial"/>
                <w:color w:val="000000" w:themeColor="text1"/>
              </w:rPr>
              <w:t>for the p</w:t>
            </w:r>
            <w:r w:rsidR="00635201" w:rsidRPr="001D48DC">
              <w:rPr>
                <w:rFonts w:ascii="Arial" w:eastAsia="Times New Roman" w:hAnsi="Arial" w:cs="Arial"/>
                <w:color w:val="000000"/>
                <w:lang w:eastAsia="en-GB"/>
              </w:rPr>
              <w:t xml:space="preserve">ercentage of household waste arisings which have been sent for recycling </w:t>
            </w:r>
            <w:r w:rsidR="001D48DC" w:rsidRPr="001D48DC">
              <w:rPr>
                <w:rFonts w:ascii="Arial" w:eastAsia="Times New Roman" w:hAnsi="Arial" w:cs="Arial"/>
                <w:color w:val="000000"/>
                <w:lang w:eastAsia="en-GB"/>
              </w:rPr>
              <w:t xml:space="preserve">is time-lagged </w:t>
            </w:r>
            <w:r w:rsidR="00067FC1">
              <w:rPr>
                <w:rFonts w:ascii="Arial" w:eastAsia="Times New Roman" w:hAnsi="Arial" w:cs="Arial"/>
                <w:color w:val="000000"/>
                <w:lang w:eastAsia="en-GB"/>
              </w:rPr>
              <w:t xml:space="preserve">and </w:t>
            </w:r>
            <w:r w:rsidR="001D48DC" w:rsidRPr="001D48DC">
              <w:rPr>
                <w:rFonts w:ascii="Arial" w:eastAsia="Times New Roman" w:hAnsi="Arial" w:cs="Arial"/>
                <w:color w:val="000000"/>
                <w:lang w:eastAsia="en-GB"/>
              </w:rPr>
              <w:t>will be reported in Quarter 2</w:t>
            </w:r>
            <w:r w:rsidR="001D48DC">
              <w:rPr>
                <w:rFonts w:ascii="Arial" w:eastAsia="Times New Roman" w:hAnsi="Arial" w:cs="Arial"/>
                <w:color w:val="000000"/>
                <w:lang w:eastAsia="en-GB"/>
              </w:rPr>
              <w:t xml:space="preserve">. </w:t>
            </w:r>
            <w:r w:rsidR="001D48DC" w:rsidRPr="00F44A13">
              <w:rPr>
                <w:rFonts w:ascii="Arial" w:eastAsiaTheme="minorEastAsia" w:hAnsi="Arial" w:cs="Arial"/>
              </w:rPr>
              <w:t xml:space="preserve">The time lagged 2023-24 outturn data is however now </w:t>
            </w:r>
            <w:r w:rsidR="001D48DC" w:rsidRPr="0082243C">
              <w:rPr>
                <w:rFonts w:ascii="Arial" w:eastAsiaTheme="minorEastAsia" w:hAnsi="Arial" w:cs="Arial"/>
                <w:color w:val="000000" w:themeColor="text1"/>
              </w:rPr>
              <w:t>available. The final outturn for 2023-24 was</w:t>
            </w:r>
            <w:r w:rsidR="001D48DC">
              <w:rPr>
                <w:rFonts w:ascii="Arial" w:eastAsiaTheme="minorEastAsia" w:hAnsi="Arial" w:cs="Arial"/>
                <w:color w:val="000000" w:themeColor="text1"/>
              </w:rPr>
              <w:t xml:space="preserve"> 31.25%</w:t>
            </w:r>
            <w:r w:rsidR="006118EB">
              <w:rPr>
                <w:rFonts w:ascii="Arial" w:eastAsiaTheme="minorEastAsia" w:hAnsi="Arial" w:cs="Arial"/>
                <w:color w:val="000000" w:themeColor="text1"/>
              </w:rPr>
              <w:t>, which did no</w:t>
            </w:r>
            <w:r w:rsidR="00957EE9">
              <w:rPr>
                <w:rFonts w:ascii="Arial" w:eastAsiaTheme="minorEastAsia" w:hAnsi="Arial" w:cs="Arial"/>
                <w:color w:val="000000" w:themeColor="text1"/>
              </w:rPr>
              <w:t>t</w:t>
            </w:r>
            <w:r w:rsidR="006118EB">
              <w:rPr>
                <w:rFonts w:ascii="Arial" w:eastAsiaTheme="minorEastAsia" w:hAnsi="Arial" w:cs="Arial"/>
                <w:color w:val="000000" w:themeColor="text1"/>
              </w:rPr>
              <w:t xml:space="preserve"> meet the annual target of 40% and was lower than the figure of 34% reported at outturn 20</w:t>
            </w:r>
            <w:r w:rsidR="00067FC1">
              <w:rPr>
                <w:rFonts w:ascii="Arial" w:eastAsiaTheme="minorEastAsia" w:hAnsi="Arial" w:cs="Arial"/>
                <w:color w:val="000000" w:themeColor="text1"/>
              </w:rPr>
              <w:t xml:space="preserve">22-23. </w:t>
            </w:r>
          </w:p>
          <w:p w14:paraId="4F36FCC7" w14:textId="0BB5A5AC" w:rsidR="0082243C" w:rsidRPr="00C92EC5" w:rsidRDefault="00B63FB7" w:rsidP="00C92EC5">
            <w:pPr>
              <w:pStyle w:val="ListParagraph"/>
              <w:numPr>
                <w:ilvl w:val="0"/>
                <w:numId w:val="26"/>
              </w:numPr>
              <w:spacing w:before="120" w:after="120"/>
              <w:ind w:left="714" w:hanging="357"/>
              <w:contextualSpacing w:val="0"/>
              <w:rPr>
                <w:rFonts w:ascii="Arial" w:eastAsiaTheme="minorEastAsia" w:hAnsi="Arial" w:cs="Arial"/>
                <w:i/>
                <w:iCs/>
                <w:color w:val="000000" w:themeColor="text1"/>
              </w:rPr>
            </w:pPr>
            <w:r w:rsidRPr="0082243C">
              <w:rPr>
                <w:rFonts w:ascii="Arial" w:eastAsiaTheme="minorEastAsia" w:hAnsi="Arial" w:cs="Arial"/>
                <w:b/>
                <w:bCs/>
                <w:color w:val="000000" w:themeColor="text1"/>
              </w:rPr>
              <w:t xml:space="preserve">ENV-004B - </w:t>
            </w:r>
            <w:r w:rsidR="0082243C" w:rsidRPr="0082243C">
              <w:rPr>
                <w:rFonts w:ascii="Arial" w:eastAsiaTheme="minorEastAsia" w:hAnsi="Arial" w:cs="Arial"/>
                <w:color w:val="000000" w:themeColor="text1"/>
              </w:rPr>
              <w:t xml:space="preserve">The Quarter 1 2024-25 outturn </w:t>
            </w:r>
            <w:r w:rsidR="0082243C" w:rsidRPr="00C92EC5">
              <w:rPr>
                <w:rFonts w:ascii="Arial" w:eastAsiaTheme="minorEastAsia" w:hAnsi="Arial" w:cs="Arial"/>
                <w:color w:val="000000" w:themeColor="text1"/>
              </w:rPr>
              <w:t>data for</w:t>
            </w:r>
            <w:r w:rsidR="00067FC1" w:rsidRPr="00C92EC5">
              <w:rPr>
                <w:rFonts w:ascii="Arial" w:eastAsiaTheme="minorEastAsia" w:hAnsi="Arial" w:cs="Arial"/>
                <w:color w:val="000000" w:themeColor="text1"/>
              </w:rPr>
              <w:t xml:space="preserve"> k</w:t>
            </w:r>
            <w:r w:rsidR="00067FC1" w:rsidRPr="00C92EC5">
              <w:rPr>
                <w:rFonts w:ascii="Arial" w:eastAsia="Times New Roman" w:hAnsi="Arial" w:cs="Arial"/>
                <w:color w:val="000000"/>
                <w:lang w:eastAsia="en-GB"/>
              </w:rPr>
              <w:t xml:space="preserve">ilograms of recycling per household is time-lagged and will be reported in Quarter 2. </w:t>
            </w:r>
            <w:r w:rsidR="00067FC1" w:rsidRPr="00C92EC5">
              <w:rPr>
                <w:rFonts w:ascii="Arial" w:eastAsiaTheme="minorEastAsia" w:hAnsi="Arial" w:cs="Arial"/>
              </w:rPr>
              <w:t xml:space="preserve">The time lagged 2023-24 outturn data is however now </w:t>
            </w:r>
            <w:r w:rsidR="00067FC1" w:rsidRPr="00C92EC5">
              <w:rPr>
                <w:rFonts w:ascii="Arial" w:eastAsiaTheme="minorEastAsia" w:hAnsi="Arial" w:cs="Arial"/>
                <w:color w:val="000000" w:themeColor="text1"/>
              </w:rPr>
              <w:t xml:space="preserve">available. The final outturn for 2023-24 was 238 </w:t>
            </w:r>
            <w:r w:rsidR="00734220" w:rsidRPr="00C92EC5">
              <w:rPr>
                <w:rFonts w:ascii="Arial" w:eastAsiaTheme="minorEastAsia" w:hAnsi="Arial" w:cs="Arial"/>
                <w:color w:val="000000" w:themeColor="text1"/>
              </w:rPr>
              <w:t xml:space="preserve">kilograms which did not meet the annual target of </w:t>
            </w:r>
            <w:r w:rsidR="009335F0" w:rsidRPr="00C92EC5">
              <w:rPr>
                <w:rFonts w:ascii="Arial" w:eastAsiaTheme="minorEastAsia" w:hAnsi="Arial" w:cs="Arial"/>
                <w:color w:val="000000" w:themeColor="text1"/>
              </w:rPr>
              <w:t>325</w:t>
            </w:r>
            <w:r w:rsidR="00C92EC5" w:rsidRPr="00C92EC5">
              <w:rPr>
                <w:rFonts w:ascii="Arial" w:eastAsiaTheme="minorEastAsia" w:hAnsi="Arial" w:cs="Arial"/>
                <w:color w:val="000000" w:themeColor="text1"/>
              </w:rPr>
              <w:t xml:space="preserve"> kilograms</w:t>
            </w:r>
            <w:r w:rsidR="00067FC1" w:rsidRPr="00C92EC5">
              <w:rPr>
                <w:rFonts w:ascii="Arial" w:eastAsiaTheme="minorEastAsia" w:hAnsi="Arial" w:cs="Arial"/>
                <w:color w:val="000000" w:themeColor="text1"/>
              </w:rPr>
              <w:t xml:space="preserve"> and was lower than the figure of </w:t>
            </w:r>
            <w:r w:rsidR="009335F0" w:rsidRPr="00C92EC5">
              <w:rPr>
                <w:rFonts w:ascii="Arial" w:eastAsiaTheme="minorEastAsia" w:hAnsi="Arial" w:cs="Arial"/>
                <w:color w:val="000000" w:themeColor="text1"/>
              </w:rPr>
              <w:t>300</w:t>
            </w:r>
            <w:r w:rsidR="00067FC1" w:rsidRPr="00C92EC5">
              <w:rPr>
                <w:rFonts w:ascii="Arial" w:eastAsiaTheme="minorEastAsia" w:hAnsi="Arial" w:cs="Arial"/>
                <w:color w:val="000000" w:themeColor="text1"/>
              </w:rPr>
              <w:t xml:space="preserve"> </w:t>
            </w:r>
            <w:r w:rsidR="00C92EC5" w:rsidRPr="00C92EC5">
              <w:rPr>
                <w:rFonts w:ascii="Arial" w:eastAsiaTheme="minorEastAsia" w:hAnsi="Arial" w:cs="Arial"/>
                <w:color w:val="000000" w:themeColor="text1"/>
              </w:rPr>
              <w:t>kilograms r</w:t>
            </w:r>
            <w:r w:rsidR="00067FC1" w:rsidRPr="00C92EC5">
              <w:rPr>
                <w:rFonts w:ascii="Arial" w:eastAsiaTheme="minorEastAsia" w:hAnsi="Arial" w:cs="Arial"/>
                <w:color w:val="000000" w:themeColor="text1"/>
              </w:rPr>
              <w:t>eported at outturn 2022-23.</w:t>
            </w:r>
            <w:r w:rsidR="00067FC1">
              <w:rPr>
                <w:rFonts w:ascii="Arial" w:eastAsiaTheme="minorEastAsia" w:hAnsi="Arial" w:cs="Arial"/>
                <w:color w:val="000000" w:themeColor="text1"/>
              </w:rPr>
              <w:t xml:space="preserve"> </w:t>
            </w:r>
          </w:p>
          <w:p w14:paraId="15B20814" w14:textId="64198862" w:rsidR="00B63FB7" w:rsidRPr="00CE62E7" w:rsidRDefault="00B63FB7" w:rsidP="0082243C">
            <w:pPr>
              <w:pStyle w:val="ListParagraph"/>
              <w:numPr>
                <w:ilvl w:val="0"/>
                <w:numId w:val="26"/>
              </w:numPr>
              <w:spacing w:before="120" w:after="120"/>
              <w:ind w:left="714" w:hanging="357"/>
              <w:contextualSpacing w:val="0"/>
              <w:rPr>
                <w:rFonts w:ascii="Arial" w:eastAsiaTheme="minorEastAsia" w:hAnsi="Arial" w:cs="Arial"/>
                <w:i/>
                <w:iCs/>
                <w:color w:val="000000" w:themeColor="text1"/>
              </w:rPr>
            </w:pPr>
            <w:r w:rsidRPr="0082243C">
              <w:rPr>
                <w:rFonts w:ascii="Arial" w:eastAsiaTheme="minorEastAsia" w:hAnsi="Arial" w:cs="Arial"/>
                <w:b/>
                <w:bCs/>
                <w:color w:val="000000" w:themeColor="text1"/>
              </w:rPr>
              <w:t>ENV-005</w:t>
            </w:r>
            <w:r w:rsidRPr="0082243C">
              <w:rPr>
                <w:rFonts w:ascii="Arial" w:eastAsiaTheme="minorEastAsia" w:hAnsi="Arial" w:cs="Arial"/>
                <w:color w:val="000000" w:themeColor="text1"/>
              </w:rPr>
              <w:t xml:space="preserve"> -. </w:t>
            </w:r>
            <w:r w:rsidR="0082243C" w:rsidRPr="0082243C">
              <w:rPr>
                <w:rFonts w:ascii="Arial" w:eastAsiaTheme="minorEastAsia" w:hAnsi="Arial" w:cs="Arial"/>
                <w:color w:val="000000" w:themeColor="text1"/>
              </w:rPr>
              <w:t xml:space="preserve">The </w:t>
            </w:r>
            <w:r w:rsidR="0082243C" w:rsidRPr="0082243C">
              <w:rPr>
                <w:rFonts w:ascii="Arial" w:eastAsiaTheme="minorEastAsia" w:hAnsi="Arial" w:cs="Arial"/>
              </w:rPr>
              <w:t>Quarter 1 2024-25 outturn data for</w:t>
            </w:r>
            <w:r w:rsidR="00C92EC5">
              <w:rPr>
                <w:rFonts w:ascii="Arial" w:eastAsiaTheme="minorEastAsia" w:hAnsi="Arial" w:cs="Arial"/>
              </w:rPr>
              <w:t xml:space="preserve"> </w:t>
            </w:r>
            <w:r w:rsidR="00C92EC5" w:rsidRPr="0096761F">
              <w:rPr>
                <w:rFonts w:ascii="Arial" w:eastAsia="Times New Roman" w:hAnsi="Arial" w:cs="Arial"/>
                <w:color w:val="000000"/>
                <w:sz w:val="20"/>
                <w:szCs w:val="20"/>
                <w:lang w:eastAsia="en-GB"/>
              </w:rPr>
              <w:t>Kilograms of residual household waste collected per household</w:t>
            </w:r>
            <w:r w:rsidR="00C92EC5">
              <w:rPr>
                <w:rFonts w:ascii="Arial" w:eastAsia="Times New Roman" w:hAnsi="Arial" w:cs="Arial"/>
                <w:color w:val="000000"/>
                <w:sz w:val="20"/>
                <w:szCs w:val="20"/>
                <w:lang w:eastAsia="en-GB"/>
              </w:rPr>
              <w:t xml:space="preserve"> </w:t>
            </w:r>
            <w:r w:rsidR="00C92EC5" w:rsidRPr="00C92EC5">
              <w:rPr>
                <w:rFonts w:ascii="Arial" w:eastAsia="Times New Roman" w:hAnsi="Arial" w:cs="Arial"/>
                <w:color w:val="000000"/>
                <w:lang w:eastAsia="en-GB"/>
              </w:rPr>
              <w:t xml:space="preserve">is time-lagged and will be reported in Quarter 2. </w:t>
            </w:r>
            <w:r w:rsidR="00C92EC5" w:rsidRPr="00C92EC5">
              <w:rPr>
                <w:rFonts w:ascii="Arial" w:eastAsiaTheme="minorEastAsia" w:hAnsi="Arial" w:cs="Arial"/>
              </w:rPr>
              <w:t xml:space="preserve">The </w:t>
            </w:r>
            <w:r w:rsidR="00C92EC5" w:rsidRPr="00CE62E7">
              <w:rPr>
                <w:rFonts w:ascii="Arial" w:eastAsiaTheme="minorEastAsia" w:hAnsi="Arial" w:cs="Arial"/>
                <w:color w:val="000000" w:themeColor="text1"/>
              </w:rPr>
              <w:t xml:space="preserve">time lagged 2023-24 outturn data is however now available. The final outturn for 2023-24 was 518 kilograms which did not meet the annual target of </w:t>
            </w:r>
            <w:r w:rsidR="004A5955" w:rsidRPr="00CE62E7">
              <w:rPr>
                <w:rFonts w:ascii="Arial" w:eastAsiaTheme="minorEastAsia" w:hAnsi="Arial" w:cs="Arial"/>
                <w:color w:val="000000" w:themeColor="text1"/>
              </w:rPr>
              <w:t>477</w:t>
            </w:r>
            <w:r w:rsidR="00C92EC5" w:rsidRPr="00CE62E7">
              <w:rPr>
                <w:rFonts w:ascii="Arial" w:eastAsiaTheme="minorEastAsia" w:hAnsi="Arial" w:cs="Arial"/>
                <w:color w:val="000000" w:themeColor="text1"/>
              </w:rPr>
              <w:t xml:space="preserve"> kilograms and was </w:t>
            </w:r>
            <w:r w:rsidR="00957EE9" w:rsidRPr="00CE62E7">
              <w:rPr>
                <w:rFonts w:ascii="Arial" w:eastAsiaTheme="minorEastAsia" w:hAnsi="Arial" w:cs="Arial"/>
                <w:color w:val="000000" w:themeColor="text1"/>
              </w:rPr>
              <w:t>above</w:t>
            </w:r>
            <w:r w:rsidR="00C92EC5" w:rsidRPr="00CE62E7">
              <w:rPr>
                <w:rFonts w:ascii="Arial" w:eastAsiaTheme="minorEastAsia" w:hAnsi="Arial" w:cs="Arial"/>
                <w:color w:val="000000" w:themeColor="text1"/>
              </w:rPr>
              <w:t xml:space="preserve"> the figure of </w:t>
            </w:r>
            <w:r w:rsidR="00825A8C" w:rsidRPr="00CE62E7">
              <w:rPr>
                <w:rFonts w:ascii="Arial" w:eastAsiaTheme="minorEastAsia" w:hAnsi="Arial" w:cs="Arial"/>
                <w:color w:val="000000" w:themeColor="text1"/>
              </w:rPr>
              <w:t>445</w:t>
            </w:r>
            <w:r w:rsidR="00C92EC5" w:rsidRPr="00CE62E7">
              <w:rPr>
                <w:rFonts w:ascii="Arial" w:eastAsiaTheme="minorEastAsia" w:hAnsi="Arial" w:cs="Arial"/>
                <w:color w:val="000000" w:themeColor="text1"/>
              </w:rPr>
              <w:t xml:space="preserve"> kilograms reported at outturn 2022-23.</w:t>
            </w:r>
          </w:p>
          <w:p w14:paraId="50836D36" w14:textId="77777777" w:rsidR="008D1D0B" w:rsidRPr="003922C3" w:rsidRDefault="00B63FB7" w:rsidP="00B63FB7">
            <w:pPr>
              <w:pStyle w:val="ListParagraph"/>
              <w:numPr>
                <w:ilvl w:val="0"/>
                <w:numId w:val="26"/>
              </w:numPr>
              <w:spacing w:before="120" w:after="120"/>
              <w:ind w:left="714" w:hanging="357"/>
              <w:contextualSpacing w:val="0"/>
              <w:rPr>
                <w:rFonts w:ascii="Arial" w:eastAsiaTheme="minorEastAsia" w:hAnsi="Arial" w:cs="Arial"/>
                <w:i/>
                <w:iCs/>
              </w:rPr>
            </w:pPr>
            <w:r w:rsidRPr="00CE62E7">
              <w:rPr>
                <w:rFonts w:ascii="Arial" w:eastAsiaTheme="minorEastAsia" w:hAnsi="Arial" w:cs="Arial"/>
                <w:b/>
                <w:bCs/>
                <w:color w:val="000000" w:themeColor="text1"/>
              </w:rPr>
              <w:t>ENV-006</w:t>
            </w:r>
            <w:r w:rsidRPr="00CE62E7">
              <w:rPr>
                <w:rFonts w:ascii="Arial" w:eastAsiaTheme="minorEastAsia" w:hAnsi="Arial" w:cs="Arial"/>
                <w:color w:val="000000" w:themeColor="text1"/>
              </w:rPr>
              <w:t xml:space="preserve"> - Over the course of Quarter 1 202</w:t>
            </w:r>
            <w:r w:rsidR="00825A8C" w:rsidRPr="00CE62E7">
              <w:rPr>
                <w:rFonts w:ascii="Arial" w:eastAsiaTheme="minorEastAsia" w:hAnsi="Arial" w:cs="Arial"/>
                <w:color w:val="000000" w:themeColor="text1"/>
              </w:rPr>
              <w:t>3</w:t>
            </w:r>
            <w:r w:rsidRPr="00CE62E7">
              <w:rPr>
                <w:rFonts w:ascii="Arial" w:eastAsiaTheme="minorEastAsia" w:hAnsi="Arial" w:cs="Arial"/>
                <w:color w:val="000000" w:themeColor="text1"/>
              </w:rPr>
              <w:t>-2</w:t>
            </w:r>
            <w:r w:rsidR="00825A8C" w:rsidRPr="00CE62E7">
              <w:rPr>
                <w:rFonts w:ascii="Arial" w:eastAsiaTheme="minorEastAsia" w:hAnsi="Arial" w:cs="Arial"/>
                <w:color w:val="000000" w:themeColor="text1"/>
              </w:rPr>
              <w:t>4</w:t>
            </w:r>
            <w:r w:rsidRPr="00CE62E7">
              <w:rPr>
                <w:rFonts w:ascii="Arial" w:eastAsiaTheme="minorEastAsia" w:hAnsi="Arial" w:cs="Arial"/>
                <w:color w:val="000000" w:themeColor="text1"/>
              </w:rPr>
              <w:t xml:space="preserve">, the number of engagements within the waste and recycling service stood at </w:t>
            </w:r>
            <w:r w:rsidR="00825A8C" w:rsidRPr="00CE62E7">
              <w:rPr>
                <w:rFonts w:ascii="Arial" w:eastAsiaTheme="minorEastAsia" w:hAnsi="Arial" w:cs="Arial"/>
                <w:color w:val="000000" w:themeColor="text1"/>
              </w:rPr>
              <w:t>759</w:t>
            </w:r>
            <w:r w:rsidR="00C41EAA" w:rsidRPr="00CE62E7">
              <w:rPr>
                <w:rFonts w:ascii="Arial" w:eastAsiaTheme="minorEastAsia" w:hAnsi="Arial" w:cs="Arial"/>
                <w:color w:val="000000" w:themeColor="text1"/>
              </w:rPr>
              <w:t>, which was above the quarterly target of 625</w:t>
            </w:r>
            <w:r w:rsidR="00DE0606" w:rsidRPr="00CE62E7">
              <w:rPr>
                <w:rFonts w:ascii="Arial" w:eastAsiaTheme="minorEastAsia" w:hAnsi="Arial" w:cs="Arial"/>
                <w:color w:val="000000" w:themeColor="text1"/>
              </w:rPr>
              <w:t xml:space="preserve">, but a reduction on the </w:t>
            </w:r>
            <w:r w:rsidR="00CE62E7" w:rsidRPr="00CE62E7">
              <w:rPr>
                <w:rFonts w:ascii="Arial" w:eastAsiaTheme="minorEastAsia" w:hAnsi="Arial" w:cs="Arial"/>
                <w:color w:val="000000" w:themeColor="text1"/>
              </w:rPr>
              <w:t>number of 1.170 engagements in Quarter 1 2023-24.</w:t>
            </w:r>
          </w:p>
          <w:p w14:paraId="19453B8E" w14:textId="47495F83" w:rsidR="003922C3" w:rsidRPr="00B63FB7" w:rsidRDefault="003922C3" w:rsidP="003922C3">
            <w:pPr>
              <w:pStyle w:val="ListParagraph"/>
              <w:spacing w:before="120" w:after="120"/>
              <w:ind w:left="714"/>
              <w:contextualSpacing w:val="0"/>
              <w:rPr>
                <w:rFonts w:ascii="Arial" w:eastAsiaTheme="minorEastAsia" w:hAnsi="Arial" w:cs="Arial"/>
                <w:i/>
                <w:iCs/>
              </w:rPr>
            </w:pPr>
          </w:p>
        </w:tc>
      </w:tr>
      <w:tr w:rsidR="00970157" w14:paraId="5319F988" w14:textId="77777777" w:rsidTr="10DDAC33">
        <w:tc>
          <w:tcPr>
            <w:tcW w:w="15388" w:type="dxa"/>
            <w:gridSpan w:val="2"/>
            <w:shd w:val="clear" w:color="auto" w:fill="5EAA41"/>
          </w:tcPr>
          <w:p w14:paraId="7B2EF27F" w14:textId="22748F36" w:rsidR="00B0379D" w:rsidRPr="00726B2E" w:rsidRDefault="00E75E6D" w:rsidP="00B0379D">
            <w:pPr>
              <w:spacing w:after="120"/>
              <w:jc w:val="both"/>
              <w:rPr>
                <w:rFonts w:ascii="Arial" w:hAnsi="Arial" w:cs="Arial"/>
              </w:rPr>
            </w:pPr>
            <w:r w:rsidRPr="00896DF5">
              <w:rPr>
                <w:rFonts w:ascii="Arial" w:hAnsi="Arial" w:cs="Arial"/>
                <w:b/>
                <w:bCs/>
                <w:color w:val="FFFFFF" w:themeColor="background1"/>
              </w:rPr>
              <w:t>Action for Improvement</w:t>
            </w:r>
          </w:p>
        </w:tc>
      </w:tr>
      <w:tr w:rsidR="00970157" w14:paraId="557521EF" w14:textId="77777777" w:rsidTr="10DDAC33">
        <w:tc>
          <w:tcPr>
            <w:tcW w:w="15388" w:type="dxa"/>
            <w:gridSpan w:val="2"/>
          </w:tcPr>
          <w:p w14:paraId="07013C5B" w14:textId="49275BD2" w:rsidR="000B7987" w:rsidRPr="00194B76" w:rsidRDefault="004A3E55" w:rsidP="00125F87">
            <w:pPr>
              <w:pStyle w:val="ListParagraph"/>
              <w:numPr>
                <w:ilvl w:val="0"/>
                <w:numId w:val="40"/>
              </w:numPr>
              <w:spacing w:before="120" w:after="120"/>
              <w:jc w:val="both"/>
              <w:rPr>
                <w:rFonts w:ascii="Arial" w:eastAsia="Arial" w:hAnsi="Arial" w:cs="Arial"/>
              </w:rPr>
            </w:pPr>
            <w:r w:rsidRPr="0082243C">
              <w:rPr>
                <w:rFonts w:ascii="Arial" w:eastAsiaTheme="minorEastAsia" w:hAnsi="Arial" w:cs="Arial"/>
                <w:b/>
                <w:bCs/>
                <w:color w:val="000000" w:themeColor="text1"/>
              </w:rPr>
              <w:t xml:space="preserve">ENV-004A </w:t>
            </w:r>
            <w:r>
              <w:rPr>
                <w:rFonts w:ascii="Arial" w:eastAsiaTheme="minorEastAsia" w:hAnsi="Arial" w:cs="Arial"/>
                <w:b/>
                <w:bCs/>
                <w:color w:val="000000" w:themeColor="text1"/>
              </w:rPr>
              <w:t xml:space="preserve">/ 004B / 005 - </w:t>
            </w:r>
            <w:r w:rsidR="00213CC6" w:rsidRPr="00213CC6">
              <w:rPr>
                <w:rStyle w:val="ui-provider"/>
                <w:rFonts w:ascii="Arial" w:hAnsi="Arial" w:cs="Arial"/>
              </w:rPr>
              <w:t>Engagement work is planned throughout the rest of 2024 to push waste minimisation and recycling messages with residents linking with our target to be Net Zero as a Borough by 2040.</w:t>
            </w:r>
          </w:p>
        </w:tc>
      </w:tr>
    </w:tbl>
    <w:p w14:paraId="785152C7" w14:textId="77777777" w:rsidR="001971BD" w:rsidRDefault="001971BD" w:rsidP="00B0379D">
      <w:pPr>
        <w:pStyle w:val="ListBullet"/>
        <w:numPr>
          <w:ilvl w:val="0"/>
          <w:numId w:val="0"/>
        </w:numPr>
        <w:spacing w:before="120" w:after="120" w:line="240" w:lineRule="auto"/>
        <w:contextualSpacing w:val="0"/>
        <w:rPr>
          <w:rStyle w:val="normaltextrun"/>
          <w:b/>
          <w:color w:val="5EAA41"/>
          <w:sz w:val="32"/>
          <w:szCs w:val="32"/>
        </w:rPr>
      </w:pPr>
    </w:p>
    <w:p w14:paraId="684F8050" w14:textId="225D8202" w:rsidR="00B0379D" w:rsidRPr="00D23B44" w:rsidRDefault="00E75E6D" w:rsidP="00B0379D">
      <w:pPr>
        <w:pStyle w:val="ListBullet"/>
        <w:numPr>
          <w:ilvl w:val="0"/>
          <w:numId w:val="0"/>
        </w:numPr>
        <w:spacing w:before="120" w:after="120" w:line="240" w:lineRule="auto"/>
        <w:contextualSpacing w:val="0"/>
        <w:rPr>
          <w:rStyle w:val="normaltextrun"/>
          <w:rFonts w:ascii="Arial" w:hAnsi="Arial" w:cs="Arial"/>
          <w:b/>
          <w:color w:val="5EAA41"/>
          <w:sz w:val="32"/>
          <w:szCs w:val="32"/>
        </w:rPr>
      </w:pPr>
      <w:r w:rsidRPr="00D23B44">
        <w:rPr>
          <w:rStyle w:val="normaltextrun"/>
          <w:rFonts w:ascii="Arial" w:hAnsi="Arial" w:cs="Arial"/>
          <w:b/>
          <w:color w:val="5EAA41"/>
          <w:sz w:val="32"/>
          <w:szCs w:val="32"/>
        </w:rPr>
        <w:t>Outcome – Our green and open spaces are enjoyed and looked after by us all</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ook w:val="04A0" w:firstRow="1" w:lastRow="0" w:firstColumn="1" w:lastColumn="0" w:noHBand="0" w:noVBand="1"/>
      </w:tblPr>
      <w:tblGrid>
        <w:gridCol w:w="8359"/>
        <w:gridCol w:w="7029"/>
      </w:tblGrid>
      <w:tr w:rsidR="00970157" w14:paraId="7F157295" w14:textId="77777777" w:rsidTr="00B8AFBC">
        <w:tc>
          <w:tcPr>
            <w:tcW w:w="8359" w:type="dxa"/>
            <w:shd w:val="clear" w:color="auto" w:fill="5EAA41"/>
          </w:tcPr>
          <w:p w14:paraId="4CFA6EA7"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5EAA41"/>
          </w:tcPr>
          <w:p w14:paraId="3E73E498" w14:textId="01D21A40" w:rsidR="00B0379D" w:rsidRPr="00896DF5" w:rsidRDefault="00B0379D" w:rsidP="00B0379D">
            <w:pPr>
              <w:spacing w:after="120"/>
              <w:jc w:val="both"/>
              <w:rPr>
                <w:rFonts w:ascii="Arial" w:hAnsi="Arial" w:cs="Arial"/>
                <w:b/>
                <w:bCs/>
                <w:color w:val="FFFFFF" w:themeColor="background1"/>
              </w:rPr>
            </w:pPr>
          </w:p>
        </w:tc>
      </w:tr>
      <w:tr w:rsidR="00970157" w14:paraId="27DF6F88" w14:textId="77777777" w:rsidTr="00B8AFBC">
        <w:tc>
          <w:tcPr>
            <w:tcW w:w="15388" w:type="dxa"/>
            <w:gridSpan w:val="2"/>
          </w:tcPr>
          <w:p w14:paraId="3AECA13E" w14:textId="77777777" w:rsidR="008F1E03" w:rsidRPr="000A08AC" w:rsidRDefault="002C2EDF" w:rsidP="008F1E03">
            <w:pPr>
              <w:pStyle w:val="ListParagraph"/>
              <w:numPr>
                <w:ilvl w:val="0"/>
                <w:numId w:val="4"/>
              </w:numPr>
              <w:spacing w:before="80" w:after="120"/>
              <w:ind w:left="714" w:hanging="357"/>
              <w:contextualSpacing w:val="0"/>
              <w:jc w:val="both"/>
              <w:rPr>
                <w:rFonts w:ascii="Arial" w:eastAsia="Arial" w:hAnsi="Arial" w:cs="Arial"/>
                <w:color w:val="000000" w:themeColor="text1"/>
              </w:rPr>
            </w:pPr>
            <w:r w:rsidRPr="008F1E03">
              <w:rPr>
                <w:rFonts w:ascii="Arial" w:eastAsiaTheme="minorEastAsia" w:hAnsi="Arial" w:cs="Arial"/>
                <w:b/>
                <w:bCs/>
                <w:color w:val="000000" w:themeColor="text1"/>
              </w:rPr>
              <w:t>ENV-007</w:t>
            </w:r>
            <w:r w:rsidRPr="008F1E03">
              <w:rPr>
                <w:rFonts w:ascii="Arial" w:eastAsiaTheme="minorEastAsia" w:hAnsi="Arial" w:cs="Arial"/>
                <w:color w:val="000000" w:themeColor="text1"/>
              </w:rPr>
              <w:t xml:space="preserve"> – Over the course of Quarter 1, the ave</w:t>
            </w:r>
            <w:r w:rsidRPr="008F1E03">
              <w:rPr>
                <w:rFonts w:ascii="Arial" w:eastAsia="Times New Roman" w:hAnsi="Arial" w:cs="Arial"/>
                <w:color w:val="000000" w:themeColor="text1"/>
                <w:lang w:eastAsia="en-GB"/>
              </w:rPr>
              <w:t xml:space="preserve">rage number of days taken to remove fly tipping from the public land was </w:t>
            </w:r>
            <w:r w:rsidR="00DE60B4" w:rsidRPr="008F1E03">
              <w:rPr>
                <w:rFonts w:ascii="Arial" w:eastAsia="Times New Roman" w:hAnsi="Arial" w:cs="Arial"/>
                <w:color w:val="000000" w:themeColor="text1"/>
                <w:lang w:eastAsia="en-GB"/>
              </w:rPr>
              <w:t>8.44</w:t>
            </w:r>
            <w:r w:rsidRPr="008F1E03">
              <w:rPr>
                <w:rFonts w:ascii="Arial" w:eastAsia="Times New Roman" w:hAnsi="Arial" w:cs="Arial"/>
                <w:color w:val="000000" w:themeColor="text1"/>
                <w:lang w:eastAsia="en-GB"/>
              </w:rPr>
              <w:t xml:space="preserve"> days</w:t>
            </w:r>
            <w:r w:rsidR="00DE60B4" w:rsidRPr="008F1E03">
              <w:rPr>
                <w:rFonts w:ascii="Arial" w:eastAsia="Times New Roman" w:hAnsi="Arial" w:cs="Arial"/>
                <w:color w:val="000000" w:themeColor="text1"/>
                <w:lang w:eastAsia="en-GB"/>
              </w:rPr>
              <w:t xml:space="preserve">, which was better than the target of 10 days, but </w:t>
            </w:r>
            <w:r w:rsidR="008F1E03" w:rsidRPr="008F1E03">
              <w:rPr>
                <w:rFonts w:ascii="Arial" w:eastAsia="Times New Roman" w:hAnsi="Arial" w:cs="Arial"/>
                <w:color w:val="000000" w:themeColor="text1"/>
                <w:lang w:eastAsia="en-GB"/>
              </w:rPr>
              <w:t xml:space="preserve">an increase on the 6 day </w:t>
            </w:r>
            <w:r w:rsidR="008F1E03" w:rsidRPr="000A08AC">
              <w:rPr>
                <w:rFonts w:ascii="Arial" w:eastAsia="Times New Roman" w:hAnsi="Arial" w:cs="Arial"/>
                <w:color w:val="000000" w:themeColor="text1"/>
                <w:lang w:eastAsia="en-GB"/>
              </w:rPr>
              <w:t>average reported over the course of Quarter 1 2023-24.</w:t>
            </w:r>
            <w:r w:rsidRPr="000A08AC">
              <w:rPr>
                <w:rFonts w:ascii="Arial" w:eastAsia="Times New Roman" w:hAnsi="Arial" w:cs="Arial"/>
                <w:color w:val="000000" w:themeColor="text1"/>
                <w:lang w:eastAsia="en-GB"/>
              </w:rPr>
              <w:t xml:space="preserve"> </w:t>
            </w:r>
          </w:p>
          <w:p w14:paraId="5795C625" w14:textId="7A8FF956" w:rsidR="0007440F" w:rsidRPr="000A4AA4" w:rsidRDefault="007007D9" w:rsidP="008F1E03">
            <w:pPr>
              <w:pStyle w:val="ListParagraph"/>
              <w:numPr>
                <w:ilvl w:val="0"/>
                <w:numId w:val="4"/>
              </w:numPr>
              <w:spacing w:before="80" w:after="120"/>
              <w:ind w:left="714" w:hanging="357"/>
              <w:contextualSpacing w:val="0"/>
              <w:jc w:val="both"/>
              <w:rPr>
                <w:rFonts w:ascii="Arial" w:eastAsia="Arial" w:hAnsi="Arial" w:cs="Arial"/>
                <w:color w:val="000000" w:themeColor="text1"/>
              </w:rPr>
            </w:pPr>
            <w:r w:rsidRPr="000A08AC">
              <w:rPr>
                <w:rFonts w:ascii="Arial" w:eastAsiaTheme="minorEastAsia" w:hAnsi="Arial" w:cs="Arial"/>
                <w:b/>
                <w:bCs/>
                <w:color w:val="000000" w:themeColor="text1"/>
              </w:rPr>
              <w:t>EN</w:t>
            </w:r>
            <w:r w:rsidR="00805C19" w:rsidRPr="000A08AC">
              <w:rPr>
                <w:rFonts w:ascii="Arial" w:eastAsiaTheme="minorEastAsia" w:hAnsi="Arial" w:cs="Arial"/>
                <w:b/>
                <w:bCs/>
                <w:color w:val="000000" w:themeColor="text1"/>
              </w:rPr>
              <w:t>V-008</w:t>
            </w:r>
            <w:r w:rsidR="00805C19" w:rsidRPr="000A08AC">
              <w:rPr>
                <w:rFonts w:ascii="Arial" w:eastAsiaTheme="minorEastAsia" w:hAnsi="Arial" w:cs="Arial"/>
                <w:color w:val="000000" w:themeColor="text1"/>
              </w:rPr>
              <w:t xml:space="preserve"> - </w:t>
            </w:r>
            <w:r w:rsidR="004670D9" w:rsidRPr="000A08AC">
              <w:rPr>
                <w:rFonts w:ascii="Arial" w:eastAsia="Times New Roman" w:hAnsi="Arial" w:cs="Arial"/>
                <w:color w:val="000000" w:themeColor="text1"/>
                <w:lang w:eastAsia="en-GB"/>
              </w:rPr>
              <w:t>Percentage of relevant land and highways that is assessed as having deposits of litter at an acceptable level</w:t>
            </w:r>
            <w:r w:rsidR="00601C36" w:rsidRPr="000A08AC">
              <w:rPr>
                <w:rFonts w:ascii="Arial" w:eastAsia="Times New Roman" w:hAnsi="Arial" w:cs="Arial"/>
                <w:color w:val="000000" w:themeColor="text1"/>
                <w:lang w:eastAsia="en-GB"/>
              </w:rPr>
              <w:t xml:space="preserve"> sits at 9</w:t>
            </w:r>
            <w:r w:rsidR="008F1E03" w:rsidRPr="000A08AC">
              <w:rPr>
                <w:rFonts w:ascii="Arial" w:eastAsia="Times New Roman" w:hAnsi="Arial" w:cs="Arial"/>
                <w:color w:val="000000" w:themeColor="text1"/>
                <w:lang w:eastAsia="en-GB"/>
              </w:rPr>
              <w:t>7.</w:t>
            </w:r>
            <w:r w:rsidR="00517E6E" w:rsidRPr="000A08AC">
              <w:rPr>
                <w:rFonts w:ascii="Arial" w:eastAsia="Times New Roman" w:hAnsi="Arial" w:cs="Arial"/>
                <w:color w:val="000000" w:themeColor="text1"/>
                <w:lang w:eastAsia="en-GB"/>
              </w:rPr>
              <w:t>3</w:t>
            </w:r>
            <w:r w:rsidR="00601C36" w:rsidRPr="000A08AC">
              <w:rPr>
                <w:rFonts w:ascii="Arial" w:eastAsia="Times New Roman" w:hAnsi="Arial" w:cs="Arial"/>
                <w:color w:val="000000" w:themeColor="text1"/>
                <w:lang w:eastAsia="en-GB"/>
              </w:rPr>
              <w:t>% for the quarter, a</w:t>
            </w:r>
            <w:r w:rsidR="00851EA1" w:rsidRPr="000A08AC">
              <w:rPr>
                <w:rFonts w:ascii="Arial" w:eastAsia="Times New Roman" w:hAnsi="Arial" w:cs="Arial"/>
                <w:color w:val="000000" w:themeColor="text1"/>
                <w:lang w:eastAsia="en-GB"/>
              </w:rPr>
              <w:t>head of</w:t>
            </w:r>
            <w:r w:rsidR="00601C36" w:rsidRPr="000A08AC">
              <w:rPr>
                <w:rFonts w:ascii="Arial" w:eastAsia="Times New Roman" w:hAnsi="Arial" w:cs="Arial"/>
                <w:color w:val="000000" w:themeColor="text1"/>
                <w:lang w:eastAsia="en-GB"/>
              </w:rPr>
              <w:t xml:space="preserve"> target</w:t>
            </w:r>
            <w:r w:rsidR="00851EA1" w:rsidRPr="000A08AC">
              <w:rPr>
                <w:rFonts w:ascii="Arial" w:eastAsia="Times New Roman" w:hAnsi="Arial" w:cs="Arial"/>
                <w:color w:val="000000" w:themeColor="text1"/>
                <w:lang w:eastAsia="en-GB"/>
              </w:rPr>
              <w:t xml:space="preserve"> </w:t>
            </w:r>
            <w:r w:rsidR="00517E6E" w:rsidRPr="000A08AC">
              <w:rPr>
                <w:rFonts w:ascii="Arial" w:eastAsia="Times New Roman" w:hAnsi="Arial" w:cs="Arial"/>
                <w:color w:val="000000" w:themeColor="text1"/>
                <w:lang w:eastAsia="en-GB"/>
              </w:rPr>
              <w:t xml:space="preserve">of 95% </w:t>
            </w:r>
            <w:r w:rsidR="00851EA1" w:rsidRPr="000A08AC">
              <w:rPr>
                <w:rFonts w:ascii="Arial" w:eastAsia="Times New Roman" w:hAnsi="Arial" w:cs="Arial"/>
                <w:color w:val="000000" w:themeColor="text1"/>
                <w:lang w:eastAsia="en-GB"/>
              </w:rPr>
              <w:t xml:space="preserve">and </w:t>
            </w:r>
            <w:r w:rsidR="000A08AC" w:rsidRPr="000A08AC">
              <w:rPr>
                <w:rFonts w:ascii="Arial" w:eastAsia="Times New Roman" w:hAnsi="Arial" w:cs="Arial"/>
                <w:color w:val="000000" w:themeColor="text1"/>
                <w:lang w:eastAsia="en-GB"/>
              </w:rPr>
              <w:t>above</w:t>
            </w:r>
            <w:r w:rsidR="00991784" w:rsidRPr="000A08AC">
              <w:rPr>
                <w:rFonts w:ascii="Arial" w:eastAsia="Times New Roman" w:hAnsi="Arial" w:cs="Arial"/>
                <w:color w:val="000000" w:themeColor="text1"/>
                <w:lang w:eastAsia="en-GB"/>
              </w:rPr>
              <w:t xml:space="preserve"> </w:t>
            </w:r>
            <w:r w:rsidR="000A08AC" w:rsidRPr="000A08AC">
              <w:rPr>
                <w:rFonts w:ascii="Arial" w:eastAsia="Times New Roman" w:hAnsi="Arial" w:cs="Arial"/>
                <w:color w:val="000000" w:themeColor="text1"/>
                <w:lang w:eastAsia="en-GB"/>
              </w:rPr>
              <w:t xml:space="preserve">the </w:t>
            </w:r>
            <w:r w:rsidR="00991784" w:rsidRPr="000A08AC">
              <w:rPr>
                <w:rFonts w:ascii="Arial" w:eastAsia="Times New Roman" w:hAnsi="Arial" w:cs="Arial"/>
                <w:color w:val="000000" w:themeColor="text1"/>
                <w:lang w:eastAsia="en-GB"/>
              </w:rPr>
              <w:t xml:space="preserve">performance </w:t>
            </w:r>
            <w:r w:rsidR="000A08AC" w:rsidRPr="000A08AC">
              <w:rPr>
                <w:rFonts w:ascii="Arial" w:eastAsia="Times New Roman" w:hAnsi="Arial" w:cs="Arial"/>
                <w:color w:val="000000" w:themeColor="text1"/>
                <w:lang w:eastAsia="en-GB"/>
              </w:rPr>
              <w:t>of 96% in Quarter 1</w:t>
            </w:r>
            <w:r w:rsidR="00991784" w:rsidRPr="000A08AC">
              <w:rPr>
                <w:rFonts w:ascii="Arial" w:eastAsia="Times New Roman" w:hAnsi="Arial" w:cs="Arial"/>
                <w:color w:val="000000" w:themeColor="text1"/>
                <w:lang w:eastAsia="en-GB"/>
              </w:rPr>
              <w:t xml:space="preserve"> 202</w:t>
            </w:r>
            <w:r w:rsidR="000A08AC" w:rsidRPr="000A08AC">
              <w:rPr>
                <w:rFonts w:ascii="Arial" w:eastAsia="Times New Roman" w:hAnsi="Arial" w:cs="Arial"/>
                <w:color w:val="000000" w:themeColor="text1"/>
                <w:lang w:eastAsia="en-GB"/>
              </w:rPr>
              <w:t>3</w:t>
            </w:r>
            <w:r w:rsidR="00A52E00" w:rsidRPr="000A08AC">
              <w:rPr>
                <w:rFonts w:ascii="Arial" w:eastAsia="Times New Roman" w:hAnsi="Arial" w:cs="Arial"/>
                <w:color w:val="000000" w:themeColor="text1"/>
                <w:lang w:eastAsia="en-GB"/>
              </w:rPr>
              <w:t>-</w:t>
            </w:r>
            <w:r w:rsidR="00991784" w:rsidRPr="000A08AC">
              <w:rPr>
                <w:rFonts w:ascii="Arial" w:eastAsia="Times New Roman" w:hAnsi="Arial" w:cs="Arial"/>
                <w:color w:val="000000" w:themeColor="text1"/>
                <w:lang w:eastAsia="en-GB"/>
              </w:rPr>
              <w:t>2</w:t>
            </w:r>
            <w:r w:rsidR="000A08AC" w:rsidRPr="000A08AC">
              <w:rPr>
                <w:rFonts w:ascii="Arial" w:eastAsia="Times New Roman" w:hAnsi="Arial" w:cs="Arial"/>
                <w:color w:val="000000" w:themeColor="text1"/>
                <w:lang w:eastAsia="en-GB"/>
              </w:rPr>
              <w:t>4</w:t>
            </w:r>
            <w:r w:rsidR="00991784" w:rsidRPr="000A08AC">
              <w:rPr>
                <w:rFonts w:ascii="Arial" w:eastAsia="Times New Roman" w:hAnsi="Arial" w:cs="Arial"/>
                <w:color w:val="000000" w:themeColor="text1"/>
                <w:lang w:eastAsia="en-GB"/>
              </w:rPr>
              <w:t>.</w:t>
            </w:r>
          </w:p>
        </w:tc>
      </w:tr>
      <w:tr w:rsidR="00970157" w14:paraId="7513092F" w14:textId="77777777" w:rsidTr="00B8AFBC">
        <w:trPr>
          <w:trHeight w:val="405"/>
        </w:trPr>
        <w:tc>
          <w:tcPr>
            <w:tcW w:w="15388" w:type="dxa"/>
            <w:gridSpan w:val="2"/>
            <w:shd w:val="clear" w:color="auto" w:fill="5EAA41"/>
          </w:tcPr>
          <w:p w14:paraId="41C67213" w14:textId="77777777" w:rsidR="00B0379D" w:rsidRPr="00445ACE" w:rsidRDefault="00E75E6D" w:rsidP="00B0379D">
            <w:pPr>
              <w:spacing w:after="120"/>
              <w:jc w:val="both"/>
              <w:rPr>
                <w:rFonts w:ascii="Arial" w:hAnsi="Arial" w:cs="Arial"/>
              </w:rPr>
            </w:pPr>
            <w:r w:rsidRPr="00896DF5">
              <w:rPr>
                <w:rFonts w:ascii="Arial" w:hAnsi="Arial" w:cs="Arial"/>
                <w:b/>
                <w:bCs/>
                <w:color w:val="FFFFFF" w:themeColor="background1"/>
              </w:rPr>
              <w:t>Action for Improvement</w:t>
            </w:r>
          </w:p>
        </w:tc>
      </w:tr>
      <w:tr w:rsidR="00970157" w14:paraId="319D9C6B" w14:textId="77777777" w:rsidTr="00B8AFBC">
        <w:tc>
          <w:tcPr>
            <w:tcW w:w="15388" w:type="dxa"/>
            <w:gridSpan w:val="2"/>
          </w:tcPr>
          <w:p w14:paraId="588CEE44" w14:textId="7B2BD670" w:rsidR="00B17D23" w:rsidRPr="003A2399" w:rsidRDefault="004A3E55" w:rsidP="00125F87">
            <w:pPr>
              <w:pStyle w:val="ListParagraph"/>
              <w:numPr>
                <w:ilvl w:val="0"/>
                <w:numId w:val="33"/>
              </w:numPr>
              <w:spacing w:before="80" w:after="120"/>
              <w:ind w:left="714" w:hanging="357"/>
              <w:contextualSpacing w:val="0"/>
              <w:jc w:val="both"/>
              <w:rPr>
                <w:rFonts w:ascii="Arial" w:eastAsia="Arial" w:hAnsi="Arial" w:cs="Arial"/>
              </w:rPr>
            </w:pPr>
            <w:r w:rsidRPr="004A3E55">
              <w:rPr>
                <w:rFonts w:ascii="Arial" w:eastAsia="Arial" w:hAnsi="Arial" w:cs="Arial"/>
                <w:b/>
                <w:bCs/>
              </w:rPr>
              <w:t xml:space="preserve">ENV-007 / 008 </w:t>
            </w:r>
            <w:r>
              <w:rPr>
                <w:rFonts w:ascii="Arial" w:eastAsia="Arial" w:hAnsi="Arial" w:cs="Arial"/>
              </w:rPr>
              <w:t xml:space="preserve">- </w:t>
            </w:r>
            <w:r w:rsidR="00185D99">
              <w:rPr>
                <w:rFonts w:ascii="Arial" w:eastAsia="Arial" w:hAnsi="Arial" w:cs="Arial"/>
              </w:rPr>
              <w:t>Indicators under the outcome will continue to be closely monitored</w:t>
            </w:r>
            <w:r w:rsidR="002E3371">
              <w:rPr>
                <w:rFonts w:ascii="Arial" w:eastAsia="Arial" w:hAnsi="Arial" w:cs="Arial"/>
              </w:rPr>
              <w:t xml:space="preserve"> and action taken accordingly</w:t>
            </w:r>
            <w:r w:rsidR="00185D99">
              <w:rPr>
                <w:rFonts w:ascii="Arial" w:eastAsia="Arial" w:hAnsi="Arial" w:cs="Arial"/>
              </w:rPr>
              <w:t xml:space="preserve"> </w:t>
            </w:r>
            <w:r w:rsidR="00533DE0">
              <w:rPr>
                <w:rFonts w:ascii="Arial" w:eastAsia="Arial" w:hAnsi="Arial" w:cs="Arial"/>
              </w:rPr>
              <w:t xml:space="preserve">to ensure they </w:t>
            </w:r>
            <w:r w:rsidR="00F63665">
              <w:rPr>
                <w:rFonts w:ascii="Arial" w:eastAsia="Arial" w:hAnsi="Arial" w:cs="Arial"/>
              </w:rPr>
              <w:t>continue to perform better than target.</w:t>
            </w:r>
          </w:p>
        </w:tc>
      </w:tr>
    </w:tbl>
    <w:p w14:paraId="1C22E1BF" w14:textId="47E480DD" w:rsidR="00B0379D" w:rsidRPr="00D23B44" w:rsidRDefault="00E75E6D" w:rsidP="00B0379D">
      <w:pPr>
        <w:pStyle w:val="ListBullet"/>
        <w:numPr>
          <w:ilvl w:val="0"/>
          <w:numId w:val="0"/>
        </w:numPr>
        <w:spacing w:before="240" w:after="120" w:line="240" w:lineRule="auto"/>
        <w:contextualSpacing w:val="0"/>
        <w:rPr>
          <w:rStyle w:val="normaltextrun"/>
          <w:rFonts w:ascii="Arial" w:hAnsi="Arial" w:cs="Arial"/>
          <w:b/>
          <w:color w:val="5EAA41"/>
          <w:sz w:val="32"/>
          <w:szCs w:val="32"/>
        </w:rPr>
      </w:pPr>
      <w:r w:rsidRPr="00D23B44">
        <w:rPr>
          <w:rStyle w:val="normaltextrun"/>
          <w:rFonts w:ascii="Arial" w:hAnsi="Arial" w:cs="Arial"/>
          <w:b/>
          <w:color w:val="5EAA41"/>
          <w:sz w:val="32"/>
          <w:szCs w:val="32"/>
        </w:rPr>
        <w:t>Outcome – Our spirit and identity are celebrated through our heritage, arts, and culture</w:t>
      </w:r>
    </w:p>
    <w:tbl>
      <w:tblPr>
        <w:tblStyle w:val="TableGrid"/>
        <w:tblW w:w="0" w:type="auto"/>
        <w:tblBorders>
          <w:top w:val="single" w:sz="4" w:space="0" w:color="5EAA41"/>
          <w:left w:val="single" w:sz="4" w:space="0" w:color="5EAA41"/>
          <w:bottom w:val="single" w:sz="4" w:space="0" w:color="5EAA41"/>
          <w:right w:val="single" w:sz="4" w:space="0" w:color="5EAA41"/>
          <w:insideH w:val="single" w:sz="4" w:space="0" w:color="5EAA41"/>
          <w:insideV w:val="single" w:sz="4" w:space="0" w:color="5EAA41"/>
        </w:tblBorders>
        <w:tblLook w:val="04A0" w:firstRow="1" w:lastRow="0" w:firstColumn="1" w:lastColumn="0" w:noHBand="0" w:noVBand="1"/>
      </w:tblPr>
      <w:tblGrid>
        <w:gridCol w:w="8359"/>
        <w:gridCol w:w="7029"/>
      </w:tblGrid>
      <w:tr w:rsidR="00970157" w14:paraId="6303BF47" w14:textId="77777777" w:rsidTr="4659B5D7">
        <w:tc>
          <w:tcPr>
            <w:tcW w:w="8359" w:type="dxa"/>
            <w:shd w:val="clear" w:color="auto" w:fill="5EAA41"/>
          </w:tcPr>
          <w:p w14:paraId="013B2273"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5EAA41"/>
          </w:tcPr>
          <w:p w14:paraId="54A542E2" w14:textId="77777777" w:rsidR="00B0379D" w:rsidRPr="00896DF5" w:rsidRDefault="00B0379D" w:rsidP="00B0379D">
            <w:pPr>
              <w:spacing w:after="120"/>
              <w:jc w:val="both"/>
              <w:rPr>
                <w:rFonts w:ascii="Arial" w:hAnsi="Arial" w:cs="Arial"/>
                <w:b/>
                <w:bCs/>
                <w:color w:val="FFFFFF" w:themeColor="background1"/>
              </w:rPr>
            </w:pPr>
          </w:p>
        </w:tc>
      </w:tr>
      <w:tr w:rsidR="00970157" w14:paraId="510C0AAC" w14:textId="77777777" w:rsidTr="4659B5D7">
        <w:tc>
          <w:tcPr>
            <w:tcW w:w="15388" w:type="dxa"/>
            <w:gridSpan w:val="2"/>
          </w:tcPr>
          <w:p w14:paraId="7DFBDAED" w14:textId="77777777" w:rsidR="00031528" w:rsidRPr="000F3775" w:rsidRDefault="00031528" w:rsidP="00031528">
            <w:pPr>
              <w:pStyle w:val="ListParagraph"/>
              <w:numPr>
                <w:ilvl w:val="0"/>
                <w:numId w:val="5"/>
              </w:numPr>
              <w:spacing w:before="120" w:after="120"/>
              <w:contextualSpacing w:val="0"/>
              <w:rPr>
                <w:rStyle w:val="normaltextrun"/>
                <w:rFonts w:ascii="Arial" w:eastAsiaTheme="minorEastAsia" w:hAnsi="Arial" w:cs="Arial"/>
              </w:rPr>
            </w:pPr>
            <w:r w:rsidRPr="00453FA2">
              <w:rPr>
                <w:rFonts w:ascii="Arial" w:eastAsiaTheme="minorEastAsia" w:hAnsi="Arial" w:cs="Arial"/>
                <w:b/>
                <w:bCs/>
              </w:rPr>
              <w:t>CC-001</w:t>
            </w:r>
            <w:r w:rsidRPr="00453FA2">
              <w:rPr>
                <w:rFonts w:ascii="Arial" w:eastAsiaTheme="minorEastAsia" w:hAnsi="Arial" w:cs="Arial"/>
              </w:rPr>
              <w:t xml:space="preserve"> - </w:t>
            </w:r>
            <w:r w:rsidRPr="00453FA2">
              <w:rPr>
                <w:rStyle w:val="normaltextrun"/>
                <w:rFonts w:ascii="Arial" w:eastAsiaTheme="minorEastAsia" w:hAnsi="Arial" w:cs="Arial"/>
              </w:rPr>
              <w:t xml:space="preserve">Visits to libraries at the end of Quarter 1 2024-25 have exceeded target, which was set to reflect the impact of the proposed library strategy on performance. </w:t>
            </w:r>
            <w:r w:rsidRPr="00453FA2">
              <w:rPr>
                <w:rFonts w:ascii="Arial" w:hAnsi="Arial" w:cs="Arial"/>
              </w:rPr>
              <w:t xml:space="preserve">Following the implementation of the Library Strategy, all libraries in the borough have seen an increase in visits and loans in comparison to the same period last year, with the biggest increases in visits at Thatto Heath Library (+46.3), St Helens Library (+34.4%), Moss Bank Library (+33.7%) and Newton-le-Willows Library (+32.5%). Physical visits overall have decreased by 9.6% in total compared to Quarter 1 last year following library closures in January, however this is offset by an increase in digital activity, where loans have increased by 122%, owing to the promotion of this alternative provision across the borough as part of both the Outreach and Digital programmes. There have also been 1,876 attendances to Outreach activities in community venues during the period, which improve community well-being by making library services </w:t>
            </w:r>
            <w:r w:rsidRPr="000F3775">
              <w:rPr>
                <w:rFonts w:ascii="Arial" w:hAnsi="Arial" w:cs="Arial"/>
              </w:rPr>
              <w:t>accessible to all.</w:t>
            </w:r>
          </w:p>
          <w:p w14:paraId="420AB95F" w14:textId="77777777" w:rsidR="00031528" w:rsidRPr="00783739" w:rsidRDefault="00031528" w:rsidP="00031528">
            <w:pPr>
              <w:pStyle w:val="ListParagraph"/>
              <w:numPr>
                <w:ilvl w:val="0"/>
                <w:numId w:val="5"/>
              </w:numPr>
              <w:spacing w:before="120" w:after="120"/>
              <w:contextualSpacing w:val="0"/>
              <w:rPr>
                <w:rStyle w:val="normaltextrun"/>
                <w:rFonts w:ascii="Arial" w:eastAsiaTheme="minorEastAsia" w:hAnsi="Arial" w:cs="Arial"/>
              </w:rPr>
            </w:pPr>
            <w:r w:rsidRPr="000F3775">
              <w:rPr>
                <w:rFonts w:ascii="Arial" w:eastAsiaTheme="minorEastAsia" w:hAnsi="Arial" w:cs="Arial"/>
                <w:b/>
                <w:bCs/>
              </w:rPr>
              <w:t>CC-002</w:t>
            </w:r>
            <w:r w:rsidRPr="000F3775">
              <w:rPr>
                <w:rFonts w:ascii="Arial" w:eastAsiaTheme="minorEastAsia" w:hAnsi="Arial" w:cs="Arial"/>
              </w:rPr>
              <w:t xml:space="preserve"> - </w:t>
            </w:r>
            <w:r w:rsidRPr="000F3775">
              <w:rPr>
                <w:rStyle w:val="normaltextrun"/>
                <w:rFonts w:ascii="Arial" w:hAnsi="Arial" w:cs="Arial"/>
              </w:rPr>
              <w:t>Leisure centre attendances over the course of Quarter 1 202</w:t>
            </w:r>
            <w:r>
              <w:rPr>
                <w:rStyle w:val="normaltextrun"/>
                <w:rFonts w:ascii="Arial" w:hAnsi="Arial" w:cs="Arial"/>
              </w:rPr>
              <w:t>4</w:t>
            </w:r>
            <w:r w:rsidRPr="000F3775">
              <w:rPr>
                <w:rStyle w:val="normaltextrun"/>
                <w:rFonts w:ascii="Arial" w:hAnsi="Arial" w:cs="Arial"/>
              </w:rPr>
              <w:t>-2</w:t>
            </w:r>
            <w:r>
              <w:rPr>
                <w:rStyle w:val="normaltextrun"/>
                <w:rFonts w:ascii="Arial" w:hAnsi="Arial" w:cs="Arial"/>
              </w:rPr>
              <w:t>5</w:t>
            </w:r>
            <w:r w:rsidRPr="000F3775">
              <w:rPr>
                <w:rStyle w:val="normaltextrun"/>
                <w:rFonts w:ascii="Arial" w:hAnsi="Arial" w:cs="Arial"/>
              </w:rPr>
              <w:t xml:space="preserve"> whilst slightly down on target (-2.3%) </w:t>
            </w:r>
            <w:r w:rsidRPr="000F3775">
              <w:rPr>
                <w:rFonts w:ascii="Arial" w:hAnsi="Arial" w:cs="Arial"/>
              </w:rPr>
              <w:t xml:space="preserve">the actual number of attendances over the period is still 4.2% higher than the corresponding period in 2023-24 which is reflective of seasonal swings. All sites remain very busy which </w:t>
            </w:r>
            <w:r w:rsidRPr="00783739">
              <w:rPr>
                <w:rFonts w:ascii="Arial" w:hAnsi="Arial" w:cs="Arial"/>
              </w:rPr>
              <w:t>is also reflected in membership and revenue levels.</w:t>
            </w:r>
            <w:r w:rsidRPr="00783739">
              <w:rPr>
                <w:rStyle w:val="normaltextrun"/>
                <w:rFonts w:ascii="Arial" w:hAnsi="Arial" w:cs="Arial"/>
              </w:rPr>
              <w:t xml:space="preserve">                                                                          </w:t>
            </w:r>
          </w:p>
          <w:p w14:paraId="30765458" w14:textId="4DFB6F8E" w:rsidR="00031528" w:rsidRPr="002875DC" w:rsidRDefault="00031528" w:rsidP="4CBE3EC7">
            <w:pPr>
              <w:pStyle w:val="ListParagraph"/>
              <w:numPr>
                <w:ilvl w:val="0"/>
                <w:numId w:val="5"/>
              </w:numPr>
              <w:spacing w:before="120" w:after="120"/>
              <w:rPr>
                <w:rFonts w:ascii="Arial" w:eastAsiaTheme="minorEastAsia" w:hAnsi="Arial" w:cs="Arial"/>
              </w:rPr>
            </w:pPr>
            <w:r w:rsidRPr="00783739">
              <w:rPr>
                <w:rFonts w:ascii="Arial" w:hAnsi="Arial" w:cs="Arial"/>
                <w:b/>
                <w:bCs/>
              </w:rPr>
              <w:t xml:space="preserve">CC-003 </w:t>
            </w:r>
            <w:r w:rsidRPr="00783739">
              <w:rPr>
                <w:rFonts w:ascii="Arial" w:hAnsi="Arial" w:cs="Arial"/>
              </w:rPr>
              <w:t xml:space="preserve">- Over the course of Quarter 1 2024-25, there was a total of 11,089 attendances at library, arts and cultural events supported by St Helens Library and Arts Services, </w:t>
            </w:r>
            <w:r w:rsidR="65CA34EB" w:rsidRPr="4CBE3EC7">
              <w:rPr>
                <w:rFonts w:ascii="Arial" w:hAnsi="Arial" w:cs="Arial"/>
              </w:rPr>
              <w:t>this</w:t>
            </w:r>
            <w:r w:rsidRPr="00783739">
              <w:rPr>
                <w:rFonts w:ascii="Arial" w:hAnsi="Arial" w:cs="Arial"/>
              </w:rPr>
              <w:t xml:space="preserve"> is above the quarter’s target of 8,750 and higher than attendances in the corresponding period of the previous year.  This period has seen the launch of the Outreach Programme in community venues across the borough, which seeks to improve community well-being by making library services accessible to all has been particularly successful with 1,876 attendances since April 2024. Highlights of events in libraries include the first in a series of author visits for the Northern Bookshelf Live project, the Spring Cabaret Spectacular (Arts in Libraries NPO programme), and Open Mic afternoon for Refugee Week at St Helens Library (The World of Glass). There were also over 800 in attendance to the St Helens Heritage Festival in May, which saw over 30 exhibitors promote their heritage activity in the borough. Promotion is underway in schools to increase participation in the Summer Reading Challenge which launches 6th July.</w:t>
            </w:r>
          </w:p>
          <w:p w14:paraId="74969CD8" w14:textId="0DC860D0" w:rsidR="007108D3" w:rsidRPr="00031528" w:rsidRDefault="00031528" w:rsidP="00031528">
            <w:pPr>
              <w:pStyle w:val="ListParagraph"/>
              <w:numPr>
                <w:ilvl w:val="0"/>
                <w:numId w:val="5"/>
              </w:numPr>
              <w:spacing w:before="120" w:after="120"/>
              <w:contextualSpacing w:val="0"/>
              <w:rPr>
                <w:rStyle w:val="normaltextrun"/>
                <w:rFonts w:ascii="Arial" w:eastAsiaTheme="minorEastAsia" w:hAnsi="Arial" w:cs="Arial"/>
              </w:rPr>
            </w:pPr>
            <w:r w:rsidRPr="002875DC">
              <w:rPr>
                <w:rFonts w:ascii="Arial" w:hAnsi="Arial" w:cs="Arial"/>
                <w:b/>
                <w:bCs/>
              </w:rPr>
              <w:t>CC-005</w:t>
            </w:r>
            <w:r>
              <w:rPr>
                <w:rFonts w:ascii="Arial" w:hAnsi="Arial" w:cs="Arial"/>
                <w:b/>
                <w:bCs/>
              </w:rPr>
              <w:t xml:space="preserve"> / CC-006</w:t>
            </w:r>
            <w:r w:rsidRPr="002875DC">
              <w:rPr>
                <w:rFonts w:ascii="Arial" w:hAnsi="Arial" w:cs="Arial"/>
              </w:rPr>
              <w:t xml:space="preserve"> -</w:t>
            </w:r>
            <w:r w:rsidRPr="002875DC">
              <w:rPr>
                <w:rFonts w:ascii="Arial" w:hAnsi="Arial" w:cs="Arial"/>
                <w:b/>
                <w:bCs/>
              </w:rPr>
              <w:t xml:space="preserve"> </w:t>
            </w:r>
            <w:r w:rsidRPr="002875DC">
              <w:rPr>
                <w:rFonts w:ascii="Arial" w:hAnsi="Arial" w:cs="Arial"/>
              </w:rPr>
              <w:t>Over the course of Quarter 1 202</w:t>
            </w:r>
            <w:r>
              <w:rPr>
                <w:rFonts w:ascii="Arial" w:hAnsi="Arial" w:cs="Arial"/>
              </w:rPr>
              <w:t>4</w:t>
            </w:r>
            <w:r w:rsidRPr="002875DC">
              <w:rPr>
                <w:rFonts w:ascii="Arial" w:hAnsi="Arial" w:cs="Arial"/>
              </w:rPr>
              <w:t>-2</w:t>
            </w:r>
            <w:r>
              <w:rPr>
                <w:rFonts w:ascii="Arial" w:hAnsi="Arial" w:cs="Arial"/>
              </w:rPr>
              <w:t>5</w:t>
            </w:r>
            <w:r w:rsidRPr="002875DC">
              <w:rPr>
                <w:rFonts w:ascii="Arial" w:hAnsi="Arial" w:cs="Arial"/>
              </w:rPr>
              <w:t>, there was a total of 77,831 physical items borrowed from St Helens’ libraries and a total of 35,286 virtual items borrowed ensuring that both indicators ended the period significantly above target.  Following the implementation of the Library Strategy, physical items borrowed decreased by 5.1% between Quarter 1 2024-25 and the corresponding period in the previous year. However, this has been offset by an increase in digital activity, where loans have increased by 122% between Quarter 1 2024-25 and the corresponding period in the previous year, owing to the promotion of this alternative provision across the borough as part of both the Outreach and Digital programmes. The total number of physical and digital loans over the course of Quarter 1 2024-25 amounted to 113,117 items, compared to 97,847 items in the corresponding period in the previous year, an increase of 16%.</w:t>
            </w:r>
            <w:r w:rsidRPr="00FC355E">
              <w:rPr>
                <w:rFonts w:ascii="Arial" w:hAnsi="Arial" w:cs="Arial"/>
              </w:rPr>
              <w:t xml:space="preserve"> </w:t>
            </w:r>
          </w:p>
        </w:tc>
      </w:tr>
      <w:tr w:rsidR="00970157" w14:paraId="2E80C9CB" w14:textId="77777777" w:rsidTr="4659B5D7">
        <w:tc>
          <w:tcPr>
            <w:tcW w:w="15388" w:type="dxa"/>
            <w:gridSpan w:val="2"/>
            <w:shd w:val="clear" w:color="auto" w:fill="5EAA41"/>
          </w:tcPr>
          <w:p w14:paraId="56023A3B" w14:textId="77777777" w:rsidR="00B0379D" w:rsidRDefault="00E75E6D" w:rsidP="00B0379D">
            <w:pPr>
              <w:spacing w:after="120"/>
              <w:jc w:val="both"/>
              <w:rPr>
                <w:rFonts w:ascii="Arial" w:hAnsi="Arial" w:cs="Arial"/>
              </w:rPr>
            </w:pPr>
            <w:r w:rsidRPr="00896DF5">
              <w:rPr>
                <w:rFonts w:ascii="Arial" w:hAnsi="Arial" w:cs="Arial"/>
                <w:b/>
                <w:bCs/>
                <w:color w:val="FFFFFF" w:themeColor="background1"/>
              </w:rPr>
              <w:t>Action for Improvement</w:t>
            </w:r>
          </w:p>
        </w:tc>
      </w:tr>
      <w:tr w:rsidR="00970157" w14:paraId="144FC18B" w14:textId="77777777" w:rsidTr="00C44368">
        <w:trPr>
          <w:trHeight w:val="955"/>
        </w:trPr>
        <w:tc>
          <w:tcPr>
            <w:tcW w:w="15388" w:type="dxa"/>
            <w:gridSpan w:val="2"/>
          </w:tcPr>
          <w:p w14:paraId="426E1606" w14:textId="73A821D2" w:rsidR="00B0379D" w:rsidRPr="00C44368" w:rsidRDefault="00BF20F9" w:rsidP="00C44368">
            <w:pPr>
              <w:pStyle w:val="ListParagraph"/>
              <w:numPr>
                <w:ilvl w:val="0"/>
                <w:numId w:val="30"/>
              </w:numPr>
              <w:spacing w:before="80" w:after="120"/>
              <w:ind w:left="714" w:hanging="357"/>
              <w:contextualSpacing w:val="0"/>
              <w:jc w:val="both"/>
              <w:rPr>
                <w:rFonts w:ascii="Arial" w:eastAsia="Arial" w:hAnsi="Arial" w:cs="Arial"/>
              </w:rPr>
            </w:pPr>
            <w:r>
              <w:rPr>
                <w:rFonts w:ascii="Arial" w:eastAsia="Arial" w:hAnsi="Arial" w:cs="Arial"/>
              </w:rPr>
              <w:t xml:space="preserve">The close monitoring of libraries and leisure data will continue over the </w:t>
            </w:r>
            <w:r w:rsidR="00D35C19">
              <w:rPr>
                <w:rFonts w:ascii="Arial" w:eastAsia="Arial" w:hAnsi="Arial" w:cs="Arial"/>
              </w:rPr>
              <w:t xml:space="preserve">remainder of the year and action taken where necessary to ensure targets </w:t>
            </w:r>
            <w:r w:rsidR="00C44368">
              <w:rPr>
                <w:rFonts w:ascii="Arial" w:eastAsia="Arial" w:hAnsi="Arial" w:cs="Arial"/>
              </w:rPr>
              <w:t>continue to be met. A review of council leisure service provision within the borough is ongoing.</w:t>
            </w:r>
          </w:p>
        </w:tc>
      </w:tr>
    </w:tbl>
    <w:p w14:paraId="52C0B169" w14:textId="77777777" w:rsidR="00B0379D" w:rsidRDefault="00B0379D" w:rsidP="00B0379D">
      <w:pPr>
        <w:spacing w:after="120" w:line="240" w:lineRule="auto"/>
        <w:jc w:val="both"/>
        <w:rPr>
          <w:rFonts w:ascii="Arial" w:hAnsi="Arial" w:cs="Arial"/>
        </w:rPr>
      </w:pPr>
    </w:p>
    <w:p w14:paraId="4562E0A9" w14:textId="77777777" w:rsidR="00B0379D" w:rsidRPr="006F5A8E" w:rsidRDefault="00E75E6D" w:rsidP="00B0379D">
      <w:pPr>
        <w:spacing w:after="120" w:line="240" w:lineRule="auto"/>
        <w:jc w:val="both"/>
        <w:rPr>
          <w:rFonts w:ascii="Arial" w:hAnsi="Arial" w:cs="Arial"/>
        </w:rPr>
      </w:pPr>
      <w:r>
        <w:rPr>
          <w:rFonts w:ascii="Arial" w:hAnsi="Arial" w:cs="Arial"/>
        </w:rPr>
        <w:t>For more information about individual performance indicators that support the achievement of these outcomes please see the scorecard.</w:t>
      </w:r>
    </w:p>
    <w:p w14:paraId="7D519339" w14:textId="77777777" w:rsidR="00B0379D" w:rsidRPr="00810665" w:rsidRDefault="00B0379D">
      <w:pPr>
        <w:rPr>
          <w:rStyle w:val="eop"/>
          <w:rFonts w:ascii="Arial" w:hAnsi="Arial" w:cs="Arial"/>
          <w:b/>
          <w:bCs/>
          <w:color w:val="5EAA41"/>
        </w:rPr>
        <w:sectPr w:rsidR="00B0379D" w:rsidRPr="00810665" w:rsidSect="00EC2ED3">
          <w:pgSz w:w="16838" w:h="11906" w:orient="landscape"/>
          <w:pgMar w:top="720" w:right="720" w:bottom="720" w:left="720" w:header="708" w:footer="708" w:gutter="0"/>
          <w:cols w:space="708"/>
          <w:docGrid w:linePitch="360"/>
        </w:sectPr>
      </w:pPr>
    </w:p>
    <w:p w14:paraId="3D89FE20" w14:textId="0D8A216D" w:rsidR="00B0379D" w:rsidRDefault="007511D3" w:rsidP="00B0379D">
      <w:pPr>
        <w:spacing w:after="0" w:line="240" w:lineRule="auto"/>
        <w:rPr>
          <w:rStyle w:val="eop"/>
          <w:rFonts w:ascii="Arial" w:eastAsia="Times New Roman" w:hAnsi="Arial" w:cs="Arial"/>
          <w:lang w:eastAsia="en-GB"/>
        </w:rPr>
      </w:pPr>
      <w:r>
        <w:rPr>
          <w:rStyle w:val="normaltextrun"/>
          <w:b/>
          <w:noProof/>
          <w:color w:val="C85348"/>
          <w:sz w:val="32"/>
          <w:szCs w:val="32"/>
        </w:rPr>
        <w:drawing>
          <wp:anchor distT="0" distB="0" distL="114300" distR="114300" simplePos="0" relativeHeight="251658254" behindDoc="1" locked="0" layoutInCell="1" allowOverlap="1" wp14:anchorId="6B8EAE9A" wp14:editId="4ACA1241">
            <wp:simplePos x="0" y="0"/>
            <wp:positionH relativeFrom="column">
              <wp:posOffset>5360035</wp:posOffset>
            </wp:positionH>
            <wp:positionV relativeFrom="paragraph">
              <wp:posOffset>5715</wp:posOffset>
            </wp:positionV>
            <wp:extent cx="1068705" cy="1091938"/>
            <wp:effectExtent l="0" t="0" r="0" b="0"/>
            <wp:wrapTight wrapText="bothSides">
              <wp:wrapPolygon edited="0">
                <wp:start x="8471" y="0"/>
                <wp:lineTo x="3080" y="1885"/>
                <wp:lineTo x="1540" y="3770"/>
                <wp:lineTo x="2310" y="6031"/>
                <wp:lineTo x="0" y="8670"/>
                <wp:lineTo x="0" y="11686"/>
                <wp:lineTo x="2310" y="18094"/>
                <wp:lineTo x="9626" y="21110"/>
                <wp:lineTo x="10011" y="21110"/>
                <wp:lineTo x="12321" y="21110"/>
                <wp:lineTo x="21176" y="14325"/>
                <wp:lineTo x="21176" y="12440"/>
                <wp:lineTo x="19251" y="12063"/>
                <wp:lineTo x="21176" y="7539"/>
                <wp:lineTo x="21176" y="3393"/>
                <wp:lineTo x="12706" y="0"/>
                <wp:lineTo x="8471" y="0"/>
              </wp:wrapPolygon>
            </wp:wrapTight>
            <wp:docPr id="5" name="Picture 90" descr="P20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037#y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8705" cy="1091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6D462" w14:textId="71464449" w:rsidR="00B0379D" w:rsidRPr="006252E3" w:rsidRDefault="00E75E6D" w:rsidP="00B0379D">
      <w:pPr>
        <w:pStyle w:val="Heading2"/>
        <w:rPr>
          <w:b/>
          <w:color w:val="C85348"/>
          <w:sz w:val="32"/>
          <w:szCs w:val="32"/>
        </w:rPr>
      </w:pPr>
      <w:bookmarkStart w:id="21" w:name="_Toc174698103"/>
      <w:r w:rsidRPr="006252E3">
        <w:rPr>
          <w:rStyle w:val="normaltextrun"/>
          <w:b/>
          <w:color w:val="C85348"/>
          <w:sz w:val="32"/>
          <w:szCs w:val="32"/>
        </w:rPr>
        <w:t xml:space="preserve">Priority 6 - Be a responsible </w:t>
      </w:r>
      <w:r>
        <w:rPr>
          <w:rStyle w:val="normaltextrun"/>
          <w:b/>
          <w:color w:val="C85348"/>
          <w:sz w:val="32"/>
          <w:szCs w:val="32"/>
        </w:rPr>
        <w:t>c</w:t>
      </w:r>
      <w:r w:rsidRPr="006252E3">
        <w:rPr>
          <w:rStyle w:val="normaltextrun"/>
          <w:b/>
          <w:color w:val="C85348"/>
          <w:sz w:val="32"/>
          <w:szCs w:val="32"/>
        </w:rPr>
        <w:t>ouncil</w:t>
      </w:r>
      <w:bookmarkEnd w:id="21"/>
      <w:r w:rsidRPr="006252E3">
        <w:rPr>
          <w:rStyle w:val="eop"/>
          <w:b/>
          <w:color w:val="C85348"/>
          <w:sz w:val="32"/>
          <w:szCs w:val="32"/>
        </w:rPr>
        <w:t> </w:t>
      </w:r>
    </w:p>
    <w:p w14:paraId="3F6EADBC" w14:textId="53D71DBF" w:rsidR="00B0379D" w:rsidRPr="00101D24" w:rsidRDefault="00E75E6D" w:rsidP="00B0379D">
      <w:pPr>
        <w:pStyle w:val="paragraph"/>
        <w:spacing w:before="0" w:beforeAutospacing="0" w:after="0" w:afterAutospacing="0"/>
        <w:textAlignment w:val="baseline"/>
        <w:rPr>
          <w:rFonts w:ascii="Arial" w:hAnsi="Arial" w:cs="Arial"/>
        </w:rPr>
      </w:pPr>
      <w:r w:rsidRPr="00101D24">
        <w:rPr>
          <w:rStyle w:val="eop"/>
          <w:rFonts w:ascii="Calibri" w:hAnsi="Calibri" w:cs="Calibri"/>
        </w:rPr>
        <w:t> </w:t>
      </w:r>
    </w:p>
    <w:p w14:paraId="020752F2" w14:textId="77777777" w:rsidR="007511D3" w:rsidRDefault="007511D3" w:rsidP="00B0379D">
      <w:pPr>
        <w:pStyle w:val="paragraph"/>
        <w:spacing w:before="0" w:beforeAutospacing="0" w:after="0" w:afterAutospacing="0"/>
        <w:textAlignment w:val="baseline"/>
        <w:rPr>
          <w:rStyle w:val="normaltextrun"/>
          <w:rFonts w:ascii="Arial" w:hAnsi="Arial" w:cs="Arial"/>
          <w:b/>
          <w:color w:val="C85348"/>
        </w:rPr>
      </w:pPr>
    </w:p>
    <w:p w14:paraId="140BE223" w14:textId="07311BE2" w:rsidR="00B0379D" w:rsidRPr="003A1CAD" w:rsidRDefault="00E75E6D" w:rsidP="00B0379D">
      <w:pPr>
        <w:pStyle w:val="paragraph"/>
        <w:spacing w:before="0" w:beforeAutospacing="0" w:after="0" w:afterAutospacing="0"/>
        <w:textAlignment w:val="baseline"/>
        <w:rPr>
          <w:rStyle w:val="normaltextrun"/>
          <w:rFonts w:ascii="Arial" w:hAnsi="Arial" w:cs="Arial"/>
          <w:b/>
          <w:color w:val="C85348"/>
        </w:rPr>
      </w:pPr>
      <w:r w:rsidRPr="003A1CAD">
        <w:rPr>
          <w:rStyle w:val="normaltextrun"/>
          <w:rFonts w:ascii="Arial" w:hAnsi="Arial" w:cs="Arial"/>
          <w:b/>
          <w:color w:val="C85348"/>
        </w:rPr>
        <w:t>Outcomes</w:t>
      </w:r>
    </w:p>
    <w:p w14:paraId="26EF0E37" w14:textId="77777777" w:rsidR="00B0379D" w:rsidRDefault="00E75E6D" w:rsidP="00B0379D">
      <w:pPr>
        <w:pStyle w:val="paragraph"/>
        <w:spacing w:before="0" w:beforeAutospacing="0" w:after="0" w:afterAutospacing="0"/>
        <w:textAlignment w:val="baseline"/>
        <w:rPr>
          <w:rFonts w:ascii="Arial" w:hAnsi="Arial" w:cs="Arial"/>
          <w:color w:val="2F5496"/>
          <w:sz w:val="22"/>
          <w:szCs w:val="22"/>
        </w:rPr>
      </w:pPr>
      <w:r w:rsidRPr="117BB052">
        <w:rPr>
          <w:rStyle w:val="eop"/>
          <w:rFonts w:ascii="Arial" w:hAnsi="Arial" w:cs="Arial"/>
          <w:color w:val="C25C5D"/>
          <w:sz w:val="26"/>
          <w:szCs w:val="26"/>
        </w:rPr>
        <w:t> </w:t>
      </w:r>
    </w:p>
    <w:p w14:paraId="3C0121FB" w14:textId="77777777" w:rsidR="00B0379D" w:rsidRDefault="00E75E6D" w:rsidP="00726825">
      <w:pPr>
        <w:pStyle w:val="paragraph"/>
        <w:numPr>
          <w:ilvl w:val="0"/>
          <w:numId w:val="20"/>
        </w:numPr>
        <w:spacing w:before="0" w:beforeAutospacing="0" w:after="120" w:afterAutospacing="0"/>
        <w:jc w:val="both"/>
        <w:rPr>
          <w:rFonts w:ascii="Arial" w:eastAsia="Arial" w:hAnsi="Arial" w:cs="Arial"/>
          <w:sz w:val="22"/>
          <w:szCs w:val="22"/>
        </w:rPr>
      </w:pPr>
      <w:r w:rsidRPr="4276CE28">
        <w:rPr>
          <w:rStyle w:val="eop"/>
          <w:rFonts w:ascii="Arial" w:eastAsia="Arial" w:hAnsi="Arial" w:cs="Arial"/>
          <w:sz w:val="22"/>
          <w:szCs w:val="22"/>
        </w:rPr>
        <w:t>Communicate, listen, engage, and work in partnership well with our residents, communities, local organisations, and partners recognising the strengths and skills in our community</w:t>
      </w:r>
    </w:p>
    <w:p w14:paraId="12817766" w14:textId="77777777" w:rsidR="00B0379D" w:rsidRDefault="00E75E6D" w:rsidP="00726825">
      <w:pPr>
        <w:pStyle w:val="paragraph"/>
        <w:numPr>
          <w:ilvl w:val="0"/>
          <w:numId w:val="20"/>
        </w:numPr>
        <w:spacing w:before="0" w:beforeAutospacing="0" w:after="120" w:afterAutospacing="0"/>
        <w:ind w:left="709" w:hanging="425"/>
        <w:jc w:val="both"/>
        <w:rPr>
          <w:rStyle w:val="normaltextrun"/>
          <w:rFonts w:ascii="Arial" w:eastAsia="Arial" w:hAnsi="Arial" w:cs="Arial"/>
          <w:sz w:val="22"/>
          <w:szCs w:val="22"/>
        </w:rPr>
      </w:pPr>
      <w:r w:rsidRPr="4276CE28">
        <w:rPr>
          <w:rStyle w:val="normaltextrun"/>
          <w:rFonts w:ascii="Arial" w:eastAsia="Arial" w:hAnsi="Arial" w:cs="Arial"/>
          <w:sz w:val="22"/>
          <w:szCs w:val="22"/>
        </w:rPr>
        <w:t>Invest in developing the strengths and skills of our workforce and elected members</w:t>
      </w:r>
    </w:p>
    <w:p w14:paraId="0BCE3609" w14:textId="77777777" w:rsidR="00B0379D" w:rsidRDefault="00E75E6D" w:rsidP="00726825">
      <w:pPr>
        <w:pStyle w:val="paragraph"/>
        <w:numPr>
          <w:ilvl w:val="0"/>
          <w:numId w:val="20"/>
        </w:numPr>
        <w:spacing w:before="0" w:beforeAutospacing="0" w:after="120" w:afterAutospacing="0"/>
        <w:ind w:left="709" w:hanging="425"/>
        <w:jc w:val="both"/>
        <w:rPr>
          <w:rStyle w:val="eop"/>
          <w:rFonts w:ascii="Arial" w:eastAsia="Arial" w:hAnsi="Arial" w:cs="Arial"/>
          <w:sz w:val="22"/>
          <w:szCs w:val="22"/>
        </w:rPr>
      </w:pPr>
      <w:r w:rsidRPr="4276CE28">
        <w:rPr>
          <w:rStyle w:val="eop"/>
          <w:rFonts w:ascii="Arial" w:eastAsia="Arial" w:hAnsi="Arial" w:cs="Arial"/>
          <w:sz w:val="22"/>
          <w:szCs w:val="22"/>
        </w:rPr>
        <w:t>Embrace innovative ways of working to improve service delivery and the operations of the council</w:t>
      </w:r>
    </w:p>
    <w:p w14:paraId="00FBB0AB" w14:textId="77777777" w:rsidR="00B0379D" w:rsidRDefault="00E75E6D" w:rsidP="00726825">
      <w:pPr>
        <w:pStyle w:val="paragraph"/>
        <w:numPr>
          <w:ilvl w:val="0"/>
          <w:numId w:val="20"/>
        </w:numPr>
        <w:spacing w:before="0" w:beforeAutospacing="0" w:after="120" w:afterAutospacing="0"/>
        <w:ind w:left="709" w:hanging="425"/>
        <w:jc w:val="both"/>
        <w:rPr>
          <w:rFonts w:ascii="Arial" w:eastAsia="Arial" w:hAnsi="Arial" w:cs="Arial"/>
          <w:sz w:val="22"/>
          <w:szCs w:val="22"/>
        </w:rPr>
      </w:pPr>
      <w:r w:rsidRPr="4276CE28">
        <w:rPr>
          <w:rStyle w:val="eop"/>
          <w:rFonts w:ascii="Arial" w:eastAsia="Arial" w:hAnsi="Arial" w:cs="Arial"/>
          <w:sz w:val="22"/>
          <w:szCs w:val="22"/>
        </w:rPr>
        <w:t xml:space="preserve">Meet our community’s needs by delivering accessible and responsive services  </w:t>
      </w:r>
    </w:p>
    <w:p w14:paraId="52B548D7" w14:textId="77777777" w:rsidR="00B0379D" w:rsidRDefault="00E75E6D" w:rsidP="00726825">
      <w:pPr>
        <w:pStyle w:val="paragraph"/>
        <w:numPr>
          <w:ilvl w:val="0"/>
          <w:numId w:val="20"/>
        </w:numPr>
        <w:spacing w:before="0" w:beforeAutospacing="0" w:after="240" w:afterAutospacing="0"/>
        <w:ind w:left="709" w:hanging="425"/>
        <w:jc w:val="both"/>
        <w:rPr>
          <w:rFonts w:ascii="Arial" w:eastAsia="Arial" w:hAnsi="Arial" w:cs="Arial"/>
          <w:sz w:val="22"/>
          <w:szCs w:val="22"/>
        </w:rPr>
      </w:pPr>
      <w:r w:rsidRPr="4276CE28">
        <w:rPr>
          <w:rStyle w:val="eop"/>
          <w:rFonts w:ascii="Arial" w:eastAsia="Arial" w:hAnsi="Arial" w:cs="Arial"/>
          <w:sz w:val="22"/>
          <w:szCs w:val="22"/>
        </w:rPr>
        <w:t>Provide value for money and ensure we are financially resilient and sustainable</w:t>
      </w:r>
    </w:p>
    <w:p w14:paraId="0FB84D35" w14:textId="77777777" w:rsidR="00B0379D" w:rsidRPr="005F1AD5" w:rsidRDefault="00E75E6D" w:rsidP="00B0379D">
      <w:pPr>
        <w:pStyle w:val="ListBullet"/>
        <w:numPr>
          <w:ilvl w:val="0"/>
          <w:numId w:val="0"/>
        </w:numPr>
        <w:spacing w:after="240" w:line="240" w:lineRule="auto"/>
        <w:contextualSpacing w:val="0"/>
        <w:rPr>
          <w:rStyle w:val="normaltextrun"/>
          <w:rFonts w:ascii="Arial" w:hAnsi="Arial" w:cs="Arial"/>
          <w:b/>
          <w:bCs/>
          <w:color w:val="C85348"/>
          <w:sz w:val="24"/>
          <w:szCs w:val="24"/>
        </w:rPr>
      </w:pPr>
      <w:r w:rsidRPr="005F1AD5">
        <w:rPr>
          <w:rStyle w:val="normaltextrun"/>
          <w:rFonts w:ascii="Arial" w:hAnsi="Arial" w:cs="Arial"/>
          <w:b/>
          <w:bCs/>
          <w:color w:val="C85348"/>
          <w:sz w:val="24"/>
          <w:szCs w:val="24"/>
        </w:rPr>
        <w:t>Overview of priority performance</w:t>
      </w:r>
    </w:p>
    <w:p w14:paraId="2C7694D1" w14:textId="024DB4DF" w:rsidR="00B0379D" w:rsidRPr="00451AB5" w:rsidRDefault="00E75E6D" w:rsidP="00B0379D">
      <w:pPr>
        <w:spacing w:after="240" w:line="240" w:lineRule="auto"/>
        <w:jc w:val="both"/>
        <w:rPr>
          <w:rFonts w:ascii="Arial" w:hAnsi="Arial" w:cs="Arial"/>
        </w:rPr>
      </w:pPr>
      <w:r w:rsidRPr="00B8AFBC">
        <w:rPr>
          <w:rFonts w:ascii="Arial" w:hAnsi="Arial" w:cs="Arial"/>
        </w:rPr>
        <w:t xml:space="preserve">The tables below show provide an overview of performance at </w:t>
      </w:r>
      <w:r w:rsidR="008F0D3C" w:rsidRPr="00B8AFBC">
        <w:rPr>
          <w:rFonts w:ascii="Arial" w:hAnsi="Arial" w:cs="Arial"/>
        </w:rPr>
        <w:t>Q</w:t>
      </w:r>
      <w:r w:rsidR="000A3CFB">
        <w:rPr>
          <w:rFonts w:ascii="Arial" w:hAnsi="Arial" w:cs="Arial"/>
        </w:rPr>
        <w:t>uarter</w:t>
      </w:r>
      <w:r w:rsidR="008F0D3C" w:rsidRPr="00B8AFBC">
        <w:rPr>
          <w:rFonts w:ascii="Arial" w:hAnsi="Arial" w:cs="Arial"/>
        </w:rPr>
        <w:t>1 2023</w:t>
      </w:r>
      <w:r w:rsidR="006F6B04">
        <w:rPr>
          <w:rFonts w:ascii="Arial" w:hAnsi="Arial" w:cs="Arial"/>
        </w:rPr>
        <w:t>-</w:t>
      </w:r>
      <w:r w:rsidR="001752D7">
        <w:rPr>
          <w:rFonts w:ascii="Arial" w:hAnsi="Arial" w:cs="Arial"/>
        </w:rPr>
        <w:t>24</w:t>
      </w:r>
      <w:r w:rsidRPr="00B8AFBC">
        <w:rPr>
          <w:rFonts w:ascii="Arial" w:hAnsi="Arial" w:cs="Arial"/>
        </w:rPr>
        <w:t xml:space="preserve"> for the indicators reported.</w:t>
      </w:r>
    </w:p>
    <w:p w14:paraId="5C37CFFE" w14:textId="77777777" w:rsidR="00B0379D" w:rsidRPr="00E445A2" w:rsidRDefault="00E75E6D" w:rsidP="00B0379D">
      <w:pPr>
        <w:spacing w:after="240" w:line="240" w:lineRule="auto"/>
        <w:jc w:val="both"/>
        <w:rPr>
          <w:rFonts w:ascii="Arial" w:hAnsi="Arial" w:cs="Arial"/>
          <w:b/>
          <w:bCs/>
          <w:color w:val="C85348"/>
        </w:rPr>
      </w:pPr>
      <w:r w:rsidRPr="00E445A2">
        <w:rPr>
          <w:rFonts w:ascii="Arial" w:hAnsi="Arial" w:cs="Arial"/>
          <w:b/>
          <w:bCs/>
          <w:color w:val="C85348"/>
        </w:rPr>
        <w:t>Performance Against Target</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ayout w:type="fixed"/>
        <w:tblLook w:val="04A0" w:firstRow="1" w:lastRow="0" w:firstColumn="1" w:lastColumn="0" w:noHBand="0" w:noVBand="1"/>
      </w:tblPr>
      <w:tblGrid>
        <w:gridCol w:w="2122"/>
        <w:gridCol w:w="2551"/>
        <w:gridCol w:w="2552"/>
        <w:gridCol w:w="2551"/>
      </w:tblGrid>
      <w:tr w:rsidR="00970157" w14:paraId="23120D21" w14:textId="77777777" w:rsidTr="00B8AFBC">
        <w:tc>
          <w:tcPr>
            <w:tcW w:w="2122" w:type="dxa"/>
            <w:shd w:val="clear" w:color="auto" w:fill="C85348"/>
          </w:tcPr>
          <w:p w14:paraId="64333AB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 with data</w:t>
            </w:r>
          </w:p>
        </w:tc>
        <w:tc>
          <w:tcPr>
            <w:tcW w:w="2551" w:type="dxa"/>
            <w:shd w:val="clear" w:color="auto" w:fill="C85348"/>
          </w:tcPr>
          <w:p w14:paraId="1C60202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xml:space="preserve">% target fully met </w:t>
            </w:r>
          </w:p>
        </w:tc>
        <w:tc>
          <w:tcPr>
            <w:tcW w:w="2552" w:type="dxa"/>
            <w:shd w:val="clear" w:color="auto" w:fill="C85348"/>
          </w:tcPr>
          <w:p w14:paraId="2EBD3475"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met within 95%</w:t>
            </w:r>
          </w:p>
        </w:tc>
        <w:tc>
          <w:tcPr>
            <w:tcW w:w="2551" w:type="dxa"/>
            <w:shd w:val="clear" w:color="auto" w:fill="C85348"/>
          </w:tcPr>
          <w:p w14:paraId="2B923543"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target not met</w:t>
            </w:r>
          </w:p>
        </w:tc>
      </w:tr>
      <w:tr w:rsidR="00970157" w14:paraId="5380439F" w14:textId="77777777" w:rsidTr="00B8AFBC">
        <w:tc>
          <w:tcPr>
            <w:tcW w:w="2122" w:type="dxa"/>
            <w:shd w:val="clear" w:color="auto" w:fill="FFFFFF" w:themeFill="background1"/>
            <w:vAlign w:val="center"/>
          </w:tcPr>
          <w:p w14:paraId="068E70E6" w14:textId="0817B14C" w:rsidR="00B0379D" w:rsidRPr="00E00FF5" w:rsidRDefault="00BB1C05" w:rsidP="00B8AFBC">
            <w:pPr>
              <w:spacing w:after="120"/>
              <w:jc w:val="center"/>
              <w:rPr>
                <w:rFonts w:ascii="Arial" w:eastAsia="Arial" w:hAnsi="Arial" w:cs="Arial"/>
                <w:color w:val="000000" w:themeColor="text1"/>
              </w:rPr>
            </w:pPr>
            <w:r w:rsidRPr="00E00FF5">
              <w:rPr>
                <w:rFonts w:ascii="Arial" w:eastAsia="Arial" w:hAnsi="Arial" w:cs="Arial"/>
                <w:color w:val="000000" w:themeColor="text1"/>
              </w:rPr>
              <w:t>1</w:t>
            </w:r>
            <w:r w:rsidR="005B1F3A" w:rsidRPr="00E00FF5">
              <w:rPr>
                <w:rFonts w:ascii="Arial" w:eastAsia="Arial" w:hAnsi="Arial" w:cs="Arial"/>
                <w:color w:val="000000" w:themeColor="text1"/>
              </w:rPr>
              <w:t>5</w:t>
            </w:r>
          </w:p>
        </w:tc>
        <w:tc>
          <w:tcPr>
            <w:tcW w:w="2551" w:type="dxa"/>
            <w:shd w:val="clear" w:color="auto" w:fill="FFFFFF" w:themeFill="background1"/>
            <w:vAlign w:val="center"/>
          </w:tcPr>
          <w:p w14:paraId="218DED17" w14:textId="267A6567" w:rsidR="00B0379D" w:rsidRPr="00E00FF5" w:rsidRDefault="00BA340C" w:rsidP="00B8AFBC">
            <w:pPr>
              <w:spacing w:after="120"/>
              <w:jc w:val="center"/>
              <w:rPr>
                <w:rFonts w:ascii="Arial" w:eastAsia="Arial" w:hAnsi="Arial" w:cs="Arial"/>
                <w:color w:val="000000" w:themeColor="text1"/>
              </w:rPr>
            </w:pPr>
            <w:r w:rsidRPr="00E00FF5">
              <w:rPr>
                <w:rFonts w:ascii="Arial" w:eastAsia="Arial" w:hAnsi="Arial" w:cs="Arial"/>
                <w:color w:val="000000" w:themeColor="text1"/>
              </w:rPr>
              <w:t>6</w:t>
            </w:r>
            <w:r w:rsidR="00844A1B" w:rsidRPr="00E00FF5">
              <w:rPr>
                <w:rFonts w:ascii="Arial" w:eastAsia="Arial" w:hAnsi="Arial" w:cs="Arial"/>
                <w:color w:val="000000" w:themeColor="text1"/>
              </w:rPr>
              <w:t>7</w:t>
            </w:r>
            <w:r w:rsidR="00E75E6D" w:rsidRPr="00E00FF5">
              <w:rPr>
                <w:rFonts w:ascii="Arial" w:eastAsia="Arial" w:hAnsi="Arial" w:cs="Arial"/>
                <w:color w:val="000000" w:themeColor="text1"/>
              </w:rPr>
              <w:t>%</w:t>
            </w:r>
            <w:r w:rsidR="00E00FF5" w:rsidRPr="00E00FF5">
              <w:rPr>
                <w:rFonts w:ascii="Arial" w:eastAsia="Arial" w:hAnsi="Arial" w:cs="Arial"/>
                <w:color w:val="000000" w:themeColor="text1"/>
              </w:rPr>
              <w:t>*</w:t>
            </w:r>
            <w:r w:rsidR="00E75E6D" w:rsidRPr="00E00FF5">
              <w:rPr>
                <w:rFonts w:ascii="Arial" w:eastAsia="Arial" w:hAnsi="Arial" w:cs="Arial"/>
                <w:color w:val="000000" w:themeColor="text1"/>
              </w:rPr>
              <w:t xml:space="preserve"> (</w:t>
            </w:r>
            <w:r w:rsidR="00AA225D" w:rsidRPr="00E00FF5">
              <w:rPr>
                <w:rFonts w:ascii="Arial" w:eastAsia="Arial" w:hAnsi="Arial" w:cs="Arial"/>
                <w:color w:val="000000" w:themeColor="text1"/>
              </w:rPr>
              <w:t>10</w:t>
            </w:r>
            <w:r w:rsidR="00E75E6D" w:rsidRPr="00E00FF5">
              <w:rPr>
                <w:rFonts w:ascii="Arial" w:eastAsia="Arial" w:hAnsi="Arial" w:cs="Arial"/>
                <w:color w:val="000000" w:themeColor="text1"/>
              </w:rPr>
              <w:t>)</w:t>
            </w:r>
          </w:p>
        </w:tc>
        <w:tc>
          <w:tcPr>
            <w:tcW w:w="2552" w:type="dxa"/>
            <w:shd w:val="clear" w:color="auto" w:fill="FFFFFF" w:themeFill="background1"/>
            <w:vAlign w:val="center"/>
          </w:tcPr>
          <w:p w14:paraId="5CCD5469" w14:textId="4090EEF1" w:rsidR="00B0379D" w:rsidRPr="00E00FF5" w:rsidRDefault="00281204" w:rsidP="00B8AFBC">
            <w:pPr>
              <w:spacing w:after="120"/>
              <w:jc w:val="center"/>
              <w:rPr>
                <w:rFonts w:ascii="Arial" w:eastAsia="Arial" w:hAnsi="Arial" w:cs="Arial"/>
                <w:color w:val="000000" w:themeColor="text1"/>
              </w:rPr>
            </w:pPr>
            <w:r w:rsidRPr="00E00FF5">
              <w:rPr>
                <w:rFonts w:ascii="Arial" w:eastAsia="Arial" w:hAnsi="Arial" w:cs="Arial"/>
                <w:color w:val="000000" w:themeColor="text1"/>
              </w:rPr>
              <w:t>7</w:t>
            </w:r>
            <w:r w:rsidR="00E75E6D" w:rsidRPr="00E00FF5">
              <w:rPr>
                <w:rFonts w:ascii="Arial" w:eastAsia="Arial" w:hAnsi="Arial" w:cs="Arial"/>
                <w:color w:val="000000" w:themeColor="text1"/>
              </w:rPr>
              <w:t>%</w:t>
            </w:r>
            <w:r w:rsidR="00E00FF5" w:rsidRPr="00E00FF5">
              <w:rPr>
                <w:rFonts w:ascii="Arial" w:eastAsia="Arial" w:hAnsi="Arial" w:cs="Arial"/>
                <w:color w:val="000000" w:themeColor="text1"/>
              </w:rPr>
              <w:t>*</w:t>
            </w:r>
            <w:r w:rsidR="00E75E6D" w:rsidRPr="00E00FF5">
              <w:rPr>
                <w:rFonts w:ascii="Arial" w:eastAsia="Arial" w:hAnsi="Arial" w:cs="Arial"/>
                <w:color w:val="000000" w:themeColor="text1"/>
              </w:rPr>
              <w:t xml:space="preserve"> (</w:t>
            </w:r>
            <w:r w:rsidR="00AA225D" w:rsidRPr="00E00FF5">
              <w:rPr>
                <w:rFonts w:ascii="Arial" w:eastAsia="Arial" w:hAnsi="Arial" w:cs="Arial"/>
                <w:color w:val="000000" w:themeColor="text1"/>
              </w:rPr>
              <w:t>1</w:t>
            </w:r>
            <w:r w:rsidR="00E75E6D" w:rsidRPr="00E00FF5">
              <w:rPr>
                <w:rFonts w:ascii="Arial" w:eastAsia="Arial" w:hAnsi="Arial" w:cs="Arial"/>
                <w:color w:val="000000" w:themeColor="text1"/>
              </w:rPr>
              <w:t>)</w:t>
            </w:r>
          </w:p>
        </w:tc>
        <w:tc>
          <w:tcPr>
            <w:tcW w:w="2551" w:type="dxa"/>
            <w:shd w:val="clear" w:color="auto" w:fill="FFFFFF" w:themeFill="background1"/>
            <w:vAlign w:val="center"/>
          </w:tcPr>
          <w:p w14:paraId="4C2C1DCE" w14:textId="132B7B2E" w:rsidR="00B0379D" w:rsidRPr="00E00FF5" w:rsidRDefault="001D0BDF" w:rsidP="00B8AFBC">
            <w:pPr>
              <w:spacing w:after="120"/>
              <w:jc w:val="center"/>
              <w:rPr>
                <w:rFonts w:ascii="Arial" w:eastAsia="Arial" w:hAnsi="Arial" w:cs="Arial"/>
                <w:color w:val="000000" w:themeColor="text1"/>
              </w:rPr>
            </w:pPr>
            <w:r w:rsidRPr="00E00FF5">
              <w:rPr>
                <w:rFonts w:ascii="Arial" w:eastAsia="Arial" w:hAnsi="Arial" w:cs="Arial"/>
                <w:color w:val="000000" w:themeColor="text1"/>
              </w:rPr>
              <w:t>27</w:t>
            </w:r>
            <w:r w:rsidR="00E75E6D" w:rsidRPr="00E00FF5">
              <w:rPr>
                <w:rFonts w:ascii="Arial" w:eastAsia="Arial" w:hAnsi="Arial" w:cs="Arial"/>
                <w:color w:val="000000" w:themeColor="text1"/>
              </w:rPr>
              <w:t>%</w:t>
            </w:r>
            <w:r w:rsidR="00E00FF5" w:rsidRPr="00E00FF5">
              <w:rPr>
                <w:rFonts w:ascii="Arial" w:eastAsia="Arial" w:hAnsi="Arial" w:cs="Arial"/>
                <w:color w:val="000000" w:themeColor="text1"/>
              </w:rPr>
              <w:t>*</w:t>
            </w:r>
            <w:r w:rsidR="00E75E6D" w:rsidRPr="00E00FF5">
              <w:rPr>
                <w:rFonts w:ascii="Arial" w:eastAsia="Arial" w:hAnsi="Arial" w:cs="Arial"/>
                <w:color w:val="000000" w:themeColor="text1"/>
              </w:rPr>
              <w:t xml:space="preserve"> (</w:t>
            </w:r>
            <w:r w:rsidR="00311BE9" w:rsidRPr="00E00FF5">
              <w:rPr>
                <w:rFonts w:ascii="Arial" w:eastAsia="Arial" w:hAnsi="Arial" w:cs="Arial"/>
                <w:color w:val="000000" w:themeColor="text1"/>
              </w:rPr>
              <w:t>4</w:t>
            </w:r>
            <w:r w:rsidR="00E75E6D" w:rsidRPr="00E00FF5">
              <w:rPr>
                <w:rFonts w:ascii="Arial" w:eastAsia="Arial" w:hAnsi="Arial" w:cs="Arial"/>
                <w:color w:val="000000" w:themeColor="text1"/>
              </w:rPr>
              <w:t>)</w:t>
            </w:r>
          </w:p>
        </w:tc>
      </w:tr>
    </w:tbl>
    <w:p w14:paraId="7AAF1827" w14:textId="1600599C" w:rsidR="00B0379D" w:rsidRPr="00E00FF5" w:rsidRDefault="00E00FF5" w:rsidP="00B0379D">
      <w:pPr>
        <w:spacing w:after="120" w:line="240" w:lineRule="auto"/>
        <w:jc w:val="both"/>
        <w:rPr>
          <w:rFonts w:ascii="Arial" w:hAnsi="Arial" w:cs="Arial"/>
          <w:color w:val="000000" w:themeColor="text1"/>
          <w:sz w:val="20"/>
          <w:szCs w:val="20"/>
        </w:rPr>
      </w:pPr>
      <w:r w:rsidRPr="00E00FF5">
        <w:rPr>
          <w:rFonts w:ascii="Arial" w:hAnsi="Arial" w:cs="Arial"/>
          <w:color w:val="000000" w:themeColor="text1"/>
          <w:sz w:val="20"/>
          <w:szCs w:val="20"/>
        </w:rPr>
        <w:t xml:space="preserve">NB – </w:t>
      </w:r>
      <w:r>
        <w:rPr>
          <w:rFonts w:ascii="Arial" w:hAnsi="Arial" w:cs="Arial"/>
          <w:color w:val="000000" w:themeColor="text1"/>
          <w:sz w:val="20"/>
          <w:szCs w:val="20"/>
        </w:rPr>
        <w:t xml:space="preserve">* </w:t>
      </w:r>
      <w:r w:rsidRPr="00E00FF5">
        <w:rPr>
          <w:rFonts w:ascii="Arial" w:hAnsi="Arial" w:cs="Arial"/>
          <w:color w:val="000000" w:themeColor="text1"/>
          <w:sz w:val="20"/>
          <w:szCs w:val="20"/>
        </w:rPr>
        <w:t>percentages have been rounded to nearest whole number</w:t>
      </w:r>
    </w:p>
    <w:p w14:paraId="0EF337E2" w14:textId="77777777" w:rsidR="0037450B" w:rsidRDefault="0037450B" w:rsidP="00B0379D">
      <w:pPr>
        <w:spacing w:after="240" w:line="240" w:lineRule="auto"/>
        <w:rPr>
          <w:rFonts w:ascii="Arial" w:hAnsi="Arial" w:cs="Arial"/>
          <w:b/>
          <w:color w:val="C85348"/>
        </w:rPr>
      </w:pPr>
    </w:p>
    <w:p w14:paraId="2A3E97DD" w14:textId="00F9EC84" w:rsidR="00B0379D" w:rsidRPr="00E445A2" w:rsidRDefault="00E75E6D" w:rsidP="00B0379D">
      <w:pPr>
        <w:spacing w:after="240" w:line="240" w:lineRule="auto"/>
        <w:rPr>
          <w:b/>
          <w:bCs/>
          <w:color w:val="C85348"/>
        </w:rPr>
      </w:pPr>
      <w:r w:rsidRPr="00E90E6F">
        <w:rPr>
          <w:rFonts w:ascii="Arial" w:hAnsi="Arial" w:cs="Arial"/>
          <w:b/>
          <w:color w:val="C85348"/>
        </w:rPr>
        <w:t xml:space="preserve">The </w:t>
      </w:r>
      <w:r w:rsidRPr="00E323CC">
        <w:rPr>
          <w:rFonts w:ascii="Arial" w:hAnsi="Arial" w:cs="Arial"/>
          <w:b/>
          <w:color w:val="C85348"/>
        </w:rPr>
        <w:t>Perform</w:t>
      </w:r>
      <w:r w:rsidRPr="00E323CC">
        <w:rPr>
          <w:rFonts w:ascii="Arial" w:hAnsi="Arial" w:cs="Arial"/>
          <w:b/>
          <w:bCs/>
          <w:color w:val="C85348"/>
        </w:rPr>
        <w:t>ance</w:t>
      </w:r>
      <w:r w:rsidRPr="00E445A2">
        <w:rPr>
          <w:b/>
          <w:bCs/>
          <w:color w:val="C85348"/>
        </w:rPr>
        <w:t xml:space="preserve"> </w:t>
      </w:r>
      <w:r w:rsidRPr="00E323CC">
        <w:rPr>
          <w:rFonts w:ascii="Arial" w:hAnsi="Arial" w:cs="Arial"/>
          <w:b/>
          <w:bCs/>
          <w:color w:val="C85348"/>
        </w:rPr>
        <w:t>Trend</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ayout w:type="fixed"/>
        <w:tblLook w:val="04A0" w:firstRow="1" w:lastRow="0" w:firstColumn="1" w:lastColumn="0" w:noHBand="0" w:noVBand="1"/>
      </w:tblPr>
      <w:tblGrid>
        <w:gridCol w:w="2122"/>
        <w:gridCol w:w="2551"/>
        <w:gridCol w:w="2552"/>
        <w:gridCol w:w="2551"/>
      </w:tblGrid>
      <w:tr w:rsidR="00970157" w14:paraId="79725AF7" w14:textId="77777777" w:rsidTr="00B8AFBC">
        <w:tc>
          <w:tcPr>
            <w:tcW w:w="2122" w:type="dxa"/>
            <w:shd w:val="clear" w:color="auto" w:fill="C85348"/>
          </w:tcPr>
          <w:p w14:paraId="3E54D154"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2551" w:type="dxa"/>
            <w:shd w:val="clear" w:color="auto" w:fill="C85348"/>
          </w:tcPr>
          <w:p w14:paraId="56EF4766"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improved on last year</w:t>
            </w:r>
          </w:p>
        </w:tc>
        <w:tc>
          <w:tcPr>
            <w:tcW w:w="2552" w:type="dxa"/>
            <w:shd w:val="clear" w:color="auto" w:fill="C85348"/>
          </w:tcPr>
          <w:p w14:paraId="349303A0"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worse than last year</w:t>
            </w:r>
          </w:p>
        </w:tc>
        <w:tc>
          <w:tcPr>
            <w:tcW w:w="2551" w:type="dxa"/>
            <w:shd w:val="clear" w:color="auto" w:fill="C85348"/>
          </w:tcPr>
          <w:p w14:paraId="06FED65D" w14:textId="77777777" w:rsidR="00B0379D" w:rsidRPr="006017E9" w:rsidRDefault="00E75E6D" w:rsidP="00B0379D">
            <w:pPr>
              <w:spacing w:after="120"/>
              <w:rPr>
                <w:rFonts w:ascii="Arial" w:eastAsia="Arial" w:hAnsi="Arial" w:cs="Arial"/>
                <w:color w:val="FFFFFF" w:themeColor="background1"/>
              </w:rPr>
            </w:pPr>
            <w:r w:rsidRPr="006017E9">
              <w:rPr>
                <w:rFonts w:ascii="Arial" w:eastAsia="Arial" w:hAnsi="Arial" w:cs="Arial"/>
                <w:b/>
                <w:bCs/>
                <w:color w:val="FFFFFF" w:themeColor="background1"/>
              </w:rPr>
              <w:t>% the same as last year</w:t>
            </w:r>
          </w:p>
        </w:tc>
      </w:tr>
      <w:tr w:rsidR="00F31761" w14:paraId="2F41E04C" w14:textId="77777777" w:rsidTr="00B8AFBC">
        <w:tc>
          <w:tcPr>
            <w:tcW w:w="2122" w:type="dxa"/>
            <w:shd w:val="clear" w:color="auto" w:fill="FFFFFF" w:themeFill="background1"/>
            <w:vAlign w:val="center"/>
          </w:tcPr>
          <w:p w14:paraId="3318A3E0" w14:textId="768090DB" w:rsidR="00F31761" w:rsidRPr="0037450B" w:rsidRDefault="000B75D2" w:rsidP="00F31761">
            <w:pPr>
              <w:spacing w:after="120"/>
              <w:jc w:val="center"/>
              <w:rPr>
                <w:rFonts w:ascii="Arial" w:eastAsia="Arial" w:hAnsi="Arial" w:cs="Arial"/>
                <w:color w:val="000000" w:themeColor="text1"/>
              </w:rPr>
            </w:pPr>
            <w:r w:rsidRPr="0037450B">
              <w:rPr>
                <w:rFonts w:ascii="Arial" w:eastAsia="Arial" w:hAnsi="Arial" w:cs="Arial"/>
                <w:color w:val="000000" w:themeColor="text1"/>
              </w:rPr>
              <w:t>1</w:t>
            </w:r>
            <w:r w:rsidR="008236D9" w:rsidRPr="0037450B">
              <w:rPr>
                <w:rFonts w:ascii="Arial" w:eastAsia="Arial" w:hAnsi="Arial" w:cs="Arial"/>
                <w:color w:val="000000" w:themeColor="text1"/>
              </w:rPr>
              <w:t>2</w:t>
            </w:r>
          </w:p>
        </w:tc>
        <w:tc>
          <w:tcPr>
            <w:tcW w:w="2551" w:type="dxa"/>
            <w:shd w:val="clear" w:color="auto" w:fill="FFFFFF" w:themeFill="background1"/>
            <w:vAlign w:val="center"/>
          </w:tcPr>
          <w:p w14:paraId="5353A2D0" w14:textId="02ECE3C4" w:rsidR="00F31761" w:rsidRPr="0037450B" w:rsidRDefault="00F022D1" w:rsidP="00F31761">
            <w:pPr>
              <w:spacing w:after="120"/>
              <w:jc w:val="center"/>
              <w:rPr>
                <w:rFonts w:ascii="Arial" w:eastAsia="Arial" w:hAnsi="Arial" w:cs="Arial"/>
                <w:color w:val="000000" w:themeColor="text1"/>
              </w:rPr>
            </w:pPr>
            <w:r w:rsidRPr="0037450B">
              <w:rPr>
                <w:rFonts w:ascii="Arial" w:eastAsia="Arial" w:hAnsi="Arial" w:cs="Arial"/>
                <w:color w:val="000000" w:themeColor="text1"/>
              </w:rPr>
              <w:t>42</w:t>
            </w:r>
            <w:r w:rsidR="00F31761" w:rsidRPr="0037450B">
              <w:rPr>
                <w:rFonts w:ascii="Arial" w:eastAsia="Arial" w:hAnsi="Arial" w:cs="Arial"/>
                <w:color w:val="000000" w:themeColor="text1"/>
              </w:rPr>
              <w:t>% (</w:t>
            </w:r>
            <w:r w:rsidR="008236D9" w:rsidRPr="0037450B">
              <w:rPr>
                <w:rFonts w:ascii="Arial" w:eastAsia="Arial" w:hAnsi="Arial" w:cs="Arial"/>
                <w:color w:val="000000" w:themeColor="text1"/>
              </w:rPr>
              <w:t>5</w:t>
            </w:r>
            <w:r w:rsidR="00F31761" w:rsidRPr="0037450B">
              <w:rPr>
                <w:rFonts w:ascii="Arial" w:eastAsia="Arial" w:hAnsi="Arial" w:cs="Arial"/>
                <w:color w:val="000000" w:themeColor="text1"/>
              </w:rPr>
              <w:t>)</w:t>
            </w:r>
          </w:p>
        </w:tc>
        <w:tc>
          <w:tcPr>
            <w:tcW w:w="2552" w:type="dxa"/>
            <w:shd w:val="clear" w:color="auto" w:fill="FFFFFF" w:themeFill="background1"/>
            <w:vAlign w:val="center"/>
          </w:tcPr>
          <w:p w14:paraId="4A99E89E" w14:textId="71FAAF28" w:rsidR="00F31761" w:rsidRPr="0037450B" w:rsidRDefault="00F022D1" w:rsidP="00F31761">
            <w:pPr>
              <w:spacing w:after="120"/>
              <w:jc w:val="center"/>
              <w:rPr>
                <w:rFonts w:ascii="Arial" w:eastAsia="Arial" w:hAnsi="Arial" w:cs="Arial"/>
                <w:color w:val="000000" w:themeColor="text1"/>
              </w:rPr>
            </w:pPr>
            <w:r w:rsidRPr="0037450B">
              <w:rPr>
                <w:rFonts w:ascii="Arial" w:eastAsia="Arial" w:hAnsi="Arial" w:cs="Arial"/>
                <w:color w:val="000000" w:themeColor="text1"/>
              </w:rPr>
              <w:t>42</w:t>
            </w:r>
            <w:r w:rsidR="00F31761" w:rsidRPr="0037450B">
              <w:rPr>
                <w:rFonts w:ascii="Arial" w:eastAsia="Arial" w:hAnsi="Arial" w:cs="Arial"/>
                <w:color w:val="000000" w:themeColor="text1"/>
              </w:rPr>
              <w:t>% (</w:t>
            </w:r>
            <w:r w:rsidR="00542A54" w:rsidRPr="0037450B">
              <w:rPr>
                <w:rFonts w:ascii="Arial" w:eastAsia="Arial" w:hAnsi="Arial" w:cs="Arial"/>
                <w:color w:val="000000" w:themeColor="text1"/>
              </w:rPr>
              <w:t>5</w:t>
            </w:r>
            <w:r w:rsidR="00F31761" w:rsidRPr="0037450B">
              <w:rPr>
                <w:rFonts w:ascii="Arial" w:eastAsia="Arial" w:hAnsi="Arial" w:cs="Arial"/>
                <w:color w:val="000000" w:themeColor="text1"/>
              </w:rPr>
              <w:t>)</w:t>
            </w:r>
          </w:p>
        </w:tc>
        <w:tc>
          <w:tcPr>
            <w:tcW w:w="2551" w:type="dxa"/>
            <w:shd w:val="clear" w:color="auto" w:fill="FFFFFF" w:themeFill="background1"/>
            <w:vAlign w:val="center"/>
          </w:tcPr>
          <w:p w14:paraId="0D7DD430" w14:textId="0670CE5E" w:rsidR="00F31761" w:rsidRPr="0037450B" w:rsidRDefault="00CD5908" w:rsidP="00F31761">
            <w:pPr>
              <w:spacing w:after="120"/>
              <w:jc w:val="center"/>
              <w:rPr>
                <w:rFonts w:ascii="Arial" w:eastAsia="Arial" w:hAnsi="Arial" w:cs="Arial"/>
                <w:color w:val="000000" w:themeColor="text1"/>
              </w:rPr>
            </w:pPr>
            <w:r w:rsidRPr="0037450B">
              <w:rPr>
                <w:rFonts w:ascii="Arial" w:eastAsia="Arial" w:hAnsi="Arial" w:cs="Arial"/>
                <w:color w:val="000000" w:themeColor="text1"/>
              </w:rPr>
              <w:t>17</w:t>
            </w:r>
            <w:r w:rsidR="00F31761" w:rsidRPr="0037450B">
              <w:rPr>
                <w:rFonts w:ascii="Arial" w:eastAsia="Arial" w:hAnsi="Arial" w:cs="Arial"/>
                <w:color w:val="000000" w:themeColor="text1"/>
              </w:rPr>
              <w:t>% (</w:t>
            </w:r>
            <w:r w:rsidR="00542A54" w:rsidRPr="0037450B">
              <w:rPr>
                <w:rFonts w:ascii="Arial" w:eastAsia="Arial" w:hAnsi="Arial" w:cs="Arial"/>
                <w:color w:val="000000" w:themeColor="text1"/>
              </w:rPr>
              <w:t>2</w:t>
            </w:r>
            <w:r w:rsidR="00F31761" w:rsidRPr="0037450B">
              <w:rPr>
                <w:rFonts w:ascii="Arial" w:eastAsia="Arial" w:hAnsi="Arial" w:cs="Arial"/>
                <w:color w:val="000000" w:themeColor="text1"/>
              </w:rPr>
              <w:t>)</w:t>
            </w:r>
          </w:p>
        </w:tc>
      </w:tr>
    </w:tbl>
    <w:p w14:paraId="1AFE6F68" w14:textId="77777777" w:rsidR="0037450B" w:rsidRPr="00E00FF5" w:rsidRDefault="0037450B" w:rsidP="0037450B">
      <w:pPr>
        <w:spacing w:after="120" w:line="240" w:lineRule="auto"/>
        <w:jc w:val="both"/>
        <w:rPr>
          <w:rFonts w:ascii="Arial" w:hAnsi="Arial" w:cs="Arial"/>
          <w:color w:val="000000" w:themeColor="text1"/>
          <w:sz w:val="20"/>
          <w:szCs w:val="20"/>
        </w:rPr>
      </w:pPr>
      <w:r w:rsidRPr="00E00FF5">
        <w:rPr>
          <w:rFonts w:ascii="Arial" w:hAnsi="Arial" w:cs="Arial"/>
          <w:color w:val="000000" w:themeColor="text1"/>
          <w:sz w:val="20"/>
          <w:szCs w:val="20"/>
        </w:rPr>
        <w:t xml:space="preserve">NB – </w:t>
      </w:r>
      <w:r>
        <w:rPr>
          <w:rFonts w:ascii="Arial" w:hAnsi="Arial" w:cs="Arial"/>
          <w:color w:val="000000" w:themeColor="text1"/>
          <w:sz w:val="20"/>
          <w:szCs w:val="20"/>
        </w:rPr>
        <w:t xml:space="preserve">* </w:t>
      </w:r>
      <w:r w:rsidRPr="00E00FF5">
        <w:rPr>
          <w:rFonts w:ascii="Arial" w:hAnsi="Arial" w:cs="Arial"/>
          <w:color w:val="000000" w:themeColor="text1"/>
          <w:sz w:val="20"/>
          <w:szCs w:val="20"/>
        </w:rPr>
        <w:t>percentages have been rounded to nearest whole number</w:t>
      </w:r>
    </w:p>
    <w:p w14:paraId="0D46998E" w14:textId="77777777" w:rsidR="00B0379D" w:rsidRDefault="00B0379D" w:rsidP="00B0379D">
      <w:pPr>
        <w:spacing w:after="120" w:line="240" w:lineRule="auto"/>
        <w:jc w:val="both"/>
        <w:rPr>
          <w:rFonts w:ascii="Arial" w:hAnsi="Arial" w:cs="Arial"/>
          <w:b/>
          <w:bCs/>
          <w:color w:val="ED712C"/>
          <w:sz w:val="24"/>
          <w:szCs w:val="24"/>
        </w:rPr>
      </w:pPr>
    </w:p>
    <w:p w14:paraId="687D9D2C" w14:textId="77777777" w:rsidR="00B0379D" w:rsidRPr="00E445A2" w:rsidRDefault="00E75E6D" w:rsidP="00B0379D">
      <w:pPr>
        <w:spacing w:after="240" w:line="240" w:lineRule="auto"/>
        <w:jc w:val="both"/>
        <w:rPr>
          <w:rFonts w:ascii="Arial" w:hAnsi="Arial" w:cs="Arial"/>
          <w:b/>
          <w:bCs/>
          <w:color w:val="C85348"/>
        </w:rPr>
      </w:pPr>
      <w:r w:rsidRPr="00E445A2">
        <w:rPr>
          <w:rFonts w:ascii="Arial" w:hAnsi="Arial" w:cs="Arial"/>
          <w:b/>
          <w:bCs/>
          <w:color w:val="C85348"/>
        </w:rPr>
        <w:t>Inter Authority Comparison</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ayout w:type="fixed"/>
        <w:tblLook w:val="04A0" w:firstRow="1" w:lastRow="0" w:firstColumn="1" w:lastColumn="0" w:noHBand="0" w:noVBand="1"/>
      </w:tblPr>
      <w:tblGrid>
        <w:gridCol w:w="1838"/>
        <w:gridCol w:w="1985"/>
        <w:gridCol w:w="1984"/>
        <w:gridCol w:w="1985"/>
        <w:gridCol w:w="1984"/>
      </w:tblGrid>
      <w:tr w:rsidR="00970157" w14:paraId="20A274D7" w14:textId="77777777" w:rsidTr="00B8AFBC">
        <w:trPr>
          <w:tblHeader/>
        </w:trPr>
        <w:tc>
          <w:tcPr>
            <w:tcW w:w="1838" w:type="dxa"/>
            <w:shd w:val="clear" w:color="auto" w:fill="C85348"/>
          </w:tcPr>
          <w:p w14:paraId="360390DA"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Number of Indicators</w:t>
            </w:r>
            <w:r>
              <w:rPr>
                <w:rFonts w:ascii="Arial" w:eastAsia="Arial" w:hAnsi="Arial" w:cs="Arial"/>
                <w:b/>
                <w:bCs/>
                <w:color w:val="FFFFFF" w:themeColor="background1"/>
              </w:rPr>
              <w:t xml:space="preserve"> with data</w:t>
            </w:r>
          </w:p>
        </w:tc>
        <w:tc>
          <w:tcPr>
            <w:tcW w:w="1985" w:type="dxa"/>
            <w:shd w:val="clear" w:color="auto" w:fill="C85348"/>
          </w:tcPr>
          <w:p w14:paraId="41D8DC4D"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1st quartile</w:t>
            </w:r>
          </w:p>
        </w:tc>
        <w:tc>
          <w:tcPr>
            <w:tcW w:w="1984" w:type="dxa"/>
            <w:shd w:val="clear" w:color="auto" w:fill="C85348"/>
          </w:tcPr>
          <w:p w14:paraId="37885F66"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2nd quartile</w:t>
            </w:r>
          </w:p>
        </w:tc>
        <w:tc>
          <w:tcPr>
            <w:tcW w:w="1985" w:type="dxa"/>
            <w:shd w:val="clear" w:color="auto" w:fill="C85348"/>
          </w:tcPr>
          <w:p w14:paraId="05C09557"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3rd quartile</w:t>
            </w:r>
          </w:p>
        </w:tc>
        <w:tc>
          <w:tcPr>
            <w:tcW w:w="1984" w:type="dxa"/>
            <w:shd w:val="clear" w:color="auto" w:fill="C85348"/>
          </w:tcPr>
          <w:p w14:paraId="482DD072" w14:textId="77777777" w:rsidR="00B0379D" w:rsidRPr="006017E9" w:rsidRDefault="00E75E6D" w:rsidP="00B0379D">
            <w:pPr>
              <w:spacing w:before="40" w:after="40" w:line="259" w:lineRule="auto"/>
              <w:rPr>
                <w:rFonts w:ascii="Arial" w:eastAsia="Arial" w:hAnsi="Arial" w:cs="Arial"/>
                <w:color w:val="FFFFFF" w:themeColor="background1"/>
              </w:rPr>
            </w:pPr>
            <w:r w:rsidRPr="006017E9">
              <w:rPr>
                <w:rFonts w:ascii="Arial" w:eastAsia="Arial" w:hAnsi="Arial" w:cs="Arial"/>
                <w:b/>
                <w:bCs/>
                <w:color w:val="FFFFFF" w:themeColor="background1"/>
              </w:rPr>
              <w:t>% in 4th quartile</w:t>
            </w:r>
          </w:p>
        </w:tc>
      </w:tr>
      <w:tr w:rsidR="00970157" w14:paraId="7796F01F" w14:textId="77777777" w:rsidTr="00B8AFBC">
        <w:tc>
          <w:tcPr>
            <w:tcW w:w="1838" w:type="dxa"/>
            <w:shd w:val="clear" w:color="auto" w:fill="FFFFFF" w:themeFill="background1"/>
            <w:vAlign w:val="center"/>
          </w:tcPr>
          <w:p w14:paraId="13692444" w14:textId="77777777" w:rsidR="00B0379D" w:rsidRPr="0037450B" w:rsidRDefault="00E75E6D" w:rsidP="00B8AFBC">
            <w:pPr>
              <w:spacing w:before="40" w:after="40" w:line="259" w:lineRule="auto"/>
              <w:jc w:val="center"/>
              <w:rPr>
                <w:rFonts w:ascii="Arial" w:eastAsia="Arial" w:hAnsi="Arial" w:cs="Arial"/>
                <w:color w:val="000000" w:themeColor="text1"/>
              </w:rPr>
            </w:pPr>
            <w:r w:rsidRPr="0037450B">
              <w:rPr>
                <w:rFonts w:ascii="Arial" w:eastAsia="Arial" w:hAnsi="Arial" w:cs="Arial"/>
                <w:color w:val="000000" w:themeColor="text1"/>
              </w:rPr>
              <w:t>2</w:t>
            </w:r>
          </w:p>
        </w:tc>
        <w:tc>
          <w:tcPr>
            <w:tcW w:w="1985" w:type="dxa"/>
            <w:shd w:val="clear" w:color="auto" w:fill="FFFFFF" w:themeFill="background1"/>
            <w:vAlign w:val="center"/>
          </w:tcPr>
          <w:p w14:paraId="43A0F51B" w14:textId="77777777" w:rsidR="00B0379D" w:rsidRPr="0037450B" w:rsidRDefault="00E75E6D" w:rsidP="00B8AFBC">
            <w:pPr>
              <w:spacing w:before="40" w:after="40" w:line="259" w:lineRule="auto"/>
              <w:jc w:val="center"/>
              <w:rPr>
                <w:rFonts w:ascii="Arial" w:eastAsia="Arial" w:hAnsi="Arial" w:cs="Arial"/>
                <w:color w:val="000000" w:themeColor="text1"/>
              </w:rPr>
            </w:pPr>
            <w:r w:rsidRPr="0037450B">
              <w:rPr>
                <w:rFonts w:ascii="Arial" w:eastAsia="Arial" w:hAnsi="Arial" w:cs="Arial"/>
                <w:color w:val="000000" w:themeColor="text1"/>
              </w:rPr>
              <w:t>0% (0)</w:t>
            </w:r>
          </w:p>
        </w:tc>
        <w:tc>
          <w:tcPr>
            <w:tcW w:w="1984" w:type="dxa"/>
            <w:shd w:val="clear" w:color="auto" w:fill="FFFFFF" w:themeFill="background1"/>
            <w:vAlign w:val="center"/>
          </w:tcPr>
          <w:p w14:paraId="10E7F3B0" w14:textId="77777777" w:rsidR="00B0379D" w:rsidRPr="0037450B" w:rsidRDefault="00E75E6D" w:rsidP="00B8AFBC">
            <w:pPr>
              <w:spacing w:before="40" w:after="40" w:line="259" w:lineRule="auto"/>
              <w:jc w:val="center"/>
              <w:rPr>
                <w:rFonts w:ascii="Arial" w:eastAsia="Arial" w:hAnsi="Arial" w:cs="Arial"/>
                <w:color w:val="000000" w:themeColor="text1"/>
              </w:rPr>
            </w:pPr>
            <w:r w:rsidRPr="0037450B">
              <w:rPr>
                <w:rFonts w:ascii="Arial" w:eastAsia="Arial" w:hAnsi="Arial" w:cs="Arial"/>
                <w:color w:val="000000" w:themeColor="text1"/>
              </w:rPr>
              <w:t>0% (0)</w:t>
            </w:r>
          </w:p>
        </w:tc>
        <w:tc>
          <w:tcPr>
            <w:tcW w:w="1985" w:type="dxa"/>
            <w:shd w:val="clear" w:color="auto" w:fill="FFFFFF" w:themeFill="background1"/>
            <w:vAlign w:val="center"/>
          </w:tcPr>
          <w:p w14:paraId="2D7C697A" w14:textId="546AD6B1" w:rsidR="00B0379D" w:rsidRPr="0037450B" w:rsidRDefault="007E7BCC" w:rsidP="00B8AFBC">
            <w:pPr>
              <w:spacing w:before="40" w:after="40" w:line="259" w:lineRule="auto"/>
              <w:jc w:val="center"/>
              <w:rPr>
                <w:rFonts w:ascii="Arial" w:eastAsia="Arial" w:hAnsi="Arial" w:cs="Arial"/>
                <w:color w:val="000000" w:themeColor="text1"/>
              </w:rPr>
            </w:pPr>
            <w:r w:rsidRPr="0037450B">
              <w:rPr>
                <w:rFonts w:ascii="Arial" w:eastAsia="Arial" w:hAnsi="Arial" w:cs="Arial"/>
                <w:color w:val="000000" w:themeColor="text1"/>
              </w:rPr>
              <w:t>50</w:t>
            </w:r>
            <w:r w:rsidR="00E75E6D" w:rsidRPr="0037450B">
              <w:rPr>
                <w:rFonts w:ascii="Arial" w:eastAsia="Arial" w:hAnsi="Arial" w:cs="Arial"/>
                <w:color w:val="000000" w:themeColor="text1"/>
              </w:rPr>
              <w:t>% (</w:t>
            </w:r>
            <w:r w:rsidRPr="0037450B">
              <w:rPr>
                <w:rFonts w:ascii="Arial" w:eastAsia="Arial" w:hAnsi="Arial" w:cs="Arial"/>
                <w:color w:val="000000" w:themeColor="text1"/>
              </w:rPr>
              <w:t>1</w:t>
            </w:r>
            <w:r w:rsidR="00E75E6D" w:rsidRPr="0037450B">
              <w:rPr>
                <w:rFonts w:ascii="Arial" w:eastAsia="Arial" w:hAnsi="Arial" w:cs="Arial"/>
                <w:color w:val="000000" w:themeColor="text1"/>
              </w:rPr>
              <w:t>)</w:t>
            </w:r>
          </w:p>
        </w:tc>
        <w:tc>
          <w:tcPr>
            <w:tcW w:w="1984" w:type="dxa"/>
            <w:shd w:val="clear" w:color="auto" w:fill="FFFFFF" w:themeFill="background1"/>
            <w:vAlign w:val="center"/>
          </w:tcPr>
          <w:p w14:paraId="18E72C30" w14:textId="26092984" w:rsidR="00B0379D" w:rsidRPr="0037450B" w:rsidRDefault="007E7BCC" w:rsidP="00B8AFBC">
            <w:pPr>
              <w:spacing w:before="40" w:after="40" w:line="259" w:lineRule="auto"/>
              <w:jc w:val="center"/>
              <w:rPr>
                <w:rFonts w:ascii="Arial" w:eastAsia="Arial" w:hAnsi="Arial" w:cs="Arial"/>
                <w:color w:val="000000" w:themeColor="text1"/>
              </w:rPr>
            </w:pPr>
            <w:r w:rsidRPr="0037450B">
              <w:rPr>
                <w:rFonts w:ascii="Arial" w:eastAsia="Arial" w:hAnsi="Arial" w:cs="Arial"/>
                <w:color w:val="000000" w:themeColor="text1"/>
              </w:rPr>
              <w:t>5</w:t>
            </w:r>
            <w:r w:rsidR="00E75E6D" w:rsidRPr="0037450B">
              <w:rPr>
                <w:rFonts w:ascii="Arial" w:eastAsia="Arial" w:hAnsi="Arial" w:cs="Arial"/>
                <w:color w:val="000000" w:themeColor="text1"/>
              </w:rPr>
              <w:t>0% (</w:t>
            </w:r>
            <w:r w:rsidRPr="0037450B">
              <w:rPr>
                <w:rFonts w:ascii="Arial" w:eastAsia="Arial" w:hAnsi="Arial" w:cs="Arial"/>
                <w:color w:val="000000" w:themeColor="text1"/>
              </w:rPr>
              <w:t>1</w:t>
            </w:r>
            <w:r w:rsidR="00E75E6D" w:rsidRPr="0037450B">
              <w:rPr>
                <w:rFonts w:ascii="Arial" w:eastAsia="Arial" w:hAnsi="Arial" w:cs="Arial"/>
                <w:color w:val="000000" w:themeColor="text1"/>
              </w:rPr>
              <w:t>)</w:t>
            </w:r>
          </w:p>
        </w:tc>
      </w:tr>
    </w:tbl>
    <w:p w14:paraId="7486C86C" w14:textId="77777777" w:rsidR="00B0379D" w:rsidRDefault="00B0379D" w:rsidP="00B0379D">
      <w:pPr>
        <w:pStyle w:val="ListBullet"/>
        <w:numPr>
          <w:ilvl w:val="0"/>
          <w:numId w:val="0"/>
        </w:numPr>
        <w:spacing w:after="120" w:line="240" w:lineRule="auto"/>
        <w:contextualSpacing w:val="0"/>
        <w:rPr>
          <w:rStyle w:val="normaltextrun"/>
          <w:rFonts w:ascii="Arial" w:hAnsi="Arial" w:cs="Arial"/>
          <w:b/>
          <w:bCs/>
          <w:color w:val="8B3C45"/>
        </w:rPr>
      </w:pPr>
    </w:p>
    <w:p w14:paraId="71C3DE7A" w14:textId="77777777" w:rsidR="00B0379D" w:rsidRDefault="00B0379D" w:rsidP="00B0379D">
      <w:pPr>
        <w:pStyle w:val="ListBullet"/>
        <w:numPr>
          <w:ilvl w:val="0"/>
          <w:numId w:val="0"/>
        </w:numPr>
        <w:spacing w:after="240" w:line="240" w:lineRule="auto"/>
        <w:contextualSpacing w:val="0"/>
        <w:rPr>
          <w:rStyle w:val="normaltextrun"/>
          <w:rFonts w:ascii="Arial" w:hAnsi="Arial" w:cs="Arial"/>
          <w:b/>
          <w:bCs/>
          <w:color w:val="C85348"/>
          <w:sz w:val="24"/>
          <w:szCs w:val="24"/>
        </w:rPr>
      </w:pPr>
    </w:p>
    <w:p w14:paraId="023AE948" w14:textId="77777777" w:rsidR="00B0379D" w:rsidRDefault="00B0379D" w:rsidP="00B0379D">
      <w:pPr>
        <w:pStyle w:val="ListBullet"/>
        <w:numPr>
          <w:ilvl w:val="0"/>
          <w:numId w:val="0"/>
        </w:numPr>
        <w:spacing w:after="240" w:line="240" w:lineRule="auto"/>
        <w:contextualSpacing w:val="0"/>
        <w:rPr>
          <w:rStyle w:val="normaltextrun"/>
          <w:rFonts w:ascii="Arial" w:hAnsi="Arial" w:cs="Arial"/>
          <w:b/>
          <w:bCs/>
          <w:color w:val="C85348"/>
          <w:sz w:val="24"/>
          <w:szCs w:val="24"/>
        </w:rPr>
      </w:pPr>
    </w:p>
    <w:p w14:paraId="2914257B" w14:textId="77777777" w:rsidR="00B0379D" w:rsidRDefault="00B0379D" w:rsidP="00B0379D">
      <w:pPr>
        <w:pStyle w:val="ListBullet"/>
        <w:numPr>
          <w:ilvl w:val="0"/>
          <w:numId w:val="0"/>
        </w:numPr>
        <w:spacing w:after="240" w:line="240" w:lineRule="auto"/>
        <w:contextualSpacing w:val="0"/>
        <w:rPr>
          <w:rStyle w:val="normaltextrun"/>
          <w:rFonts w:ascii="Arial" w:hAnsi="Arial" w:cs="Arial"/>
          <w:b/>
          <w:bCs/>
          <w:color w:val="C85348"/>
          <w:sz w:val="24"/>
          <w:szCs w:val="24"/>
        </w:rPr>
      </w:pPr>
    </w:p>
    <w:p w14:paraId="04EEAD9E" w14:textId="77777777" w:rsidR="00B0379D" w:rsidRDefault="00B0379D" w:rsidP="00B0379D">
      <w:pPr>
        <w:pStyle w:val="ListBullet"/>
        <w:spacing w:after="240" w:line="240" w:lineRule="auto"/>
        <w:ind w:left="0" w:firstLine="0"/>
        <w:contextualSpacing w:val="0"/>
        <w:rPr>
          <w:rStyle w:val="normaltextrun"/>
          <w:rFonts w:ascii="Arial" w:hAnsi="Arial" w:cs="Arial"/>
          <w:b/>
          <w:bCs/>
          <w:color w:val="C85348"/>
          <w:sz w:val="24"/>
          <w:szCs w:val="24"/>
        </w:rPr>
        <w:sectPr w:rsidR="00B0379D" w:rsidSect="00EC2ED3">
          <w:headerReference w:type="default" r:id="rId42"/>
          <w:footerReference w:type="default" r:id="rId43"/>
          <w:pgSz w:w="11906" w:h="16838"/>
          <w:pgMar w:top="720" w:right="720" w:bottom="720" w:left="720" w:header="708" w:footer="708" w:gutter="0"/>
          <w:cols w:space="708"/>
          <w:docGrid w:linePitch="360"/>
        </w:sectPr>
      </w:pPr>
    </w:p>
    <w:p w14:paraId="538726EB" w14:textId="77777777" w:rsidR="00B0379D" w:rsidRDefault="00B0379D" w:rsidP="00B0379D">
      <w:pPr>
        <w:spacing w:after="120" w:line="240" w:lineRule="auto"/>
        <w:rPr>
          <w:rFonts w:ascii="Arial" w:hAnsi="Arial" w:cs="Arial"/>
          <w:b/>
          <w:bCs/>
          <w:color w:val="C85348"/>
        </w:rPr>
      </w:pPr>
    </w:p>
    <w:p w14:paraId="02ECD8C5" w14:textId="77777777" w:rsidR="00B0379D" w:rsidRPr="00204D2B" w:rsidRDefault="00E75E6D" w:rsidP="00B0379D">
      <w:pPr>
        <w:spacing w:after="120" w:line="240" w:lineRule="auto"/>
        <w:rPr>
          <w:rFonts w:ascii="Arial" w:hAnsi="Arial" w:cs="Arial"/>
          <w:b/>
          <w:color w:val="C85348"/>
          <w:sz w:val="32"/>
          <w:szCs w:val="32"/>
        </w:rPr>
      </w:pPr>
      <w:r w:rsidRPr="00204D2B">
        <w:rPr>
          <w:rFonts w:ascii="Arial" w:hAnsi="Arial" w:cs="Arial"/>
          <w:b/>
          <w:color w:val="C85348"/>
          <w:sz w:val="32"/>
          <w:szCs w:val="32"/>
        </w:rPr>
        <w:t xml:space="preserve">Priority 6 – Be a responsible </w:t>
      </w:r>
      <w:r>
        <w:rPr>
          <w:rFonts w:ascii="Arial" w:hAnsi="Arial" w:cs="Arial"/>
          <w:b/>
          <w:color w:val="C85348"/>
          <w:sz w:val="32"/>
          <w:szCs w:val="32"/>
        </w:rPr>
        <w:t>c</w:t>
      </w:r>
      <w:r w:rsidRPr="00204D2B">
        <w:rPr>
          <w:rFonts w:ascii="Arial" w:hAnsi="Arial" w:cs="Arial"/>
          <w:b/>
          <w:color w:val="C85348"/>
          <w:sz w:val="32"/>
          <w:szCs w:val="32"/>
        </w:rPr>
        <w:t>ouncil</w:t>
      </w:r>
    </w:p>
    <w:p w14:paraId="562520AD" w14:textId="77777777" w:rsidR="00B0379D" w:rsidRDefault="00E75E6D" w:rsidP="00B0379D">
      <w:pPr>
        <w:spacing w:after="120" w:line="240" w:lineRule="auto"/>
        <w:rPr>
          <w:rFonts w:ascii="Arial" w:hAnsi="Arial" w:cs="Arial"/>
          <w:b/>
          <w:bCs/>
          <w:color w:val="C25C5D"/>
          <w:sz w:val="32"/>
          <w:szCs w:val="32"/>
        </w:rPr>
      </w:pPr>
      <w:r w:rsidRPr="0FCDD889">
        <w:rPr>
          <w:rFonts w:ascii="Arial" w:hAnsi="Arial" w:cs="Arial"/>
          <w:b/>
          <w:bCs/>
          <w:color w:val="C25C5D"/>
          <w:sz w:val="32"/>
          <w:szCs w:val="32"/>
        </w:rPr>
        <w:t>Tier 1</w:t>
      </w:r>
    </w:p>
    <w:tbl>
      <w:tblPr>
        <w:tblW w:w="0" w:type="auto"/>
        <w:tblLook w:val="04A0" w:firstRow="1" w:lastRow="0" w:firstColumn="1" w:lastColumn="0" w:noHBand="0" w:noVBand="1"/>
      </w:tblPr>
      <w:tblGrid>
        <w:gridCol w:w="3287"/>
        <w:gridCol w:w="721"/>
        <w:gridCol w:w="2416"/>
        <w:gridCol w:w="1336"/>
        <w:gridCol w:w="1074"/>
        <w:gridCol w:w="1010"/>
        <w:gridCol w:w="948"/>
        <w:gridCol w:w="937"/>
        <w:gridCol w:w="1050"/>
        <w:gridCol w:w="772"/>
        <w:gridCol w:w="1837"/>
      </w:tblGrid>
      <w:tr w:rsidR="000E6D9E" w:rsidRPr="000E6D9E" w14:paraId="12FE619B" w14:textId="77777777" w:rsidTr="602AD899">
        <w:trPr>
          <w:trHeight w:val="420"/>
          <w:tblHeader/>
        </w:trPr>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noWrap/>
            <w:vAlign w:val="center"/>
            <w:hideMark/>
          </w:tcPr>
          <w:p w14:paraId="7D5B641C"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Outcome</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noWrap/>
            <w:vAlign w:val="center"/>
            <w:hideMark/>
          </w:tcPr>
          <w:p w14:paraId="361C8866"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Ref</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7FA97F34"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Performance Indicator</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2481D90A"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Reporting Frequency</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247024E2"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Higher / Lower is better?</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7D43BA2E"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23/24 Outturn</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2A4A6CE0"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24/25 Target</w:t>
            </w:r>
          </w:p>
        </w:tc>
        <w:tc>
          <w:tcPr>
            <w:tcW w:w="937" w:type="dxa"/>
            <w:tcBorders>
              <w:top w:val="single" w:sz="4" w:space="0" w:color="C85348"/>
              <w:left w:val="nil"/>
              <w:bottom w:val="single" w:sz="4" w:space="0" w:color="C85348"/>
              <w:right w:val="single" w:sz="4" w:space="0" w:color="C85348"/>
            </w:tcBorders>
            <w:shd w:val="clear" w:color="auto" w:fill="C85348"/>
            <w:vAlign w:val="center"/>
            <w:hideMark/>
          </w:tcPr>
          <w:p w14:paraId="15D41F20"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Q1</w:t>
            </w:r>
          </w:p>
        </w:tc>
        <w:tc>
          <w:tcPr>
            <w:tcW w:w="1013" w:type="dxa"/>
            <w:vMerge w:val="restart"/>
            <w:tcBorders>
              <w:top w:val="single" w:sz="4" w:space="0" w:color="C25C5D"/>
              <w:left w:val="single" w:sz="4" w:space="0" w:color="C25C5D"/>
              <w:bottom w:val="single" w:sz="4" w:space="0" w:color="C25C5D"/>
              <w:right w:val="single" w:sz="4" w:space="0" w:color="C25C5D"/>
            </w:tcBorders>
            <w:shd w:val="clear" w:color="auto" w:fill="C85348"/>
            <w:vAlign w:val="center"/>
            <w:hideMark/>
          </w:tcPr>
          <w:p w14:paraId="6A531E7E"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 Variance from Target (JUN)</w:t>
            </w:r>
          </w:p>
        </w:tc>
        <w:tc>
          <w:tcPr>
            <w:tcW w:w="0" w:type="auto"/>
            <w:vMerge w:val="restart"/>
            <w:tcBorders>
              <w:top w:val="single" w:sz="4" w:space="0" w:color="C25C5D"/>
              <w:left w:val="single" w:sz="4" w:space="0" w:color="C25C5D"/>
              <w:bottom w:val="single" w:sz="4" w:space="0" w:color="C25C5D"/>
              <w:right w:val="single" w:sz="4" w:space="0" w:color="C25C5D"/>
            </w:tcBorders>
            <w:shd w:val="clear" w:color="auto" w:fill="C85348"/>
            <w:vAlign w:val="center"/>
            <w:hideMark/>
          </w:tcPr>
          <w:p w14:paraId="11C5B58C"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Trend</w:t>
            </w:r>
          </w:p>
        </w:tc>
        <w:tc>
          <w:tcPr>
            <w:tcW w:w="0" w:type="auto"/>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6C9E610F"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Comparative Performance</w:t>
            </w:r>
          </w:p>
        </w:tc>
      </w:tr>
      <w:tr w:rsidR="000E6D9E" w:rsidRPr="000E6D9E" w14:paraId="7E83C664" w14:textId="77777777" w:rsidTr="602AD899">
        <w:trPr>
          <w:trHeight w:val="658"/>
        </w:trPr>
        <w:tc>
          <w:tcPr>
            <w:tcW w:w="0" w:type="auto"/>
            <w:vMerge/>
            <w:vAlign w:val="center"/>
            <w:hideMark/>
          </w:tcPr>
          <w:p w14:paraId="43F3332D"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63FF2434"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4E1CDD72"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4468303C"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6C0F551F"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2341729C"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20D69753"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937" w:type="dxa"/>
            <w:tcBorders>
              <w:top w:val="nil"/>
              <w:left w:val="nil"/>
              <w:bottom w:val="single" w:sz="4" w:space="0" w:color="C85348"/>
              <w:right w:val="single" w:sz="4" w:space="0" w:color="C85348"/>
            </w:tcBorders>
            <w:shd w:val="clear" w:color="auto" w:fill="C85348"/>
            <w:vAlign w:val="center"/>
            <w:hideMark/>
          </w:tcPr>
          <w:p w14:paraId="1224A1FA" w14:textId="77777777" w:rsidR="000E6D9E" w:rsidRPr="000E6D9E" w:rsidRDefault="000E6D9E" w:rsidP="000E6D9E">
            <w:pPr>
              <w:spacing w:after="0" w:line="240" w:lineRule="auto"/>
              <w:jc w:val="center"/>
              <w:rPr>
                <w:rFonts w:ascii="Arial" w:eastAsia="Times New Roman" w:hAnsi="Arial" w:cs="Arial"/>
                <w:b/>
                <w:bCs/>
                <w:color w:val="FFFFFF"/>
                <w:sz w:val="20"/>
                <w:szCs w:val="20"/>
                <w:lang w:eastAsia="en-GB"/>
              </w:rPr>
            </w:pPr>
            <w:r w:rsidRPr="000E6D9E">
              <w:rPr>
                <w:rFonts w:ascii="Arial" w:eastAsia="Times New Roman" w:hAnsi="Arial" w:cs="Arial"/>
                <w:b/>
                <w:bCs/>
                <w:color w:val="FFFFFF"/>
                <w:sz w:val="20"/>
                <w:szCs w:val="20"/>
                <w:lang w:eastAsia="en-GB"/>
              </w:rPr>
              <w:t>June</w:t>
            </w:r>
          </w:p>
        </w:tc>
        <w:tc>
          <w:tcPr>
            <w:tcW w:w="1013" w:type="dxa"/>
            <w:vMerge/>
            <w:vAlign w:val="center"/>
            <w:hideMark/>
          </w:tcPr>
          <w:p w14:paraId="570D41B4"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329E76C0"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c>
          <w:tcPr>
            <w:tcW w:w="0" w:type="auto"/>
            <w:vMerge/>
            <w:vAlign w:val="center"/>
            <w:hideMark/>
          </w:tcPr>
          <w:p w14:paraId="6A0936AF" w14:textId="77777777" w:rsidR="000E6D9E" w:rsidRPr="000E6D9E" w:rsidRDefault="000E6D9E" w:rsidP="000E6D9E">
            <w:pPr>
              <w:spacing w:after="0" w:line="240" w:lineRule="auto"/>
              <w:rPr>
                <w:rFonts w:ascii="Arial" w:eastAsia="Times New Roman" w:hAnsi="Arial" w:cs="Arial"/>
                <w:b/>
                <w:bCs/>
                <w:color w:val="FFFFFF"/>
                <w:sz w:val="20"/>
                <w:szCs w:val="20"/>
                <w:lang w:eastAsia="en-GB"/>
              </w:rPr>
            </w:pPr>
          </w:p>
        </w:tc>
      </w:tr>
      <w:tr w:rsidR="000E6D9E" w:rsidRPr="000E6D9E" w14:paraId="571BB015" w14:textId="77777777" w:rsidTr="602AD899">
        <w:trPr>
          <w:trHeight w:val="1783"/>
        </w:trPr>
        <w:tc>
          <w:tcPr>
            <w:tcW w:w="0" w:type="auto"/>
            <w:vMerge w:val="restart"/>
            <w:tcBorders>
              <w:top w:val="single" w:sz="4" w:space="0" w:color="auto"/>
              <w:left w:val="single" w:sz="4" w:space="0" w:color="auto"/>
              <w:bottom w:val="single" w:sz="4" w:space="0" w:color="auto"/>
              <w:right w:val="single" w:sz="4" w:space="0" w:color="auto"/>
            </w:tcBorders>
            <w:shd w:val="clear" w:color="auto" w:fill="EBC0BB"/>
            <w:vAlign w:val="center"/>
            <w:hideMark/>
          </w:tcPr>
          <w:p w14:paraId="205EDCF8" w14:textId="77777777" w:rsidR="000E6D9E" w:rsidRPr="000E6D9E" w:rsidRDefault="000E6D9E" w:rsidP="000E6D9E">
            <w:pPr>
              <w:spacing w:after="0" w:line="240" w:lineRule="auto"/>
              <w:jc w:val="center"/>
              <w:rPr>
                <w:rFonts w:ascii="Arial" w:eastAsia="Times New Roman" w:hAnsi="Arial" w:cs="Arial"/>
                <w:b/>
                <w:bCs/>
                <w:color w:val="000000"/>
                <w:sz w:val="20"/>
                <w:szCs w:val="20"/>
                <w:lang w:eastAsia="en-GB"/>
              </w:rPr>
            </w:pPr>
            <w:r w:rsidRPr="000E6D9E">
              <w:rPr>
                <w:rFonts w:ascii="Arial" w:eastAsia="Times New Roman" w:hAnsi="Arial" w:cs="Arial"/>
                <w:b/>
                <w:bCs/>
                <w:color w:val="000000"/>
                <w:sz w:val="20"/>
                <w:szCs w:val="20"/>
                <w:lang w:eastAsia="en-GB"/>
              </w:rPr>
              <w:t>Communicate, listen, engage, and work in partnership well with our residents, communities, local organisations, and partners recognising the strength and skills in our community</w:t>
            </w: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724FECA2"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CS-001</w:t>
            </w:r>
          </w:p>
        </w:tc>
        <w:tc>
          <w:tcPr>
            <w:tcW w:w="0" w:type="auto"/>
            <w:tcBorders>
              <w:top w:val="nil"/>
              <w:left w:val="nil"/>
              <w:bottom w:val="single" w:sz="4" w:space="0" w:color="C85348"/>
              <w:right w:val="single" w:sz="4" w:space="0" w:color="C85348"/>
            </w:tcBorders>
            <w:shd w:val="clear" w:color="auto" w:fill="auto"/>
            <w:vAlign w:val="center"/>
            <w:hideMark/>
          </w:tcPr>
          <w:p w14:paraId="7F35FB2F"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Number of upheld ombudsman complaints received per 100,000 pop.</w:t>
            </w:r>
          </w:p>
        </w:tc>
        <w:tc>
          <w:tcPr>
            <w:tcW w:w="0" w:type="auto"/>
            <w:tcBorders>
              <w:top w:val="nil"/>
              <w:left w:val="nil"/>
              <w:bottom w:val="single" w:sz="4" w:space="0" w:color="C85348"/>
              <w:right w:val="single" w:sz="4" w:space="0" w:color="C85348"/>
            </w:tcBorders>
            <w:shd w:val="clear" w:color="auto" w:fill="auto"/>
            <w:vAlign w:val="center"/>
            <w:hideMark/>
          </w:tcPr>
          <w:p w14:paraId="54F22F7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Annual</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6A149A29"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single" w:sz="4" w:space="0" w:color="C85348"/>
              <w:left w:val="nil"/>
              <w:bottom w:val="single" w:sz="4" w:space="0" w:color="C85348"/>
              <w:right w:val="single" w:sz="4" w:space="0" w:color="C85348"/>
            </w:tcBorders>
            <w:shd w:val="clear" w:color="auto" w:fill="92D050"/>
            <w:vAlign w:val="center"/>
            <w:hideMark/>
          </w:tcPr>
          <w:p w14:paraId="336B093C" w14:textId="135F1E04" w:rsidR="000E6D9E" w:rsidRPr="000E6D9E" w:rsidRDefault="00EB2144" w:rsidP="000E6D9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6.0</w:t>
            </w:r>
          </w:p>
        </w:tc>
        <w:tc>
          <w:tcPr>
            <w:tcW w:w="0" w:type="auto"/>
            <w:tcBorders>
              <w:top w:val="single" w:sz="4" w:space="0" w:color="C85348"/>
              <w:left w:val="nil"/>
              <w:bottom w:val="single" w:sz="4" w:space="0" w:color="C85348"/>
              <w:right w:val="single" w:sz="4" w:space="0" w:color="C85348"/>
            </w:tcBorders>
            <w:shd w:val="clear" w:color="auto" w:fill="auto"/>
            <w:noWrap/>
            <w:vAlign w:val="center"/>
            <w:hideMark/>
          </w:tcPr>
          <w:p w14:paraId="2C4E23AE" w14:textId="0C92EE47" w:rsidR="000E6D9E" w:rsidRPr="000E6D9E" w:rsidRDefault="008A32DF" w:rsidP="000E6D9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1.25</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54C54193"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1.08</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568E5975"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13.6%</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2E0ABD1D" w14:textId="50C88D81"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11" behindDoc="0" locked="0" layoutInCell="1" allowOverlap="1" wp14:anchorId="26758CDE" wp14:editId="4664F30C">
                  <wp:simplePos x="0" y="0"/>
                  <wp:positionH relativeFrom="column">
                    <wp:posOffset>64770</wp:posOffset>
                  </wp:positionH>
                  <wp:positionV relativeFrom="paragraph">
                    <wp:posOffset>71755</wp:posOffset>
                  </wp:positionV>
                  <wp:extent cx="266700" cy="254000"/>
                  <wp:effectExtent l="0" t="0" r="0" b="0"/>
                  <wp:wrapNone/>
                  <wp:docPr id="1248512987" name="Picture 91" descr="P2128C22T47#y1">
                    <a:extLst xmlns:a="http://schemas.openxmlformats.org/drawingml/2006/main">
                      <a:ext uri="{FF2B5EF4-FFF2-40B4-BE49-F238E27FC236}">
                        <a16:creationId xmlns:a16="http://schemas.microsoft.com/office/drawing/2014/main" id="{DB0380F9-B1C6-43EB-BF51-39C8FE5C4C66}"/>
                      </a:ext>
                      <a:ext uri="{147F2762-F138-4A5C-976F-8EAC2B608ADB}">
                        <a16:predDERef xmlns:a16="http://schemas.microsoft.com/office/drawing/2014/main" pred="{949C28D6-2F4F-4790-A947-7DFD5E31C698}"/>
                      </a:ext>
                    </a:extLst>
                  </wp:docPr>
                  <wp:cNvGraphicFramePr/>
                  <a:graphic xmlns:a="http://schemas.openxmlformats.org/drawingml/2006/main">
                    <a:graphicData uri="http://schemas.openxmlformats.org/drawingml/2006/picture">
                      <pic:pic xmlns:pic="http://schemas.openxmlformats.org/drawingml/2006/picture">
                        <pic:nvPicPr>
                          <pic:cNvPr id="1248512987" name="Picture 75" descr="P2128C22T47#y1">
                            <a:extLst>
                              <a:ext uri="{FF2B5EF4-FFF2-40B4-BE49-F238E27FC236}">
                                <a16:creationId xmlns:a16="http://schemas.microsoft.com/office/drawing/2014/main" id="{DB0380F9-B1C6-43EB-BF51-39C8FE5C4C66}"/>
                              </a:ext>
                              <a:ext uri="{147F2762-F138-4A5C-976F-8EAC2B608ADB}">
                                <a16:predDERef xmlns:a16="http://schemas.microsoft.com/office/drawing/2014/main" pred="{949C28D6-2F4F-4790-A947-7DFD5E31C69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1370528D" w14:textId="2E24B1DF"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462B6B" w:rsidRPr="000E6D9E" w14:paraId="7F854E41" w14:textId="77777777" w:rsidTr="7CC97CF7">
        <w:trPr>
          <w:trHeight w:val="2530"/>
        </w:trPr>
        <w:tc>
          <w:tcPr>
            <w:tcW w:w="0" w:type="auto"/>
            <w:vMerge/>
            <w:vAlign w:val="center"/>
            <w:hideMark/>
          </w:tcPr>
          <w:p w14:paraId="5C3EECB2"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750B450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CS-002</w:t>
            </w:r>
          </w:p>
        </w:tc>
        <w:tc>
          <w:tcPr>
            <w:tcW w:w="0" w:type="auto"/>
            <w:tcBorders>
              <w:top w:val="nil"/>
              <w:left w:val="nil"/>
              <w:bottom w:val="single" w:sz="4" w:space="0" w:color="C85348"/>
              <w:right w:val="single" w:sz="4" w:space="0" w:color="C85348"/>
            </w:tcBorders>
            <w:shd w:val="clear" w:color="auto" w:fill="auto"/>
            <w:vAlign w:val="center"/>
            <w:hideMark/>
          </w:tcPr>
          <w:p w14:paraId="4C64DC23"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Percentage of Stage 1 complaints responded to within policy timescales.</w:t>
            </w:r>
          </w:p>
        </w:tc>
        <w:tc>
          <w:tcPr>
            <w:tcW w:w="0" w:type="auto"/>
            <w:tcBorders>
              <w:top w:val="nil"/>
              <w:left w:val="nil"/>
              <w:bottom w:val="single" w:sz="4" w:space="0" w:color="C85348"/>
              <w:right w:val="single" w:sz="4" w:space="0" w:color="C85348"/>
            </w:tcBorders>
            <w:shd w:val="clear" w:color="auto" w:fill="auto"/>
            <w:vAlign w:val="center"/>
            <w:hideMark/>
          </w:tcPr>
          <w:p w14:paraId="545E1171"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37CFF704"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FF0000"/>
            <w:vAlign w:val="center"/>
            <w:hideMark/>
          </w:tcPr>
          <w:p w14:paraId="40441B8F" w14:textId="4FE00F73" w:rsidR="000E6D9E" w:rsidRPr="000E6D9E" w:rsidRDefault="02DBB64C" w:rsidP="000E6D9E">
            <w:pPr>
              <w:spacing w:after="0" w:line="240" w:lineRule="auto"/>
              <w:jc w:val="center"/>
              <w:rPr>
                <w:rFonts w:ascii="Arial" w:eastAsia="Times New Roman" w:hAnsi="Arial" w:cs="Arial"/>
                <w:color w:val="000000"/>
                <w:sz w:val="20"/>
                <w:szCs w:val="20"/>
                <w:lang w:eastAsia="en-GB"/>
              </w:rPr>
            </w:pPr>
            <w:r w:rsidRPr="7CC97CF7">
              <w:rPr>
                <w:rFonts w:ascii="Arial" w:eastAsia="Times New Roman" w:hAnsi="Arial" w:cs="Arial"/>
                <w:color w:val="000000" w:themeColor="text1"/>
                <w:sz w:val="20"/>
                <w:szCs w:val="20"/>
                <w:lang w:eastAsia="en-GB"/>
              </w:rPr>
              <w:t>58</w:t>
            </w:r>
            <w:r w:rsidR="000E6D9E" w:rsidRPr="7CC97CF7">
              <w:rPr>
                <w:rFonts w:ascii="Arial" w:eastAsia="Times New Roman" w:hAnsi="Arial" w:cs="Arial"/>
                <w:color w:val="000000" w:themeColor="text1"/>
                <w:sz w:val="20"/>
                <w:szCs w:val="20"/>
                <w:lang w:eastAsia="en-GB"/>
              </w:rPr>
              <w:t>%</w:t>
            </w:r>
          </w:p>
        </w:tc>
        <w:tc>
          <w:tcPr>
            <w:tcW w:w="0" w:type="auto"/>
            <w:tcBorders>
              <w:top w:val="nil"/>
              <w:left w:val="nil"/>
              <w:bottom w:val="single" w:sz="4" w:space="0" w:color="C85348"/>
              <w:right w:val="single" w:sz="4" w:space="0" w:color="C85348"/>
            </w:tcBorders>
            <w:shd w:val="clear" w:color="auto" w:fill="auto"/>
            <w:noWrap/>
            <w:vAlign w:val="center"/>
            <w:hideMark/>
          </w:tcPr>
          <w:p w14:paraId="0FE22541"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75%</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4EF7685F" w14:textId="4734F8F7" w:rsidR="000E6D9E" w:rsidRPr="000E6D9E" w:rsidRDefault="496B5242" w:rsidP="000E6D9E">
            <w:pPr>
              <w:spacing w:after="0" w:line="240" w:lineRule="auto"/>
              <w:jc w:val="center"/>
              <w:rPr>
                <w:rFonts w:ascii="Arial" w:eastAsia="Times New Roman" w:hAnsi="Arial" w:cs="Arial"/>
                <w:color w:val="000000"/>
                <w:sz w:val="20"/>
                <w:szCs w:val="20"/>
                <w:lang w:eastAsia="en-GB"/>
              </w:rPr>
            </w:pPr>
            <w:r w:rsidRPr="4AF5F9B2">
              <w:rPr>
                <w:rFonts w:ascii="Arial" w:eastAsia="Times New Roman" w:hAnsi="Arial" w:cs="Arial"/>
                <w:color w:val="000000" w:themeColor="text1"/>
                <w:sz w:val="20"/>
                <w:szCs w:val="20"/>
                <w:lang w:eastAsia="en-GB"/>
              </w:rPr>
              <w:t>8</w:t>
            </w:r>
            <w:r w:rsidR="1233401B" w:rsidRPr="4AF5F9B2">
              <w:rPr>
                <w:rFonts w:ascii="Arial" w:eastAsia="Times New Roman" w:hAnsi="Arial" w:cs="Arial"/>
                <w:color w:val="000000" w:themeColor="text1"/>
                <w:sz w:val="20"/>
                <w:szCs w:val="20"/>
                <w:lang w:eastAsia="en-GB"/>
              </w:rPr>
              <w:t>3</w:t>
            </w:r>
          </w:p>
        </w:tc>
        <w:tc>
          <w:tcPr>
            <w:tcW w:w="1013" w:type="dxa"/>
            <w:tcBorders>
              <w:top w:val="single" w:sz="4" w:space="0" w:color="C85348"/>
              <w:left w:val="single" w:sz="4" w:space="0" w:color="C85348"/>
              <w:bottom w:val="single" w:sz="4" w:space="0" w:color="C85348"/>
              <w:right w:val="single" w:sz="4" w:space="0" w:color="C85348"/>
            </w:tcBorders>
            <w:shd w:val="clear" w:color="auto" w:fill="FFFFFF" w:themeFill="background1"/>
            <w:vAlign w:val="center"/>
            <w:hideMark/>
          </w:tcPr>
          <w:p w14:paraId="3C9C4D92" w14:textId="758DA654" w:rsidR="000E6D9E" w:rsidRPr="000E6D9E" w:rsidRDefault="2B7EBBDA" w:rsidP="000E6D9E">
            <w:pPr>
              <w:spacing w:after="0" w:line="240" w:lineRule="auto"/>
              <w:jc w:val="center"/>
              <w:rPr>
                <w:rFonts w:ascii="Arial" w:eastAsia="Times New Roman" w:hAnsi="Arial" w:cs="Arial"/>
                <w:color w:val="00B050"/>
                <w:sz w:val="20"/>
                <w:szCs w:val="20"/>
                <w:lang w:eastAsia="en-GB"/>
              </w:rPr>
            </w:pPr>
            <w:r w:rsidRPr="25753D32">
              <w:rPr>
                <w:rFonts w:ascii="Arial" w:eastAsia="Times New Roman" w:hAnsi="Arial" w:cs="Arial"/>
                <w:color w:val="00B050"/>
                <w:sz w:val="20"/>
                <w:szCs w:val="20"/>
                <w:lang w:eastAsia="en-GB"/>
              </w:rPr>
              <w:t>10</w:t>
            </w:r>
            <w:r w:rsidR="77AD8DFC" w:rsidRPr="7CC97CF7">
              <w:rPr>
                <w:rFonts w:ascii="Arial" w:eastAsia="Times New Roman" w:hAnsi="Arial" w:cs="Arial"/>
                <w:color w:val="00B050"/>
                <w:sz w:val="20"/>
                <w:szCs w:val="20"/>
                <w:lang w:eastAsia="en-GB"/>
              </w:rPr>
              <w:t>.</w:t>
            </w:r>
            <w:r w:rsidR="456412F0" w:rsidRPr="1D9A2533">
              <w:rPr>
                <w:rFonts w:ascii="Arial" w:eastAsia="Times New Roman" w:hAnsi="Arial" w:cs="Arial"/>
                <w:color w:val="00B050"/>
                <w:sz w:val="20"/>
                <w:szCs w:val="20"/>
                <w:lang w:eastAsia="en-GB"/>
              </w:rPr>
              <w:t>6</w:t>
            </w:r>
            <w:r w:rsidR="02BB5D09" w:rsidRPr="602AD899">
              <w:rPr>
                <w:rFonts w:ascii="Arial" w:eastAsia="Times New Roman" w:hAnsi="Arial" w:cs="Arial"/>
                <w:color w:val="00B050"/>
                <w:sz w:val="20"/>
                <w:szCs w:val="20"/>
                <w:lang w:eastAsia="en-GB"/>
              </w:rPr>
              <w:t>%</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5358AABC" w14:textId="593C6E81" w:rsidR="000E6D9E" w:rsidRPr="000E6D9E" w:rsidRDefault="54EB196A" w:rsidP="000E6D9E">
            <w:pPr>
              <w:spacing w:after="0" w:line="240" w:lineRule="auto"/>
              <w:jc w:val="center"/>
              <w:rPr>
                <w:rFonts w:ascii="Arial" w:eastAsia="Times New Roman" w:hAnsi="Arial" w:cs="Arial"/>
                <w:sz w:val="20"/>
                <w:szCs w:val="20"/>
                <w:lang w:eastAsia="en-GB"/>
              </w:rPr>
            </w:pPr>
            <w:r>
              <w:rPr>
                <w:noProof/>
              </w:rPr>
              <w:drawing>
                <wp:inline distT="0" distB="0" distL="0" distR="0" wp14:anchorId="2E69DD0E" wp14:editId="08087735">
                  <wp:extent cx="260350" cy="260350"/>
                  <wp:effectExtent l="0" t="0" r="6350" b="6350"/>
                  <wp:docPr id="1063991102" name="Picture 92" descr="P2140C32T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1102" name="Picture 74" descr="P2140C32T47#yIS1"/>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702D40F6-21B4-47A3-AD3D-92F31CF9C388}"/>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pred="{593303E8-9912-48C4-9F06-0241E4B780A3}"/>
                              </a:ext>
                            </a:extLst>
                          </a:blip>
                          <a:stretch>
                            <a:fillRect/>
                          </a:stretch>
                        </pic:blipFill>
                        <pic:spPr bwMode="auto">
                          <a:xfrm>
                            <a:off x="0" y="0"/>
                            <a:ext cx="260350" cy="260350"/>
                          </a:xfrm>
                          <a:prstGeom prst="rect">
                            <a:avLst/>
                          </a:prstGeom>
                          <a:noFill/>
                        </pic:spPr>
                      </pic:pic>
                    </a:graphicData>
                  </a:graphic>
                </wp:inline>
              </w:drawing>
            </w:r>
            <w:r w:rsidR="000E6D9E" w:rsidRPr="000E6D9E">
              <w:rPr>
                <w:rFonts w:ascii="Arial" w:eastAsia="Times New Roman" w:hAnsi="Arial" w:cs="Arial"/>
                <w:sz w:val="20"/>
                <w:szCs w:val="20"/>
                <w:lang w:eastAsia="en-GB"/>
              </w:rPr>
              <w:t> </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4F976ED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79D224D4" w14:textId="77777777" w:rsidTr="602AD899">
        <w:trPr>
          <w:trHeight w:val="1185"/>
        </w:trPr>
        <w:tc>
          <w:tcPr>
            <w:tcW w:w="0" w:type="auto"/>
            <w:vMerge w:val="restart"/>
            <w:tcBorders>
              <w:top w:val="single" w:sz="4" w:space="0" w:color="auto"/>
              <w:left w:val="single" w:sz="4" w:space="0" w:color="auto"/>
              <w:bottom w:val="single" w:sz="4" w:space="0" w:color="auto"/>
              <w:right w:val="single" w:sz="4" w:space="0" w:color="auto"/>
            </w:tcBorders>
            <w:shd w:val="clear" w:color="auto" w:fill="EBC0BB"/>
            <w:vAlign w:val="center"/>
            <w:hideMark/>
          </w:tcPr>
          <w:p w14:paraId="38180D5F" w14:textId="77777777" w:rsidR="000E6D9E" w:rsidRPr="000E6D9E" w:rsidRDefault="000E6D9E" w:rsidP="000E6D9E">
            <w:pPr>
              <w:spacing w:after="0" w:line="240" w:lineRule="auto"/>
              <w:jc w:val="center"/>
              <w:rPr>
                <w:rFonts w:ascii="Arial" w:eastAsia="Times New Roman" w:hAnsi="Arial" w:cs="Arial"/>
                <w:b/>
                <w:bCs/>
                <w:color w:val="000000"/>
                <w:sz w:val="20"/>
                <w:szCs w:val="20"/>
                <w:lang w:eastAsia="en-GB"/>
              </w:rPr>
            </w:pPr>
            <w:r w:rsidRPr="000E6D9E">
              <w:rPr>
                <w:rFonts w:ascii="Arial" w:eastAsia="Times New Roman" w:hAnsi="Arial" w:cs="Arial"/>
                <w:b/>
                <w:bCs/>
                <w:color w:val="000000"/>
                <w:sz w:val="20"/>
                <w:szCs w:val="20"/>
                <w:lang w:eastAsia="en-GB"/>
              </w:rPr>
              <w:t>We invest in developing the strengths and skills of our workforce and elected members</w:t>
            </w: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0DC5D5C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CS-003</w:t>
            </w:r>
          </w:p>
        </w:tc>
        <w:tc>
          <w:tcPr>
            <w:tcW w:w="0" w:type="auto"/>
            <w:tcBorders>
              <w:top w:val="nil"/>
              <w:left w:val="nil"/>
              <w:bottom w:val="single" w:sz="4" w:space="0" w:color="C85348"/>
              <w:right w:val="single" w:sz="4" w:space="0" w:color="C85348"/>
            </w:tcBorders>
            <w:shd w:val="clear" w:color="auto" w:fill="auto"/>
            <w:vAlign w:val="center"/>
            <w:hideMark/>
          </w:tcPr>
          <w:p w14:paraId="79A7B63E"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The percentage of staff completing mandatory core E-learning training</w:t>
            </w:r>
          </w:p>
        </w:tc>
        <w:tc>
          <w:tcPr>
            <w:tcW w:w="0" w:type="auto"/>
            <w:tcBorders>
              <w:top w:val="nil"/>
              <w:left w:val="nil"/>
              <w:bottom w:val="single" w:sz="4" w:space="0" w:color="C85348"/>
              <w:right w:val="single" w:sz="4" w:space="0" w:color="C85348"/>
            </w:tcBorders>
            <w:shd w:val="clear" w:color="auto" w:fill="auto"/>
            <w:vAlign w:val="center"/>
            <w:hideMark/>
          </w:tcPr>
          <w:p w14:paraId="32075F23"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5FD989D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FF0000"/>
            <w:vAlign w:val="center"/>
            <w:hideMark/>
          </w:tcPr>
          <w:p w14:paraId="378B06C8"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58%</w:t>
            </w:r>
          </w:p>
        </w:tc>
        <w:tc>
          <w:tcPr>
            <w:tcW w:w="0" w:type="auto"/>
            <w:tcBorders>
              <w:top w:val="nil"/>
              <w:left w:val="nil"/>
              <w:bottom w:val="single" w:sz="4" w:space="0" w:color="C85348"/>
              <w:right w:val="single" w:sz="4" w:space="0" w:color="C85348"/>
            </w:tcBorders>
            <w:shd w:val="clear" w:color="auto" w:fill="auto"/>
            <w:noWrap/>
            <w:vAlign w:val="center"/>
            <w:hideMark/>
          </w:tcPr>
          <w:p w14:paraId="6B8FE72B"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70%</w:t>
            </w:r>
          </w:p>
        </w:tc>
        <w:tc>
          <w:tcPr>
            <w:tcW w:w="937" w:type="dxa"/>
            <w:tcBorders>
              <w:top w:val="single" w:sz="4" w:space="0" w:color="C85348"/>
              <w:left w:val="single" w:sz="4" w:space="0" w:color="C85348"/>
              <w:bottom w:val="single" w:sz="4" w:space="0" w:color="C85348"/>
              <w:right w:val="single" w:sz="4" w:space="0" w:color="C85348"/>
            </w:tcBorders>
            <w:shd w:val="clear" w:color="auto" w:fill="FFC000"/>
            <w:vAlign w:val="center"/>
            <w:hideMark/>
          </w:tcPr>
          <w:p w14:paraId="5B0BE48B"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68.8</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581B74A9" w14:textId="77777777" w:rsidR="000E6D9E" w:rsidRPr="000E6D9E" w:rsidRDefault="000E6D9E" w:rsidP="000E6D9E">
            <w:pPr>
              <w:spacing w:after="0" w:line="240" w:lineRule="auto"/>
              <w:jc w:val="center"/>
              <w:rPr>
                <w:rFonts w:ascii="Arial" w:eastAsia="Times New Roman" w:hAnsi="Arial" w:cs="Arial"/>
                <w:color w:val="FF0000"/>
                <w:sz w:val="20"/>
                <w:szCs w:val="20"/>
                <w:lang w:eastAsia="en-GB"/>
              </w:rPr>
            </w:pPr>
            <w:r w:rsidRPr="00DB6318">
              <w:rPr>
                <w:rFonts w:ascii="Arial" w:eastAsia="Times New Roman" w:hAnsi="Arial" w:cs="Arial"/>
                <w:sz w:val="20"/>
                <w:szCs w:val="20"/>
                <w:lang w:eastAsia="en-GB"/>
              </w:rPr>
              <w:t>-1.71%</w:t>
            </w:r>
          </w:p>
        </w:tc>
        <w:tc>
          <w:tcPr>
            <w:tcW w:w="0" w:type="auto"/>
            <w:tcBorders>
              <w:top w:val="single" w:sz="4" w:space="0" w:color="C85348"/>
              <w:left w:val="nil"/>
              <w:bottom w:val="single" w:sz="4" w:space="0" w:color="C85348"/>
              <w:right w:val="single" w:sz="4" w:space="0" w:color="C85348"/>
            </w:tcBorders>
            <w:shd w:val="clear" w:color="auto" w:fill="FFFFFF" w:themeFill="background1"/>
            <w:noWrap/>
            <w:vAlign w:val="center"/>
            <w:hideMark/>
          </w:tcPr>
          <w:p w14:paraId="30575847" w14:textId="2B9A0FE0"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10" behindDoc="0" locked="0" layoutInCell="1" allowOverlap="1" wp14:anchorId="06A9DB05" wp14:editId="406F1E3C">
                  <wp:simplePos x="0" y="0"/>
                  <wp:positionH relativeFrom="column">
                    <wp:posOffset>60960</wp:posOffset>
                  </wp:positionH>
                  <wp:positionV relativeFrom="paragraph">
                    <wp:posOffset>38100</wp:posOffset>
                  </wp:positionV>
                  <wp:extent cx="260350" cy="260350"/>
                  <wp:effectExtent l="0" t="0" r="6350" b="6350"/>
                  <wp:wrapNone/>
                  <wp:docPr id="391560257" name="Picture 93" descr="P2152C43T47#y1">
                    <a:extLst xmlns:a="http://schemas.openxmlformats.org/drawingml/2006/main">
                      <a:ext uri="{FF2B5EF4-FFF2-40B4-BE49-F238E27FC236}">
                        <a16:creationId xmlns:a16="http://schemas.microsoft.com/office/drawing/2014/main" id="{702D40F6-21B4-47A3-AD3D-92F31CF9C388}"/>
                      </a:ext>
                      <a:ext uri="{147F2762-F138-4A5C-976F-8EAC2B608ADB}">
                        <a16:predDERef xmlns:a16="http://schemas.microsoft.com/office/drawing/2014/main" pred="{593303E8-9912-48C4-9F06-0241E4B780A3}"/>
                      </a:ext>
                    </a:extLst>
                  </wp:docPr>
                  <wp:cNvGraphicFramePr/>
                  <a:graphic xmlns:a="http://schemas.openxmlformats.org/drawingml/2006/main">
                    <a:graphicData uri="http://schemas.openxmlformats.org/drawingml/2006/picture">
                      <pic:pic xmlns:pic="http://schemas.openxmlformats.org/drawingml/2006/picture">
                        <pic:nvPicPr>
                          <pic:cNvPr id="391560257" name="Picture 74" descr="P2152C43T47#y1">
                            <a:extLst>
                              <a:ext uri="{FF2B5EF4-FFF2-40B4-BE49-F238E27FC236}">
                                <a16:creationId xmlns:a16="http://schemas.microsoft.com/office/drawing/2014/main" id="{702D40F6-21B4-47A3-AD3D-92F31CF9C388}"/>
                              </a:ext>
                              <a:ext uri="{147F2762-F138-4A5C-976F-8EAC2B608ADB}">
                                <a16:predDERef xmlns:a16="http://schemas.microsoft.com/office/drawing/2014/main" pred="{593303E8-9912-48C4-9F06-0241E4B780A3}"/>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06FB82B6"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08ADB6C8" w14:textId="77777777" w:rsidTr="602AD899">
        <w:trPr>
          <w:trHeight w:val="1185"/>
        </w:trPr>
        <w:tc>
          <w:tcPr>
            <w:tcW w:w="0" w:type="auto"/>
            <w:vMerge/>
            <w:vAlign w:val="center"/>
            <w:hideMark/>
          </w:tcPr>
          <w:p w14:paraId="0DDBD95F"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462ECAD5"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CS-004A</w:t>
            </w:r>
          </w:p>
        </w:tc>
        <w:tc>
          <w:tcPr>
            <w:tcW w:w="0" w:type="auto"/>
            <w:tcBorders>
              <w:top w:val="nil"/>
              <w:left w:val="nil"/>
              <w:bottom w:val="single" w:sz="4" w:space="0" w:color="C85348"/>
              <w:right w:val="single" w:sz="4" w:space="0" w:color="C85348"/>
            </w:tcBorders>
            <w:shd w:val="clear" w:color="auto" w:fill="auto"/>
            <w:vAlign w:val="center"/>
            <w:hideMark/>
          </w:tcPr>
          <w:p w14:paraId="0C282580"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The percentage delivery of the Member Development Programme over 12 months</w:t>
            </w:r>
          </w:p>
        </w:tc>
        <w:tc>
          <w:tcPr>
            <w:tcW w:w="0" w:type="auto"/>
            <w:tcBorders>
              <w:top w:val="nil"/>
              <w:left w:val="nil"/>
              <w:bottom w:val="single" w:sz="4" w:space="0" w:color="C85348"/>
              <w:right w:val="single" w:sz="4" w:space="0" w:color="C85348"/>
            </w:tcBorders>
            <w:shd w:val="clear" w:color="auto" w:fill="auto"/>
            <w:vAlign w:val="center"/>
            <w:hideMark/>
          </w:tcPr>
          <w:p w14:paraId="7B3343FD"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78C42C5B"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18E68B2F"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100%</w:t>
            </w:r>
          </w:p>
        </w:tc>
        <w:tc>
          <w:tcPr>
            <w:tcW w:w="0" w:type="auto"/>
            <w:tcBorders>
              <w:top w:val="nil"/>
              <w:left w:val="nil"/>
              <w:bottom w:val="single" w:sz="4" w:space="0" w:color="C85348"/>
              <w:right w:val="single" w:sz="4" w:space="0" w:color="C85348"/>
            </w:tcBorders>
            <w:shd w:val="clear" w:color="auto" w:fill="auto"/>
            <w:noWrap/>
            <w:vAlign w:val="center"/>
            <w:hideMark/>
          </w:tcPr>
          <w:p w14:paraId="5F7641B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100%</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61B62375"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100</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45EF667A"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0%</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0C3B1F4E" w14:textId="25122787" w:rsidR="000E6D9E" w:rsidRPr="000E6D9E" w:rsidRDefault="00A00D8C"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mc:AlternateContent>
                <mc:Choice Requires="wpg">
                  <w:drawing>
                    <wp:anchor distT="0" distB="0" distL="114300" distR="114300" simplePos="0" relativeHeight="251658306" behindDoc="0" locked="0" layoutInCell="1" allowOverlap="1" wp14:anchorId="3D441566" wp14:editId="64A8FF50">
                      <wp:simplePos x="0" y="0"/>
                      <wp:positionH relativeFrom="column">
                        <wp:posOffset>22860</wp:posOffset>
                      </wp:positionH>
                      <wp:positionV relativeFrom="paragraph">
                        <wp:posOffset>-29845</wp:posOffset>
                      </wp:positionV>
                      <wp:extent cx="327660" cy="279400"/>
                      <wp:effectExtent l="0" t="0" r="0" b="6350"/>
                      <wp:wrapNone/>
                      <wp:docPr id="619426357" name="Group 94" descr="P2164C53T47#y1"/>
                      <wp:cNvGraphicFramePr/>
                      <a:graphic xmlns:a="http://schemas.openxmlformats.org/drawingml/2006/main">
                        <a:graphicData uri="http://schemas.microsoft.com/office/word/2010/wordprocessingGroup">
                          <wpg:wgp>
                            <wpg:cNvGrpSpPr/>
                            <wpg:grpSpPr>
                              <a:xfrm>
                                <a:off x="0" y="0"/>
                                <a:ext cx="327660" cy="279400"/>
                                <a:chOff x="0" y="0"/>
                                <a:chExt cx="448355" cy="277692"/>
                              </a:xfrm>
                            </wpg:grpSpPr>
                            <pic:pic xmlns:pic="http://schemas.openxmlformats.org/drawingml/2006/picture">
                              <pic:nvPicPr>
                                <pic:cNvPr id="1999510913" name="Picture 1999510913">
                                  <a:extLst>
                                    <a:ext uri="{FF2B5EF4-FFF2-40B4-BE49-F238E27FC236}">
                                      <a16:creationId xmlns:a16="http://schemas.microsoft.com/office/drawing/2014/main" id="{82C8F7F2-61CF-4B2A-952B-0FE95C14B5B3}"/>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11226" y="11226"/>
                                  <a:ext cx="277586" cy="255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574437" name="Picture 528574437">
                                  <a:extLst>
                                    <a:ext uri="{FF2B5EF4-FFF2-40B4-BE49-F238E27FC236}">
                                      <a16:creationId xmlns:a16="http://schemas.microsoft.com/office/drawing/2014/main" id="{5F9E224C-17F1-415B-84CD-2C668DB48A93}"/>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181996" y="11332"/>
                                  <a:ext cx="277586" cy="255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EEDC0" id="Group 94" o:spid="_x0000_s1026" alt="P2164C53T47#y1" style="position:absolute;margin-left:1.8pt;margin-top:-2.35pt;width:25.8pt;height:22pt;z-index:251658306" coordsize="448355,27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510913" o:spid="_x0000_s1027" type="#_x0000_t75" style="position:absolute;left:-11226;top:11226;width:277586;height:255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">
                        <v:imagedata r:id="rId44" o:title=""/>
                      </v:shape>
                      <v:shape id="Picture 528574437" o:spid="_x0000_s1028" type="#_x0000_t75" style="position:absolute;left:181996;top:11332;width:277586;height:255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">
                        <v:imagedata r:id="rId44" o:title=""/>
                      </v:shape>
                    </v:group>
                  </w:pict>
                </mc:Fallback>
              </mc:AlternateConten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728F90AA" w14:textId="1812D215"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18943C32" w14:textId="77777777" w:rsidTr="602AD899">
        <w:trPr>
          <w:trHeight w:val="1185"/>
        </w:trPr>
        <w:tc>
          <w:tcPr>
            <w:tcW w:w="0" w:type="auto"/>
            <w:vMerge/>
            <w:vAlign w:val="center"/>
            <w:hideMark/>
          </w:tcPr>
          <w:p w14:paraId="0B49D53A"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2A85B8E3"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CS-004B</w:t>
            </w:r>
          </w:p>
        </w:tc>
        <w:tc>
          <w:tcPr>
            <w:tcW w:w="0" w:type="auto"/>
            <w:tcBorders>
              <w:top w:val="nil"/>
              <w:left w:val="nil"/>
              <w:bottom w:val="single" w:sz="4" w:space="0" w:color="C85348"/>
              <w:right w:val="single" w:sz="4" w:space="0" w:color="C85348"/>
            </w:tcBorders>
            <w:shd w:val="clear" w:color="auto" w:fill="auto"/>
            <w:vAlign w:val="center"/>
            <w:hideMark/>
          </w:tcPr>
          <w:p w14:paraId="67129363" w14:textId="0164A47D"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 xml:space="preserve">Number </w:t>
            </w:r>
            <w:r w:rsidR="00205A5E">
              <w:rPr>
                <w:rFonts w:ascii="Arial" w:eastAsia="Times New Roman" w:hAnsi="Arial" w:cs="Arial"/>
                <w:sz w:val="20"/>
                <w:szCs w:val="20"/>
                <w:lang w:eastAsia="en-GB"/>
              </w:rPr>
              <w:t xml:space="preserve">of people </w:t>
            </w:r>
            <w:r w:rsidRPr="000E6D9E">
              <w:rPr>
                <w:rFonts w:ascii="Arial" w:eastAsia="Times New Roman" w:hAnsi="Arial" w:cs="Arial"/>
                <w:sz w:val="20"/>
                <w:szCs w:val="20"/>
                <w:lang w:eastAsia="en-GB"/>
              </w:rPr>
              <w:t>to plan completi</w:t>
            </w:r>
            <w:r w:rsidR="00205A5E">
              <w:rPr>
                <w:rFonts w:ascii="Arial" w:eastAsia="Times New Roman" w:hAnsi="Arial" w:cs="Arial"/>
                <w:sz w:val="20"/>
                <w:szCs w:val="20"/>
                <w:lang w:eastAsia="en-GB"/>
              </w:rPr>
              <w:t>ng</w:t>
            </w:r>
            <w:r w:rsidRPr="000E6D9E">
              <w:rPr>
                <w:rFonts w:ascii="Arial" w:eastAsia="Times New Roman" w:hAnsi="Arial" w:cs="Arial"/>
                <w:sz w:val="20"/>
                <w:szCs w:val="20"/>
                <w:lang w:eastAsia="en-GB"/>
              </w:rPr>
              <w:t xml:space="preserve"> the Annual Management Development Programme</w:t>
            </w:r>
          </w:p>
        </w:tc>
        <w:tc>
          <w:tcPr>
            <w:tcW w:w="0" w:type="auto"/>
            <w:tcBorders>
              <w:top w:val="nil"/>
              <w:left w:val="nil"/>
              <w:bottom w:val="single" w:sz="4" w:space="0" w:color="C85348"/>
              <w:right w:val="single" w:sz="4" w:space="0" w:color="C85348"/>
            </w:tcBorders>
            <w:shd w:val="clear" w:color="auto" w:fill="auto"/>
            <w:vAlign w:val="center"/>
            <w:hideMark/>
          </w:tcPr>
          <w:p w14:paraId="4EAD1C46"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62228511"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noWrap/>
            <w:vAlign w:val="center"/>
            <w:hideMark/>
          </w:tcPr>
          <w:p w14:paraId="6157BCA2"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42</w:t>
            </w:r>
          </w:p>
        </w:tc>
        <w:tc>
          <w:tcPr>
            <w:tcW w:w="0" w:type="auto"/>
            <w:tcBorders>
              <w:top w:val="nil"/>
              <w:left w:val="nil"/>
              <w:bottom w:val="single" w:sz="4" w:space="0" w:color="C85348"/>
              <w:right w:val="single" w:sz="4" w:space="0" w:color="C85348"/>
            </w:tcBorders>
            <w:shd w:val="clear" w:color="auto" w:fill="auto"/>
            <w:noWrap/>
            <w:vAlign w:val="center"/>
            <w:hideMark/>
          </w:tcPr>
          <w:p w14:paraId="7DEC7C6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124.0</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43866DE3"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57</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04A7CD91"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83.87%</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3485DD1D"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6EDC6825"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0B473011" w14:textId="77777777" w:rsidTr="602AD899">
        <w:trPr>
          <w:trHeight w:val="1185"/>
        </w:trPr>
        <w:tc>
          <w:tcPr>
            <w:tcW w:w="0" w:type="auto"/>
            <w:vMerge/>
            <w:vAlign w:val="center"/>
            <w:hideMark/>
          </w:tcPr>
          <w:p w14:paraId="09D5FB3F"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71145263"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CS-005</w:t>
            </w:r>
          </w:p>
        </w:tc>
        <w:tc>
          <w:tcPr>
            <w:tcW w:w="0" w:type="auto"/>
            <w:tcBorders>
              <w:top w:val="nil"/>
              <w:left w:val="nil"/>
              <w:bottom w:val="single" w:sz="4" w:space="0" w:color="C85348"/>
              <w:right w:val="single" w:sz="4" w:space="0" w:color="C85348"/>
            </w:tcBorders>
            <w:shd w:val="clear" w:color="auto" w:fill="auto"/>
            <w:vAlign w:val="center"/>
            <w:hideMark/>
          </w:tcPr>
          <w:p w14:paraId="33A98A24"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The percentage of training outcomes perceived to be above 'Satisfactory'</w:t>
            </w:r>
          </w:p>
        </w:tc>
        <w:tc>
          <w:tcPr>
            <w:tcW w:w="0" w:type="auto"/>
            <w:tcBorders>
              <w:top w:val="nil"/>
              <w:left w:val="nil"/>
              <w:bottom w:val="single" w:sz="4" w:space="0" w:color="C85348"/>
              <w:right w:val="single" w:sz="4" w:space="0" w:color="C85348"/>
            </w:tcBorders>
            <w:shd w:val="clear" w:color="auto" w:fill="auto"/>
            <w:vAlign w:val="center"/>
            <w:hideMark/>
          </w:tcPr>
          <w:p w14:paraId="0A254965"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537D51A7"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09B242B9"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95%</w:t>
            </w:r>
          </w:p>
        </w:tc>
        <w:tc>
          <w:tcPr>
            <w:tcW w:w="0" w:type="auto"/>
            <w:tcBorders>
              <w:top w:val="nil"/>
              <w:left w:val="nil"/>
              <w:bottom w:val="single" w:sz="4" w:space="0" w:color="C85348"/>
              <w:right w:val="single" w:sz="4" w:space="0" w:color="C85348"/>
            </w:tcBorders>
            <w:shd w:val="clear" w:color="auto" w:fill="auto"/>
            <w:noWrap/>
            <w:vAlign w:val="center"/>
            <w:hideMark/>
          </w:tcPr>
          <w:p w14:paraId="16B65886"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90%</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726F31F0"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96</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3F2F8BE7"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6.67%</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1E170392" w14:textId="67044824"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05" behindDoc="0" locked="0" layoutInCell="1" allowOverlap="1" wp14:anchorId="77F5C7F0" wp14:editId="3E25824D">
                  <wp:simplePos x="0" y="0"/>
                  <wp:positionH relativeFrom="column">
                    <wp:posOffset>94615</wp:posOffset>
                  </wp:positionH>
                  <wp:positionV relativeFrom="paragraph">
                    <wp:posOffset>40640</wp:posOffset>
                  </wp:positionV>
                  <wp:extent cx="260350" cy="254000"/>
                  <wp:effectExtent l="0" t="0" r="0" b="0"/>
                  <wp:wrapNone/>
                  <wp:docPr id="94135439" name="Picture 95" descr="P2188C73T47#y1">
                    <a:extLst xmlns:a="http://schemas.openxmlformats.org/drawingml/2006/main">
                      <a:ext uri="{FF2B5EF4-FFF2-40B4-BE49-F238E27FC236}">
                        <a16:creationId xmlns:a16="http://schemas.microsoft.com/office/drawing/2014/main" id="{9887428C-6A2B-4A69-9FCC-0EFDCF59AB97}"/>
                      </a:ext>
                      <a:ext uri="{147F2762-F138-4A5C-976F-8EAC2B608ADB}">
                        <a16:predDERef xmlns:a16="http://schemas.microsoft.com/office/drawing/2014/main" pred="{593303E8-9912-48C4-9F06-0241E4B780A3}"/>
                      </a:ext>
                    </a:extLst>
                  </wp:docPr>
                  <wp:cNvGraphicFramePr/>
                  <a:graphic xmlns:a="http://schemas.openxmlformats.org/drawingml/2006/main">
                    <a:graphicData uri="http://schemas.openxmlformats.org/drawingml/2006/picture">
                      <pic:pic xmlns:pic="http://schemas.openxmlformats.org/drawingml/2006/picture">
                        <pic:nvPicPr>
                          <pic:cNvPr id="94135439" name="Picture 72" descr="P2188C73T47#y1">
                            <a:extLst>
                              <a:ext uri="{FF2B5EF4-FFF2-40B4-BE49-F238E27FC236}">
                                <a16:creationId xmlns:a16="http://schemas.microsoft.com/office/drawing/2014/main" id="{9887428C-6A2B-4A69-9FCC-0EFDCF59AB97}"/>
                              </a:ext>
                              <a:ext uri="{147F2762-F138-4A5C-976F-8EAC2B608ADB}">
                                <a16:predDERef xmlns:a16="http://schemas.microsoft.com/office/drawing/2014/main" pred="{593303E8-9912-48C4-9F06-0241E4B780A3}"/>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77D0407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62252488" w14:textId="77777777" w:rsidTr="602AD899">
        <w:trPr>
          <w:trHeight w:val="1185"/>
        </w:trPr>
        <w:tc>
          <w:tcPr>
            <w:tcW w:w="0" w:type="auto"/>
            <w:vMerge/>
            <w:vAlign w:val="center"/>
            <w:hideMark/>
          </w:tcPr>
          <w:p w14:paraId="450BAD41"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single" w:sz="4" w:space="0" w:color="auto"/>
              <w:bottom w:val="single" w:sz="4" w:space="0" w:color="C85348"/>
              <w:right w:val="single" w:sz="4" w:space="0" w:color="C85348"/>
            </w:tcBorders>
            <w:shd w:val="clear" w:color="auto" w:fill="auto"/>
            <w:vAlign w:val="center"/>
            <w:hideMark/>
          </w:tcPr>
          <w:p w14:paraId="6C026F7A"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CS-006</w:t>
            </w:r>
          </w:p>
        </w:tc>
        <w:tc>
          <w:tcPr>
            <w:tcW w:w="0" w:type="auto"/>
            <w:tcBorders>
              <w:top w:val="nil"/>
              <w:left w:val="nil"/>
              <w:bottom w:val="single" w:sz="4" w:space="0" w:color="C85348"/>
              <w:right w:val="single" w:sz="4" w:space="0" w:color="C85348"/>
            </w:tcBorders>
            <w:shd w:val="clear" w:color="auto" w:fill="auto"/>
            <w:vAlign w:val="center"/>
            <w:hideMark/>
          </w:tcPr>
          <w:p w14:paraId="347B857F"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The number of apprenticeships commenced in financial year as a percentage of the total workforce.</w:t>
            </w:r>
          </w:p>
        </w:tc>
        <w:tc>
          <w:tcPr>
            <w:tcW w:w="0" w:type="auto"/>
            <w:tcBorders>
              <w:top w:val="nil"/>
              <w:left w:val="nil"/>
              <w:bottom w:val="single" w:sz="4" w:space="0" w:color="C85348"/>
              <w:right w:val="single" w:sz="4" w:space="0" w:color="C85348"/>
            </w:tcBorders>
            <w:shd w:val="clear" w:color="auto" w:fill="auto"/>
            <w:vAlign w:val="center"/>
            <w:hideMark/>
          </w:tcPr>
          <w:p w14:paraId="01BD1B74"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4ED2DB1A"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FF0000"/>
            <w:vAlign w:val="center"/>
            <w:hideMark/>
          </w:tcPr>
          <w:p w14:paraId="0A2C4380"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1.47</w:t>
            </w:r>
          </w:p>
        </w:tc>
        <w:tc>
          <w:tcPr>
            <w:tcW w:w="0" w:type="auto"/>
            <w:tcBorders>
              <w:top w:val="nil"/>
              <w:left w:val="nil"/>
              <w:bottom w:val="single" w:sz="4" w:space="0" w:color="C85348"/>
              <w:right w:val="single" w:sz="4" w:space="0" w:color="C85348"/>
            </w:tcBorders>
            <w:shd w:val="clear" w:color="auto" w:fill="auto"/>
            <w:noWrap/>
            <w:vAlign w:val="center"/>
            <w:hideMark/>
          </w:tcPr>
          <w:p w14:paraId="5F2641D1"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1.9</w:t>
            </w:r>
          </w:p>
        </w:tc>
        <w:tc>
          <w:tcPr>
            <w:tcW w:w="937" w:type="dxa"/>
            <w:tcBorders>
              <w:top w:val="single" w:sz="4" w:space="0" w:color="C85348"/>
              <w:left w:val="single" w:sz="4" w:space="0" w:color="C85348"/>
              <w:bottom w:val="single" w:sz="4" w:space="0" w:color="C85348"/>
              <w:right w:val="single" w:sz="4" w:space="0" w:color="C85348"/>
            </w:tcBorders>
            <w:shd w:val="clear" w:color="auto" w:fill="FF0000"/>
            <w:vAlign w:val="center"/>
            <w:hideMark/>
          </w:tcPr>
          <w:p w14:paraId="7BE2AA42"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0.16</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49D8AE7E" w14:textId="77777777" w:rsidR="000E6D9E" w:rsidRPr="000E6D9E" w:rsidRDefault="000E6D9E" w:rsidP="000E6D9E">
            <w:pPr>
              <w:spacing w:after="0" w:line="240" w:lineRule="auto"/>
              <w:jc w:val="center"/>
              <w:rPr>
                <w:rFonts w:ascii="Arial" w:eastAsia="Times New Roman" w:hAnsi="Arial" w:cs="Arial"/>
                <w:color w:val="FF0000"/>
                <w:sz w:val="20"/>
                <w:szCs w:val="20"/>
                <w:lang w:eastAsia="en-GB"/>
              </w:rPr>
            </w:pPr>
            <w:r w:rsidRPr="000E6D9E">
              <w:rPr>
                <w:rFonts w:ascii="Arial" w:eastAsia="Times New Roman" w:hAnsi="Arial" w:cs="Arial"/>
                <w:color w:val="FF0000"/>
                <w:sz w:val="20"/>
                <w:szCs w:val="20"/>
                <w:lang w:eastAsia="en-GB"/>
              </w:rPr>
              <w:t>-66.32%</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18AAE327" w14:textId="7532D90A"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12" behindDoc="0" locked="0" layoutInCell="1" allowOverlap="1" wp14:anchorId="2B0432E2" wp14:editId="16F4EB17">
                  <wp:simplePos x="0" y="0"/>
                  <wp:positionH relativeFrom="column">
                    <wp:posOffset>71755</wp:posOffset>
                  </wp:positionH>
                  <wp:positionV relativeFrom="paragraph">
                    <wp:posOffset>41910</wp:posOffset>
                  </wp:positionV>
                  <wp:extent cx="285750" cy="260350"/>
                  <wp:effectExtent l="0" t="0" r="0" b="6350"/>
                  <wp:wrapNone/>
                  <wp:docPr id="1989254682" name="Picture 96" descr="P2200C83T47#y1">
                    <a:extLst xmlns:a="http://schemas.openxmlformats.org/drawingml/2006/main">
                      <a:ext uri="{FF2B5EF4-FFF2-40B4-BE49-F238E27FC236}">
                        <a16:creationId xmlns:a16="http://schemas.microsoft.com/office/drawing/2014/main" id="{F191AA13-D9B1-48D3-8CA3-7EB1F1185023}"/>
                      </a:ext>
                      <a:ext uri="{147F2762-F138-4A5C-976F-8EAC2B608ADB}">
                        <a16:predDERef xmlns:a16="http://schemas.microsoft.com/office/drawing/2014/main" pred="{949C28D6-2F4F-4790-A947-7DFD5E31C698}"/>
                      </a:ext>
                    </a:extLst>
                  </wp:docPr>
                  <wp:cNvGraphicFramePr/>
                  <a:graphic xmlns:a="http://schemas.openxmlformats.org/drawingml/2006/main">
                    <a:graphicData uri="http://schemas.openxmlformats.org/drawingml/2006/picture">
                      <pic:pic xmlns:pic="http://schemas.openxmlformats.org/drawingml/2006/picture">
                        <pic:nvPicPr>
                          <pic:cNvPr id="1989254682" name="Picture 71" descr="P2200C83T47#y1">
                            <a:extLst>
                              <a:ext uri="{FF2B5EF4-FFF2-40B4-BE49-F238E27FC236}">
                                <a16:creationId xmlns:a16="http://schemas.microsoft.com/office/drawing/2014/main" id="{F191AA13-D9B1-48D3-8CA3-7EB1F1185023}"/>
                              </a:ext>
                              <a:ext uri="{147F2762-F138-4A5C-976F-8EAC2B608ADB}">
                                <a16:predDERef xmlns:a16="http://schemas.microsoft.com/office/drawing/2014/main" pred="{949C28D6-2F4F-4790-A947-7DFD5E31C69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857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1A7A553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30BB6A3B" w14:textId="77777777" w:rsidTr="006717FD">
        <w:trPr>
          <w:trHeight w:val="1185"/>
        </w:trPr>
        <w:tc>
          <w:tcPr>
            <w:tcW w:w="0" w:type="auto"/>
            <w:vMerge w:val="restart"/>
            <w:tcBorders>
              <w:top w:val="single" w:sz="4" w:space="0" w:color="auto"/>
              <w:left w:val="single" w:sz="4" w:space="0" w:color="C85348"/>
              <w:bottom w:val="single" w:sz="4" w:space="0" w:color="C85348"/>
              <w:right w:val="single" w:sz="4" w:space="0" w:color="C85348"/>
            </w:tcBorders>
            <w:shd w:val="clear" w:color="auto" w:fill="EBC0BB"/>
            <w:vAlign w:val="center"/>
            <w:hideMark/>
          </w:tcPr>
          <w:p w14:paraId="45F75CA8" w14:textId="77777777" w:rsidR="000E6D9E" w:rsidRPr="000E6D9E" w:rsidRDefault="000E6D9E" w:rsidP="000E6D9E">
            <w:pPr>
              <w:spacing w:after="0" w:line="240" w:lineRule="auto"/>
              <w:jc w:val="center"/>
              <w:rPr>
                <w:rFonts w:ascii="Arial" w:eastAsia="Times New Roman" w:hAnsi="Arial" w:cs="Arial"/>
                <w:b/>
                <w:bCs/>
                <w:color w:val="000000"/>
                <w:sz w:val="20"/>
                <w:szCs w:val="20"/>
                <w:lang w:eastAsia="en-GB"/>
              </w:rPr>
            </w:pPr>
            <w:r w:rsidRPr="000E6D9E">
              <w:rPr>
                <w:rFonts w:ascii="Arial" w:eastAsia="Times New Roman" w:hAnsi="Arial" w:cs="Arial"/>
                <w:b/>
                <w:bCs/>
                <w:color w:val="000000"/>
                <w:sz w:val="20"/>
                <w:szCs w:val="20"/>
                <w:lang w:eastAsia="en-GB"/>
              </w:rPr>
              <w:t>Embrace innovative ways of working to improve service delivery and the operations of the Council</w:t>
            </w:r>
          </w:p>
        </w:tc>
        <w:tc>
          <w:tcPr>
            <w:tcW w:w="0" w:type="auto"/>
            <w:tcBorders>
              <w:top w:val="nil"/>
              <w:left w:val="nil"/>
              <w:bottom w:val="single" w:sz="4" w:space="0" w:color="C85348"/>
              <w:right w:val="single" w:sz="4" w:space="0" w:color="C85348"/>
            </w:tcBorders>
            <w:shd w:val="clear" w:color="auto" w:fill="auto"/>
            <w:vAlign w:val="center"/>
            <w:hideMark/>
          </w:tcPr>
          <w:p w14:paraId="3DAA7E69"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CS-007</w:t>
            </w:r>
          </w:p>
        </w:tc>
        <w:tc>
          <w:tcPr>
            <w:tcW w:w="0" w:type="auto"/>
            <w:tcBorders>
              <w:top w:val="nil"/>
              <w:left w:val="nil"/>
              <w:bottom w:val="single" w:sz="4" w:space="0" w:color="C85348"/>
              <w:right w:val="single" w:sz="4" w:space="0" w:color="C85348"/>
            </w:tcBorders>
            <w:shd w:val="clear" w:color="auto" w:fill="auto"/>
            <w:vAlign w:val="center"/>
            <w:hideMark/>
          </w:tcPr>
          <w:p w14:paraId="50C052C4"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Percentage of transformation programmes with delivery confidence as ‘on track’</w:t>
            </w:r>
          </w:p>
        </w:tc>
        <w:tc>
          <w:tcPr>
            <w:tcW w:w="0" w:type="auto"/>
            <w:tcBorders>
              <w:top w:val="nil"/>
              <w:left w:val="nil"/>
              <w:bottom w:val="single" w:sz="4" w:space="0" w:color="C85348"/>
              <w:right w:val="single" w:sz="4" w:space="0" w:color="C85348"/>
            </w:tcBorders>
            <w:shd w:val="clear" w:color="auto" w:fill="auto"/>
            <w:vAlign w:val="center"/>
            <w:hideMark/>
          </w:tcPr>
          <w:p w14:paraId="7D34141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51F4F12E"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3CD55EBB"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83%</w:t>
            </w:r>
          </w:p>
        </w:tc>
        <w:tc>
          <w:tcPr>
            <w:tcW w:w="0" w:type="auto"/>
            <w:tcBorders>
              <w:top w:val="nil"/>
              <w:left w:val="nil"/>
              <w:bottom w:val="single" w:sz="4" w:space="0" w:color="C85348"/>
              <w:right w:val="single" w:sz="4" w:space="0" w:color="C85348"/>
            </w:tcBorders>
            <w:shd w:val="clear" w:color="auto" w:fill="auto"/>
            <w:noWrap/>
            <w:vAlign w:val="center"/>
            <w:hideMark/>
          </w:tcPr>
          <w:p w14:paraId="60A010C9" w14:textId="05736871" w:rsidR="000E6D9E" w:rsidRPr="000E6D9E" w:rsidRDefault="006717FD" w:rsidP="000E6D9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80%</w:t>
            </w:r>
          </w:p>
        </w:tc>
        <w:tc>
          <w:tcPr>
            <w:tcW w:w="937" w:type="dxa"/>
            <w:tcBorders>
              <w:top w:val="single" w:sz="4" w:space="0" w:color="C85348"/>
              <w:left w:val="single" w:sz="4" w:space="0" w:color="C85348"/>
              <w:bottom w:val="single" w:sz="4" w:space="0" w:color="C85348"/>
              <w:right w:val="single" w:sz="4" w:space="0" w:color="C85348"/>
            </w:tcBorders>
            <w:shd w:val="clear" w:color="auto" w:fill="FF0000"/>
            <w:vAlign w:val="center"/>
            <w:hideMark/>
          </w:tcPr>
          <w:p w14:paraId="56E51143" w14:textId="6DC8B50D" w:rsidR="000E6D9E" w:rsidRPr="000E6D9E" w:rsidRDefault="006717FD" w:rsidP="000E6D9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75</w:t>
            </w:r>
          </w:p>
        </w:tc>
        <w:tc>
          <w:tcPr>
            <w:tcW w:w="1013" w:type="dxa"/>
            <w:tcBorders>
              <w:top w:val="single" w:sz="4" w:space="0" w:color="C85348"/>
              <w:left w:val="single" w:sz="4" w:space="0" w:color="C85348"/>
              <w:bottom w:val="single" w:sz="4" w:space="0" w:color="C85348"/>
              <w:right w:val="single" w:sz="4" w:space="0" w:color="C85348"/>
            </w:tcBorders>
            <w:shd w:val="clear" w:color="auto" w:fill="FFFFFF" w:themeFill="background1"/>
            <w:vAlign w:val="center"/>
            <w:hideMark/>
          </w:tcPr>
          <w:p w14:paraId="5F675A96" w14:textId="731AE991" w:rsidR="000E6D9E" w:rsidRPr="000E6D9E" w:rsidRDefault="000E6D9E" w:rsidP="000E6D9E">
            <w:pPr>
              <w:spacing w:after="0" w:line="240" w:lineRule="auto"/>
              <w:jc w:val="center"/>
              <w:rPr>
                <w:rFonts w:ascii="Arial" w:eastAsia="Times New Roman" w:hAnsi="Arial" w:cs="Arial"/>
                <w:color w:val="D9D9D9"/>
                <w:sz w:val="20"/>
                <w:szCs w:val="20"/>
                <w:lang w:eastAsia="en-GB"/>
              </w:rPr>
            </w:pPr>
            <w:r w:rsidRPr="006717FD">
              <w:rPr>
                <w:rFonts w:ascii="Arial" w:eastAsia="Times New Roman" w:hAnsi="Arial" w:cs="Arial"/>
                <w:color w:val="FF0000"/>
                <w:sz w:val="20"/>
                <w:szCs w:val="20"/>
                <w:lang w:eastAsia="en-GB"/>
              </w:rPr>
              <w:t>-</w:t>
            </w:r>
            <w:r w:rsidR="006717FD" w:rsidRPr="006717FD">
              <w:rPr>
                <w:rFonts w:ascii="Arial" w:eastAsia="Times New Roman" w:hAnsi="Arial" w:cs="Arial"/>
                <w:color w:val="FF0000"/>
                <w:sz w:val="20"/>
                <w:szCs w:val="20"/>
                <w:lang w:eastAsia="en-GB"/>
              </w:rPr>
              <w:t>6.25</w:t>
            </w:r>
            <w:r w:rsidRPr="006717FD">
              <w:rPr>
                <w:rFonts w:ascii="Arial" w:eastAsia="Times New Roman" w:hAnsi="Arial" w:cs="Arial"/>
                <w:color w:val="FF0000"/>
                <w:sz w:val="20"/>
                <w:szCs w:val="20"/>
                <w:lang w:eastAsia="en-GB"/>
              </w:rPr>
              <w:t>%</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1B0B208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5BD90C58"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26D6DD10" w14:textId="77777777" w:rsidTr="602AD899">
        <w:trPr>
          <w:trHeight w:val="1185"/>
        </w:trPr>
        <w:tc>
          <w:tcPr>
            <w:tcW w:w="0" w:type="auto"/>
            <w:vMerge/>
            <w:vAlign w:val="center"/>
            <w:hideMark/>
          </w:tcPr>
          <w:p w14:paraId="20E7203E"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C85348"/>
              <w:right w:val="single" w:sz="4" w:space="0" w:color="C85348"/>
            </w:tcBorders>
            <w:shd w:val="clear" w:color="auto" w:fill="auto"/>
            <w:vAlign w:val="center"/>
            <w:hideMark/>
          </w:tcPr>
          <w:p w14:paraId="5DCCB6F3"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CS-008</w:t>
            </w:r>
          </w:p>
        </w:tc>
        <w:tc>
          <w:tcPr>
            <w:tcW w:w="0" w:type="auto"/>
            <w:tcBorders>
              <w:top w:val="nil"/>
              <w:left w:val="nil"/>
              <w:bottom w:val="single" w:sz="4" w:space="0" w:color="C85348"/>
              <w:right w:val="single" w:sz="4" w:space="0" w:color="C85348"/>
            </w:tcBorders>
            <w:shd w:val="clear" w:color="auto" w:fill="auto"/>
            <w:vAlign w:val="center"/>
            <w:hideMark/>
          </w:tcPr>
          <w:p w14:paraId="11936C9C"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Customer Satisfaction Score - Customer rating on satisfaction with contact with the Council</w:t>
            </w:r>
          </w:p>
        </w:tc>
        <w:tc>
          <w:tcPr>
            <w:tcW w:w="0" w:type="auto"/>
            <w:tcBorders>
              <w:top w:val="nil"/>
              <w:left w:val="nil"/>
              <w:bottom w:val="single" w:sz="4" w:space="0" w:color="C85348"/>
              <w:right w:val="single" w:sz="4" w:space="0" w:color="C85348"/>
            </w:tcBorders>
            <w:shd w:val="clear" w:color="auto" w:fill="auto"/>
            <w:vAlign w:val="center"/>
            <w:hideMark/>
          </w:tcPr>
          <w:p w14:paraId="5FBA5877"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0AE0A520"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672B7292"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4.1</w:t>
            </w:r>
          </w:p>
        </w:tc>
        <w:tc>
          <w:tcPr>
            <w:tcW w:w="0" w:type="auto"/>
            <w:tcBorders>
              <w:top w:val="nil"/>
              <w:left w:val="nil"/>
              <w:bottom w:val="single" w:sz="4" w:space="0" w:color="C85348"/>
              <w:right w:val="single" w:sz="4" w:space="0" w:color="C85348"/>
            </w:tcBorders>
            <w:shd w:val="clear" w:color="auto" w:fill="auto"/>
            <w:noWrap/>
            <w:vAlign w:val="center"/>
            <w:hideMark/>
          </w:tcPr>
          <w:p w14:paraId="08D742DA" w14:textId="35A2921A" w:rsidR="000E6D9E" w:rsidRPr="000E6D9E" w:rsidRDefault="00D3302C" w:rsidP="000E6D9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4.0</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53DF12CC"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4.22</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67C074FC" w14:textId="11A83F79" w:rsidR="000E6D9E" w:rsidRPr="000E6D9E" w:rsidRDefault="006F7CB5" w:rsidP="000E6D9E">
            <w:pPr>
              <w:spacing w:after="0" w:line="240" w:lineRule="auto"/>
              <w:jc w:val="center"/>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5</w:t>
            </w:r>
            <w:r w:rsidR="005B36BE">
              <w:rPr>
                <w:rFonts w:ascii="Arial" w:eastAsia="Times New Roman" w:hAnsi="Arial" w:cs="Arial"/>
                <w:color w:val="00B050"/>
                <w:sz w:val="20"/>
                <w:szCs w:val="20"/>
                <w:lang w:eastAsia="en-GB"/>
              </w:rPr>
              <w:t>.5</w:t>
            </w:r>
            <w:r w:rsidR="000E6D9E" w:rsidRPr="000E6D9E">
              <w:rPr>
                <w:rFonts w:ascii="Arial" w:eastAsia="Times New Roman" w:hAnsi="Arial" w:cs="Arial"/>
                <w:color w:val="00B050"/>
                <w:sz w:val="20"/>
                <w:szCs w:val="20"/>
                <w:lang w:eastAsia="en-GB"/>
              </w:rPr>
              <w:t>%</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5D54DFE1" w14:textId="550DB298"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13" behindDoc="0" locked="0" layoutInCell="1" allowOverlap="1" wp14:anchorId="5B20C2C5" wp14:editId="3617A0ED">
                  <wp:simplePos x="0" y="0"/>
                  <wp:positionH relativeFrom="column">
                    <wp:posOffset>70485</wp:posOffset>
                  </wp:positionH>
                  <wp:positionV relativeFrom="paragraph">
                    <wp:posOffset>-11430</wp:posOffset>
                  </wp:positionV>
                  <wp:extent cx="292100" cy="247650"/>
                  <wp:effectExtent l="0" t="0" r="0" b="0"/>
                  <wp:wrapNone/>
                  <wp:docPr id="60" name="Picture 97" descr="P2224C104T47#y1">
                    <a:extLst xmlns:a="http://schemas.openxmlformats.org/drawingml/2006/main">
                      <a:ext uri="{FF2B5EF4-FFF2-40B4-BE49-F238E27FC236}">
                        <a16:creationId xmlns:a16="http://schemas.microsoft.com/office/drawing/2014/main" id="{6356E6D4-0F05-4403-AA70-E4280252F77F}"/>
                      </a:ext>
                      <a:ext uri="{147F2762-F138-4A5C-976F-8EAC2B608ADB}">
                        <a16:predDERef xmlns:a16="http://schemas.microsoft.com/office/drawing/2014/main" pred="{CC698C0F-8E74-4CC5-8E1F-67639E69CFD6}"/>
                      </a:ext>
                    </a:extLst>
                  </wp:docPr>
                  <wp:cNvGraphicFramePr/>
                  <a:graphic xmlns:a="http://schemas.openxmlformats.org/drawingml/2006/main">
                    <a:graphicData uri="http://schemas.openxmlformats.org/drawingml/2006/picture">
                      <pic:pic xmlns:pic="http://schemas.openxmlformats.org/drawingml/2006/picture">
                        <pic:nvPicPr>
                          <pic:cNvPr id="60" name="Picture 70" descr="P2224C104T47#y1">
                            <a:extLst>
                              <a:ext uri="{FF2B5EF4-FFF2-40B4-BE49-F238E27FC236}">
                                <a16:creationId xmlns:a16="http://schemas.microsoft.com/office/drawing/2014/main" id="{6356E6D4-0F05-4403-AA70-E4280252F77F}"/>
                              </a:ext>
                              <a:ext uri="{147F2762-F138-4A5C-976F-8EAC2B608ADB}">
                                <a16:predDERef xmlns:a16="http://schemas.microsoft.com/office/drawing/2014/main" pred="{CC698C0F-8E74-4CC5-8E1F-67639E69CFD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39F5D41B"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4928EA3D" w14:textId="77777777" w:rsidTr="602AD899">
        <w:trPr>
          <w:trHeight w:val="1185"/>
        </w:trPr>
        <w:tc>
          <w:tcPr>
            <w:tcW w:w="0" w:type="auto"/>
            <w:vMerge/>
            <w:vAlign w:val="center"/>
            <w:hideMark/>
          </w:tcPr>
          <w:p w14:paraId="1BEB6CB5"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C85348"/>
              <w:right w:val="single" w:sz="4" w:space="0" w:color="C85348"/>
            </w:tcBorders>
            <w:shd w:val="clear" w:color="auto" w:fill="auto"/>
            <w:vAlign w:val="center"/>
            <w:hideMark/>
          </w:tcPr>
          <w:p w14:paraId="31B61094"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CS-009</w:t>
            </w:r>
          </w:p>
        </w:tc>
        <w:tc>
          <w:tcPr>
            <w:tcW w:w="0" w:type="auto"/>
            <w:tcBorders>
              <w:top w:val="nil"/>
              <w:left w:val="nil"/>
              <w:bottom w:val="single" w:sz="4" w:space="0" w:color="C85348"/>
              <w:right w:val="single" w:sz="4" w:space="0" w:color="C85348"/>
            </w:tcBorders>
            <w:shd w:val="clear" w:color="auto" w:fill="auto"/>
            <w:vAlign w:val="center"/>
            <w:hideMark/>
          </w:tcPr>
          <w:p w14:paraId="30A6D9C7"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Customer Effort Score - Customer rating on how easy the Council made it to resolve their issue</w:t>
            </w:r>
          </w:p>
        </w:tc>
        <w:tc>
          <w:tcPr>
            <w:tcW w:w="0" w:type="auto"/>
            <w:tcBorders>
              <w:top w:val="nil"/>
              <w:left w:val="nil"/>
              <w:bottom w:val="single" w:sz="4" w:space="0" w:color="C85348"/>
              <w:right w:val="single" w:sz="4" w:space="0" w:color="C85348"/>
            </w:tcBorders>
            <w:shd w:val="clear" w:color="auto" w:fill="auto"/>
            <w:vAlign w:val="center"/>
            <w:hideMark/>
          </w:tcPr>
          <w:p w14:paraId="0BFD833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17A04368"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7A469F81"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4</w:t>
            </w:r>
          </w:p>
        </w:tc>
        <w:tc>
          <w:tcPr>
            <w:tcW w:w="0" w:type="auto"/>
            <w:tcBorders>
              <w:top w:val="nil"/>
              <w:left w:val="nil"/>
              <w:bottom w:val="single" w:sz="4" w:space="0" w:color="C85348"/>
              <w:right w:val="single" w:sz="4" w:space="0" w:color="C85348"/>
            </w:tcBorders>
            <w:shd w:val="clear" w:color="auto" w:fill="auto"/>
            <w:noWrap/>
            <w:vAlign w:val="center"/>
            <w:hideMark/>
          </w:tcPr>
          <w:p w14:paraId="026216F2" w14:textId="3AA52F03" w:rsidR="000E6D9E" w:rsidRPr="000E6D9E" w:rsidRDefault="00D3302C" w:rsidP="000E6D9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4.0</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742CCADC"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4.08</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4CBE497A" w14:textId="4D98A904" w:rsidR="000E6D9E" w:rsidRPr="000E6D9E" w:rsidRDefault="009530DF" w:rsidP="000E6D9E">
            <w:pPr>
              <w:spacing w:after="0" w:line="240" w:lineRule="auto"/>
              <w:jc w:val="center"/>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2</w:t>
            </w:r>
            <w:r w:rsidR="000E6D9E" w:rsidRPr="000E6D9E">
              <w:rPr>
                <w:rFonts w:ascii="Arial" w:eastAsia="Times New Roman" w:hAnsi="Arial" w:cs="Arial"/>
                <w:color w:val="00B050"/>
                <w:sz w:val="20"/>
                <w:szCs w:val="20"/>
                <w:lang w:eastAsia="en-GB"/>
              </w:rPr>
              <w:t>%</w:t>
            </w:r>
          </w:p>
        </w:tc>
        <w:tc>
          <w:tcPr>
            <w:tcW w:w="0" w:type="auto"/>
            <w:tcBorders>
              <w:top w:val="nil"/>
              <w:left w:val="nil"/>
              <w:bottom w:val="single" w:sz="4" w:space="0" w:color="C85348"/>
              <w:right w:val="single" w:sz="4" w:space="0" w:color="C85348"/>
            </w:tcBorders>
            <w:shd w:val="clear" w:color="auto" w:fill="FFFFFF" w:themeFill="background1"/>
            <w:noWrap/>
            <w:vAlign w:val="center"/>
            <w:hideMark/>
          </w:tcPr>
          <w:p w14:paraId="3B15A835" w14:textId="25F9669D" w:rsidR="000E6D9E" w:rsidRPr="000E6D9E" w:rsidRDefault="00A00D8C"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mc:AlternateContent>
                <mc:Choice Requires="wpg">
                  <w:drawing>
                    <wp:anchor distT="0" distB="0" distL="114300" distR="114300" simplePos="0" relativeHeight="251658307" behindDoc="0" locked="0" layoutInCell="1" allowOverlap="1" wp14:anchorId="12DCE206" wp14:editId="1AE7A073">
                      <wp:simplePos x="0" y="0"/>
                      <wp:positionH relativeFrom="column">
                        <wp:posOffset>6985</wp:posOffset>
                      </wp:positionH>
                      <wp:positionV relativeFrom="paragraph">
                        <wp:posOffset>-3810</wp:posOffset>
                      </wp:positionV>
                      <wp:extent cx="348615" cy="279400"/>
                      <wp:effectExtent l="0" t="0" r="0" b="6350"/>
                      <wp:wrapNone/>
                      <wp:docPr id="776459994" name="Group 98" descr="P2236C114T47#y1"/>
                      <wp:cNvGraphicFramePr/>
                      <a:graphic xmlns:a="http://schemas.openxmlformats.org/drawingml/2006/main">
                        <a:graphicData uri="http://schemas.microsoft.com/office/word/2010/wordprocessingGroup">
                          <wpg:wgp>
                            <wpg:cNvGrpSpPr/>
                            <wpg:grpSpPr>
                              <a:xfrm>
                                <a:off x="0" y="0"/>
                                <a:ext cx="348615" cy="279400"/>
                                <a:chOff x="0" y="0"/>
                                <a:chExt cx="448355" cy="277692"/>
                              </a:xfrm>
                            </wpg:grpSpPr>
                            <pic:pic xmlns:pic="http://schemas.openxmlformats.org/drawingml/2006/picture">
                              <pic:nvPicPr>
                                <pic:cNvPr id="456447583" name="Picture 456447583">
                                  <a:extLst>
                                    <a:ext uri="{FF2B5EF4-FFF2-40B4-BE49-F238E27FC236}">
                                      <a16:creationId xmlns:a16="http://schemas.microsoft.com/office/drawing/2014/main" id="{3DD76DDB-C1C9-C33B-6C39-3E538D07BA53}"/>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11226" y="11226"/>
                                  <a:ext cx="277586" cy="255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686013" name="Picture 1914686013">
                                  <a:extLst>
                                    <a:ext uri="{FF2B5EF4-FFF2-40B4-BE49-F238E27FC236}">
                                      <a16:creationId xmlns:a16="http://schemas.microsoft.com/office/drawing/2014/main" id="{7D7CE942-02C9-0F04-C735-452CB4DA8C1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181996" y="11332"/>
                                  <a:ext cx="277586" cy="255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ACD3A8" id="Group 98" o:spid="_x0000_s1026" alt="P2236C114T47#y1" style="position:absolute;margin-left:.55pt;margin-top:-.3pt;width:27.45pt;height:22pt;z-index:251658307" coordsize="448355,27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">
                      <v:shape id="Picture 456447583" o:spid="_x0000_s1027" type="#_x0000_t75" style="position:absolute;left:-11226;top:11226;width:277586;height:255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">
                        <v:imagedata r:id="rId44" o:title=""/>
                      </v:shape>
                      <v:shape id="Picture 1914686013" o:spid="_x0000_s1028" type="#_x0000_t75" style="position:absolute;left:181996;top:11332;width:277586;height:255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">
                        <v:imagedata r:id="rId44" o:title=""/>
                      </v:shape>
                    </v:group>
                  </w:pict>
                </mc:Fallback>
              </mc:AlternateContent>
            </w:r>
          </w:p>
        </w:tc>
        <w:tc>
          <w:tcPr>
            <w:tcW w:w="0" w:type="auto"/>
            <w:tcBorders>
              <w:top w:val="nil"/>
              <w:left w:val="nil"/>
              <w:bottom w:val="single" w:sz="4" w:space="0" w:color="auto"/>
              <w:right w:val="single" w:sz="4" w:space="0" w:color="C85348"/>
            </w:tcBorders>
            <w:shd w:val="clear" w:color="auto" w:fill="FFFFFF" w:themeFill="background1"/>
            <w:noWrap/>
            <w:vAlign w:val="center"/>
            <w:hideMark/>
          </w:tcPr>
          <w:p w14:paraId="42AEDB89" w14:textId="7055C87D"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28B7688C" w14:textId="77777777" w:rsidTr="602AD899">
        <w:trPr>
          <w:trHeight w:val="1185"/>
        </w:trPr>
        <w:tc>
          <w:tcPr>
            <w:tcW w:w="0" w:type="auto"/>
            <w:vMerge/>
            <w:vAlign w:val="center"/>
            <w:hideMark/>
          </w:tcPr>
          <w:p w14:paraId="41AF0D56"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C85348"/>
              <w:right w:val="single" w:sz="4" w:space="0" w:color="C85348"/>
            </w:tcBorders>
            <w:shd w:val="clear" w:color="auto" w:fill="auto"/>
            <w:vAlign w:val="center"/>
            <w:hideMark/>
          </w:tcPr>
          <w:p w14:paraId="739F7AA6"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CS-010</w:t>
            </w:r>
          </w:p>
        </w:tc>
        <w:tc>
          <w:tcPr>
            <w:tcW w:w="0" w:type="auto"/>
            <w:tcBorders>
              <w:top w:val="nil"/>
              <w:left w:val="nil"/>
              <w:bottom w:val="single" w:sz="4" w:space="0" w:color="C85348"/>
              <w:right w:val="single" w:sz="4" w:space="0" w:color="C85348"/>
            </w:tcBorders>
            <w:shd w:val="clear" w:color="auto" w:fill="auto"/>
            <w:vAlign w:val="center"/>
            <w:hideMark/>
          </w:tcPr>
          <w:p w14:paraId="48312D69"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Percentage of Customers that have had their call answered within the promised timeframe</w:t>
            </w:r>
          </w:p>
        </w:tc>
        <w:tc>
          <w:tcPr>
            <w:tcW w:w="0" w:type="auto"/>
            <w:tcBorders>
              <w:top w:val="nil"/>
              <w:left w:val="nil"/>
              <w:bottom w:val="single" w:sz="4" w:space="0" w:color="C85348"/>
              <w:right w:val="single" w:sz="4" w:space="0" w:color="C85348"/>
            </w:tcBorders>
            <w:shd w:val="clear" w:color="auto" w:fill="auto"/>
            <w:vAlign w:val="center"/>
            <w:hideMark/>
          </w:tcPr>
          <w:p w14:paraId="21A7FFC5"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450BEE40"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FF0000"/>
            <w:vAlign w:val="center"/>
            <w:hideMark/>
          </w:tcPr>
          <w:p w14:paraId="75BFE43D"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53.10%</w:t>
            </w:r>
          </w:p>
        </w:tc>
        <w:tc>
          <w:tcPr>
            <w:tcW w:w="0" w:type="auto"/>
            <w:tcBorders>
              <w:top w:val="nil"/>
              <w:left w:val="nil"/>
              <w:bottom w:val="single" w:sz="4" w:space="0" w:color="C85348"/>
              <w:right w:val="single" w:sz="4" w:space="0" w:color="C85348"/>
            </w:tcBorders>
            <w:shd w:val="clear" w:color="auto" w:fill="auto"/>
            <w:noWrap/>
            <w:vAlign w:val="center"/>
            <w:hideMark/>
          </w:tcPr>
          <w:p w14:paraId="5DA3F3F1"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75%</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1E17CF59"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75.4</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77339A97"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0.53%</w:t>
            </w:r>
          </w:p>
        </w:tc>
        <w:tc>
          <w:tcPr>
            <w:tcW w:w="0" w:type="auto"/>
            <w:tcBorders>
              <w:top w:val="nil"/>
              <w:left w:val="nil"/>
              <w:bottom w:val="single" w:sz="4" w:space="0" w:color="C85348"/>
              <w:right w:val="single" w:sz="4" w:space="0" w:color="auto"/>
            </w:tcBorders>
            <w:shd w:val="clear" w:color="auto" w:fill="FFFFFF" w:themeFill="background1"/>
            <w:noWrap/>
            <w:vAlign w:val="center"/>
            <w:hideMark/>
          </w:tcPr>
          <w:p w14:paraId="11BE9768" w14:textId="4A7BAD4C"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noProof/>
                <w:sz w:val="20"/>
                <w:szCs w:val="20"/>
                <w:lang w:eastAsia="en-GB"/>
              </w:rPr>
              <w:drawing>
                <wp:anchor distT="0" distB="0" distL="114300" distR="114300" simplePos="0" relativeHeight="251658308" behindDoc="0" locked="0" layoutInCell="1" allowOverlap="1" wp14:anchorId="3ED7CD95" wp14:editId="4EC14080">
                  <wp:simplePos x="0" y="0"/>
                  <wp:positionH relativeFrom="column">
                    <wp:posOffset>86360</wp:posOffset>
                  </wp:positionH>
                  <wp:positionV relativeFrom="paragraph">
                    <wp:posOffset>-41275</wp:posOffset>
                  </wp:positionV>
                  <wp:extent cx="260350" cy="254000"/>
                  <wp:effectExtent l="0" t="0" r="6350" b="0"/>
                  <wp:wrapNone/>
                  <wp:docPr id="1028868501" name="Picture 99" descr="P2248C124T47#y1">
                    <a:extLst xmlns:a="http://schemas.openxmlformats.org/drawingml/2006/main">
                      <a:ext uri="{FF2B5EF4-FFF2-40B4-BE49-F238E27FC236}">
                        <a16:creationId xmlns:a16="http://schemas.microsoft.com/office/drawing/2014/main" id="{66FC834A-9088-45E9-85F6-67C099CCDD7B}"/>
                      </a:ext>
                      <a:ext uri="{147F2762-F138-4A5C-976F-8EAC2B608ADB}">
                        <a16:predDERef xmlns:a16="http://schemas.microsoft.com/office/drawing/2014/main" pred="{18810CF6-614F-4458-8B6B-C326139D38AA}"/>
                      </a:ext>
                    </a:extLst>
                  </wp:docPr>
                  <wp:cNvGraphicFramePr/>
                  <a:graphic xmlns:a="http://schemas.openxmlformats.org/drawingml/2006/main">
                    <a:graphicData uri="http://schemas.openxmlformats.org/drawingml/2006/picture">
                      <pic:pic xmlns:pic="http://schemas.openxmlformats.org/drawingml/2006/picture">
                        <pic:nvPicPr>
                          <pic:cNvPr id="1028868501" name="Picture 68" descr="P2248C124T47#y1">
                            <a:extLst>
                              <a:ext uri="{FF2B5EF4-FFF2-40B4-BE49-F238E27FC236}">
                                <a16:creationId xmlns:a16="http://schemas.microsoft.com/office/drawing/2014/main" id="{66FC834A-9088-45E9-85F6-67C099CCDD7B}"/>
                              </a:ext>
                              <a:ext uri="{147F2762-F138-4A5C-976F-8EAC2B608ADB}">
                                <a16:predDERef xmlns:a16="http://schemas.microsoft.com/office/drawing/2014/main" pred="{18810CF6-614F-4458-8B6B-C326139D38AA}"/>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FF42D"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N/A</w:t>
            </w:r>
          </w:p>
        </w:tc>
      </w:tr>
      <w:tr w:rsidR="000E6D9E" w:rsidRPr="000E6D9E" w14:paraId="57A7EBCF" w14:textId="77777777" w:rsidTr="602AD899">
        <w:trPr>
          <w:trHeight w:val="1185"/>
        </w:trPr>
        <w:tc>
          <w:tcPr>
            <w:tcW w:w="0" w:type="auto"/>
            <w:vMerge w:val="restart"/>
            <w:tcBorders>
              <w:top w:val="nil"/>
              <w:left w:val="single" w:sz="4" w:space="0" w:color="C85348"/>
              <w:bottom w:val="single" w:sz="4" w:space="0" w:color="C85348"/>
              <w:right w:val="single" w:sz="4" w:space="0" w:color="C85348"/>
            </w:tcBorders>
            <w:shd w:val="clear" w:color="auto" w:fill="EBC0BB"/>
            <w:vAlign w:val="center"/>
            <w:hideMark/>
          </w:tcPr>
          <w:p w14:paraId="1F3282A0" w14:textId="0C6825FE" w:rsidR="000E6D9E" w:rsidRPr="000E6D9E" w:rsidRDefault="000E6D9E" w:rsidP="000E6D9E">
            <w:pPr>
              <w:spacing w:after="0" w:line="240" w:lineRule="auto"/>
              <w:jc w:val="center"/>
              <w:rPr>
                <w:rFonts w:ascii="Arial" w:eastAsia="Times New Roman" w:hAnsi="Arial" w:cs="Arial"/>
                <w:b/>
                <w:bCs/>
                <w:color w:val="000000"/>
                <w:sz w:val="20"/>
                <w:szCs w:val="20"/>
                <w:lang w:eastAsia="en-GB"/>
              </w:rPr>
            </w:pPr>
            <w:r w:rsidRPr="000E6D9E">
              <w:rPr>
                <w:rFonts w:ascii="Arial" w:eastAsia="Times New Roman" w:hAnsi="Arial" w:cs="Arial"/>
                <w:b/>
                <w:bCs/>
                <w:color w:val="000000"/>
                <w:sz w:val="20"/>
                <w:szCs w:val="20"/>
                <w:lang w:eastAsia="en-GB"/>
              </w:rPr>
              <w:t>Provide</w:t>
            </w:r>
            <w:r w:rsidR="006F7CB5">
              <w:rPr>
                <w:rFonts w:ascii="Arial" w:eastAsia="Times New Roman" w:hAnsi="Arial" w:cs="Arial"/>
                <w:b/>
                <w:bCs/>
                <w:color w:val="000000"/>
                <w:sz w:val="20"/>
                <w:szCs w:val="20"/>
                <w:lang w:eastAsia="en-GB"/>
              </w:rPr>
              <w:t>.5</w:t>
            </w:r>
            <w:r w:rsidRPr="000E6D9E">
              <w:rPr>
                <w:rFonts w:ascii="Arial" w:eastAsia="Times New Roman" w:hAnsi="Arial" w:cs="Arial"/>
                <w:b/>
                <w:bCs/>
                <w:color w:val="000000"/>
                <w:sz w:val="20"/>
                <w:szCs w:val="20"/>
                <w:lang w:eastAsia="en-GB"/>
              </w:rPr>
              <w:t xml:space="preserve"> value for money and ensure we are financially resilient and sustainable</w:t>
            </w:r>
          </w:p>
        </w:tc>
        <w:tc>
          <w:tcPr>
            <w:tcW w:w="0" w:type="auto"/>
            <w:tcBorders>
              <w:top w:val="nil"/>
              <w:left w:val="nil"/>
              <w:bottom w:val="single" w:sz="4" w:space="0" w:color="C85348"/>
              <w:right w:val="single" w:sz="4" w:space="0" w:color="C85348"/>
            </w:tcBorders>
            <w:shd w:val="clear" w:color="auto" w:fill="auto"/>
            <w:vAlign w:val="center"/>
            <w:hideMark/>
          </w:tcPr>
          <w:p w14:paraId="6FC9FDB4"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CS-011</w:t>
            </w:r>
          </w:p>
        </w:tc>
        <w:tc>
          <w:tcPr>
            <w:tcW w:w="0" w:type="auto"/>
            <w:tcBorders>
              <w:top w:val="nil"/>
              <w:left w:val="nil"/>
              <w:bottom w:val="single" w:sz="4" w:space="0" w:color="C85348"/>
              <w:right w:val="single" w:sz="4" w:space="0" w:color="C85348"/>
            </w:tcBorders>
            <w:shd w:val="clear" w:color="auto" w:fill="auto"/>
            <w:vAlign w:val="center"/>
            <w:hideMark/>
          </w:tcPr>
          <w:p w14:paraId="3316CA78"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Percentage of council tax collected</w:t>
            </w:r>
          </w:p>
        </w:tc>
        <w:tc>
          <w:tcPr>
            <w:tcW w:w="0" w:type="auto"/>
            <w:tcBorders>
              <w:top w:val="nil"/>
              <w:left w:val="nil"/>
              <w:bottom w:val="single" w:sz="4" w:space="0" w:color="C85348"/>
              <w:right w:val="single" w:sz="4" w:space="0" w:color="C85348"/>
            </w:tcBorders>
            <w:shd w:val="clear" w:color="auto" w:fill="auto"/>
            <w:vAlign w:val="center"/>
            <w:hideMark/>
          </w:tcPr>
          <w:p w14:paraId="0C621C9D"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2AF05D4C"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FFC000"/>
            <w:vAlign w:val="center"/>
            <w:hideMark/>
          </w:tcPr>
          <w:p w14:paraId="6237F12B"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94.19%</w:t>
            </w:r>
          </w:p>
        </w:tc>
        <w:tc>
          <w:tcPr>
            <w:tcW w:w="0" w:type="auto"/>
            <w:tcBorders>
              <w:top w:val="nil"/>
              <w:left w:val="nil"/>
              <w:bottom w:val="single" w:sz="4" w:space="0" w:color="C85348"/>
              <w:right w:val="single" w:sz="4" w:space="0" w:color="C85348"/>
            </w:tcBorders>
            <w:shd w:val="clear" w:color="auto" w:fill="auto"/>
            <w:noWrap/>
            <w:vAlign w:val="center"/>
            <w:hideMark/>
          </w:tcPr>
          <w:p w14:paraId="172BE02E"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94.75%</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126F3A44"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27.1</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33AE280B"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0.37%</w:t>
            </w:r>
          </w:p>
        </w:tc>
        <w:tc>
          <w:tcPr>
            <w:tcW w:w="0" w:type="auto"/>
            <w:tcBorders>
              <w:top w:val="nil"/>
              <w:left w:val="nil"/>
              <w:bottom w:val="single" w:sz="4" w:space="0" w:color="C85348"/>
              <w:right w:val="single" w:sz="4" w:space="0" w:color="C85348"/>
            </w:tcBorders>
            <w:shd w:val="clear" w:color="auto" w:fill="auto"/>
            <w:noWrap/>
            <w:vAlign w:val="center"/>
            <w:hideMark/>
          </w:tcPr>
          <w:p w14:paraId="3B42ED9C" w14:textId="582FBE64"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noProof/>
                <w:color w:val="000000"/>
                <w:sz w:val="20"/>
                <w:szCs w:val="20"/>
                <w:lang w:eastAsia="en-GB"/>
              </w:rPr>
              <w:drawing>
                <wp:anchor distT="0" distB="0" distL="114300" distR="114300" simplePos="0" relativeHeight="251658309" behindDoc="0" locked="0" layoutInCell="1" allowOverlap="1" wp14:anchorId="77F698F4" wp14:editId="64820AE6">
                  <wp:simplePos x="0" y="0"/>
                  <wp:positionH relativeFrom="column">
                    <wp:posOffset>26035</wp:posOffset>
                  </wp:positionH>
                  <wp:positionV relativeFrom="paragraph">
                    <wp:posOffset>96520</wp:posOffset>
                  </wp:positionV>
                  <wp:extent cx="292100" cy="254000"/>
                  <wp:effectExtent l="0" t="0" r="0" b="0"/>
                  <wp:wrapNone/>
                  <wp:docPr id="1975373688" name="Picture 100" descr="P2260C135T47#y1">
                    <a:extLst xmlns:a="http://schemas.openxmlformats.org/drawingml/2006/main">
                      <a:ext uri="{FF2B5EF4-FFF2-40B4-BE49-F238E27FC236}">
                        <a16:creationId xmlns:a16="http://schemas.microsoft.com/office/drawing/2014/main" id="{68F18AC2-52C9-4AC8-BDF0-7216AEDB1949}"/>
                      </a:ext>
                      <a:ext uri="{147F2762-F138-4A5C-976F-8EAC2B608ADB}">
                        <a16:predDERef xmlns:a16="http://schemas.microsoft.com/office/drawing/2014/main" pred="{F12C9961-C0BC-41BA-90DF-454CDF460A19}"/>
                      </a:ext>
                    </a:extLst>
                  </wp:docPr>
                  <wp:cNvGraphicFramePr/>
                  <a:graphic xmlns:a="http://schemas.openxmlformats.org/drawingml/2006/main">
                    <a:graphicData uri="http://schemas.openxmlformats.org/drawingml/2006/picture">
                      <pic:pic xmlns:pic="http://schemas.openxmlformats.org/drawingml/2006/picture">
                        <pic:nvPicPr>
                          <pic:cNvPr id="1975373688" name="Picture 67" descr="P2260C135T47#y1">
                            <a:extLst>
                              <a:ext uri="{FF2B5EF4-FFF2-40B4-BE49-F238E27FC236}">
                                <a16:creationId xmlns:a16="http://schemas.microsoft.com/office/drawing/2014/main" id="{68F18AC2-52C9-4AC8-BDF0-7216AEDB1949}"/>
                              </a:ext>
                              <a:ext uri="{147F2762-F138-4A5C-976F-8EAC2B608ADB}">
                                <a16:predDERef xmlns:a16="http://schemas.microsoft.com/office/drawing/2014/main" pred="{F12C9961-C0BC-41BA-90DF-454CDF460A1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9210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C00000"/>
              <w:bottom w:val="single" w:sz="4" w:space="0" w:color="C00000"/>
              <w:right w:val="single" w:sz="4" w:space="0" w:color="C00000"/>
            </w:tcBorders>
            <w:shd w:val="clear" w:color="auto" w:fill="FFC000"/>
            <w:vAlign w:val="center"/>
            <w:hideMark/>
          </w:tcPr>
          <w:p w14:paraId="1CA3EC2B"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3rd Quartile    Eng Av. 96             LA Av. 95.2 (2022/23)</w:t>
            </w:r>
          </w:p>
        </w:tc>
      </w:tr>
      <w:tr w:rsidR="000E6D9E" w:rsidRPr="000E6D9E" w14:paraId="6CB28F57" w14:textId="77777777" w:rsidTr="602AD899">
        <w:trPr>
          <w:trHeight w:val="1295"/>
        </w:trPr>
        <w:tc>
          <w:tcPr>
            <w:tcW w:w="0" w:type="auto"/>
            <w:vMerge/>
            <w:vAlign w:val="center"/>
            <w:hideMark/>
          </w:tcPr>
          <w:p w14:paraId="600E5B42" w14:textId="77777777" w:rsidR="000E6D9E" w:rsidRPr="000E6D9E" w:rsidRDefault="000E6D9E" w:rsidP="000E6D9E">
            <w:pPr>
              <w:spacing w:after="0" w:line="240" w:lineRule="auto"/>
              <w:rPr>
                <w:rFonts w:ascii="Arial" w:eastAsia="Times New Roman" w:hAnsi="Arial" w:cs="Arial"/>
                <w:b/>
                <w:bCs/>
                <w:color w:val="000000"/>
                <w:sz w:val="20"/>
                <w:szCs w:val="20"/>
                <w:lang w:eastAsia="en-GB"/>
              </w:rPr>
            </w:pPr>
          </w:p>
        </w:tc>
        <w:tc>
          <w:tcPr>
            <w:tcW w:w="0" w:type="auto"/>
            <w:tcBorders>
              <w:top w:val="nil"/>
              <w:left w:val="nil"/>
              <w:bottom w:val="single" w:sz="4" w:space="0" w:color="C85348"/>
              <w:right w:val="single" w:sz="4" w:space="0" w:color="C85348"/>
            </w:tcBorders>
            <w:shd w:val="clear" w:color="auto" w:fill="auto"/>
            <w:vAlign w:val="center"/>
            <w:hideMark/>
          </w:tcPr>
          <w:p w14:paraId="21CFE4D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CS-012</w:t>
            </w:r>
          </w:p>
        </w:tc>
        <w:tc>
          <w:tcPr>
            <w:tcW w:w="0" w:type="auto"/>
            <w:tcBorders>
              <w:top w:val="nil"/>
              <w:left w:val="nil"/>
              <w:bottom w:val="single" w:sz="4" w:space="0" w:color="C85348"/>
              <w:right w:val="single" w:sz="4" w:space="0" w:color="C85348"/>
            </w:tcBorders>
            <w:shd w:val="clear" w:color="auto" w:fill="auto"/>
            <w:vAlign w:val="center"/>
            <w:hideMark/>
          </w:tcPr>
          <w:p w14:paraId="3F8BF616" w14:textId="77777777" w:rsidR="000E6D9E" w:rsidRPr="000E6D9E" w:rsidRDefault="000E6D9E" w:rsidP="000E6D9E">
            <w:pPr>
              <w:spacing w:after="0" w:line="240" w:lineRule="auto"/>
              <w:rPr>
                <w:rFonts w:ascii="Arial" w:eastAsia="Times New Roman" w:hAnsi="Arial" w:cs="Arial"/>
                <w:sz w:val="20"/>
                <w:szCs w:val="20"/>
                <w:lang w:eastAsia="en-GB"/>
              </w:rPr>
            </w:pPr>
            <w:r w:rsidRPr="000E6D9E">
              <w:rPr>
                <w:rFonts w:ascii="Arial" w:eastAsia="Times New Roman" w:hAnsi="Arial" w:cs="Arial"/>
                <w:sz w:val="20"/>
                <w:szCs w:val="20"/>
                <w:lang w:eastAsia="en-GB"/>
              </w:rPr>
              <w:t>Percentage of non-domestic rates due for the financial year which were received by the authority</w:t>
            </w:r>
          </w:p>
        </w:tc>
        <w:tc>
          <w:tcPr>
            <w:tcW w:w="0" w:type="auto"/>
            <w:tcBorders>
              <w:top w:val="nil"/>
              <w:left w:val="nil"/>
              <w:bottom w:val="single" w:sz="4" w:space="0" w:color="C85348"/>
              <w:right w:val="single" w:sz="4" w:space="0" w:color="C85348"/>
            </w:tcBorders>
            <w:shd w:val="clear" w:color="auto" w:fill="auto"/>
            <w:vAlign w:val="center"/>
            <w:hideMark/>
          </w:tcPr>
          <w:p w14:paraId="776C70DF"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Quarterly</w:t>
            </w:r>
          </w:p>
        </w:tc>
        <w:tc>
          <w:tcPr>
            <w:tcW w:w="0" w:type="auto"/>
            <w:tcBorders>
              <w:top w:val="nil"/>
              <w:left w:val="nil"/>
              <w:bottom w:val="single" w:sz="4" w:space="0" w:color="C85348"/>
              <w:right w:val="single" w:sz="4" w:space="0" w:color="C85348"/>
            </w:tcBorders>
            <w:shd w:val="clear" w:color="auto" w:fill="FFFFFF" w:themeFill="background1"/>
            <w:vAlign w:val="center"/>
            <w:hideMark/>
          </w:tcPr>
          <w:p w14:paraId="163314C6"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Higher</w:t>
            </w:r>
          </w:p>
        </w:tc>
        <w:tc>
          <w:tcPr>
            <w:tcW w:w="0" w:type="auto"/>
            <w:tcBorders>
              <w:top w:val="nil"/>
              <w:left w:val="nil"/>
              <w:bottom w:val="single" w:sz="4" w:space="0" w:color="C85348"/>
              <w:right w:val="single" w:sz="4" w:space="0" w:color="C85348"/>
            </w:tcBorders>
            <w:shd w:val="clear" w:color="auto" w:fill="92D050"/>
            <w:vAlign w:val="center"/>
            <w:hideMark/>
          </w:tcPr>
          <w:p w14:paraId="40B0A9D9"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97.15%</w:t>
            </w:r>
          </w:p>
        </w:tc>
        <w:tc>
          <w:tcPr>
            <w:tcW w:w="0" w:type="auto"/>
            <w:tcBorders>
              <w:top w:val="nil"/>
              <w:left w:val="nil"/>
              <w:bottom w:val="single" w:sz="4" w:space="0" w:color="C85348"/>
              <w:right w:val="single" w:sz="4" w:space="0" w:color="C85348"/>
            </w:tcBorders>
            <w:shd w:val="clear" w:color="auto" w:fill="auto"/>
            <w:noWrap/>
            <w:vAlign w:val="center"/>
            <w:hideMark/>
          </w:tcPr>
          <w:p w14:paraId="5470D355"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96.2%</w:t>
            </w:r>
          </w:p>
        </w:tc>
        <w:tc>
          <w:tcPr>
            <w:tcW w:w="937" w:type="dxa"/>
            <w:tcBorders>
              <w:top w:val="single" w:sz="4" w:space="0" w:color="C85348"/>
              <w:left w:val="single" w:sz="4" w:space="0" w:color="C85348"/>
              <w:bottom w:val="single" w:sz="4" w:space="0" w:color="C85348"/>
              <w:right w:val="single" w:sz="4" w:space="0" w:color="C85348"/>
            </w:tcBorders>
            <w:shd w:val="clear" w:color="auto" w:fill="92D050"/>
            <w:vAlign w:val="center"/>
            <w:hideMark/>
          </w:tcPr>
          <w:p w14:paraId="43A49E12" w14:textId="77777777"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color w:val="000000"/>
                <w:sz w:val="20"/>
                <w:szCs w:val="20"/>
                <w:lang w:eastAsia="en-GB"/>
              </w:rPr>
              <w:t>29.5</w:t>
            </w:r>
          </w:p>
        </w:tc>
        <w:tc>
          <w:tcPr>
            <w:tcW w:w="1013"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43EE163D" w14:textId="77777777" w:rsidR="000E6D9E" w:rsidRPr="000E6D9E" w:rsidRDefault="000E6D9E" w:rsidP="000E6D9E">
            <w:pPr>
              <w:spacing w:after="0" w:line="240" w:lineRule="auto"/>
              <w:jc w:val="center"/>
              <w:rPr>
                <w:rFonts w:ascii="Arial" w:eastAsia="Times New Roman" w:hAnsi="Arial" w:cs="Arial"/>
                <w:color w:val="00B050"/>
                <w:sz w:val="20"/>
                <w:szCs w:val="20"/>
                <w:lang w:eastAsia="en-GB"/>
              </w:rPr>
            </w:pPr>
            <w:r w:rsidRPr="000E6D9E">
              <w:rPr>
                <w:rFonts w:ascii="Arial" w:eastAsia="Times New Roman" w:hAnsi="Arial" w:cs="Arial"/>
                <w:color w:val="00B050"/>
                <w:sz w:val="20"/>
                <w:szCs w:val="20"/>
                <w:lang w:eastAsia="en-GB"/>
              </w:rPr>
              <w:t>1.72%</w:t>
            </w:r>
          </w:p>
        </w:tc>
        <w:tc>
          <w:tcPr>
            <w:tcW w:w="0" w:type="auto"/>
            <w:tcBorders>
              <w:top w:val="nil"/>
              <w:left w:val="nil"/>
              <w:bottom w:val="single" w:sz="4" w:space="0" w:color="C85348"/>
              <w:right w:val="single" w:sz="4" w:space="0" w:color="C85348"/>
            </w:tcBorders>
            <w:shd w:val="clear" w:color="auto" w:fill="auto"/>
            <w:noWrap/>
            <w:vAlign w:val="center"/>
            <w:hideMark/>
          </w:tcPr>
          <w:p w14:paraId="1FD80AB0" w14:textId="46BD6684" w:rsidR="000E6D9E" w:rsidRPr="000E6D9E" w:rsidRDefault="000E6D9E" w:rsidP="000E6D9E">
            <w:pPr>
              <w:spacing w:after="0" w:line="240" w:lineRule="auto"/>
              <w:jc w:val="center"/>
              <w:rPr>
                <w:rFonts w:ascii="Arial" w:eastAsia="Times New Roman" w:hAnsi="Arial" w:cs="Arial"/>
                <w:color w:val="000000"/>
                <w:sz w:val="20"/>
                <w:szCs w:val="20"/>
                <w:lang w:eastAsia="en-GB"/>
              </w:rPr>
            </w:pPr>
            <w:r w:rsidRPr="000E6D9E">
              <w:rPr>
                <w:rFonts w:ascii="Arial" w:eastAsia="Times New Roman" w:hAnsi="Arial" w:cs="Arial"/>
                <w:noProof/>
                <w:color w:val="000000"/>
                <w:sz w:val="20"/>
                <w:szCs w:val="20"/>
                <w:lang w:eastAsia="en-GB"/>
              </w:rPr>
              <w:drawing>
                <wp:anchor distT="0" distB="0" distL="114300" distR="114300" simplePos="0" relativeHeight="251658314" behindDoc="0" locked="0" layoutInCell="1" allowOverlap="1" wp14:anchorId="4A56C1F3" wp14:editId="34CE0242">
                  <wp:simplePos x="0" y="0"/>
                  <wp:positionH relativeFrom="column">
                    <wp:posOffset>62865</wp:posOffset>
                  </wp:positionH>
                  <wp:positionV relativeFrom="paragraph">
                    <wp:posOffset>113030</wp:posOffset>
                  </wp:positionV>
                  <wp:extent cx="285750" cy="260350"/>
                  <wp:effectExtent l="0" t="0" r="0" b="6350"/>
                  <wp:wrapNone/>
                  <wp:docPr id="2081251573" name="Picture 101" descr="P2272C145T47#y1">
                    <a:extLst xmlns:a="http://schemas.openxmlformats.org/drawingml/2006/main">
                      <a:ext uri="{FF2B5EF4-FFF2-40B4-BE49-F238E27FC236}">
                        <a16:creationId xmlns:a16="http://schemas.microsoft.com/office/drawing/2014/main" id="{0E9084E9-D8FE-4F41-8078-3C16AF93583B}"/>
                      </a:ext>
                      <a:ext uri="{147F2762-F138-4A5C-976F-8EAC2B608ADB}">
                        <a16:predDERef xmlns:a16="http://schemas.microsoft.com/office/drawing/2014/main" pred="{949C28D6-2F4F-4790-A947-7DFD5E31C698}"/>
                      </a:ext>
                    </a:extLst>
                  </wp:docPr>
                  <wp:cNvGraphicFramePr/>
                  <a:graphic xmlns:a="http://schemas.openxmlformats.org/drawingml/2006/main">
                    <a:graphicData uri="http://schemas.openxmlformats.org/drawingml/2006/picture">
                      <pic:pic xmlns:pic="http://schemas.openxmlformats.org/drawingml/2006/picture">
                        <pic:nvPicPr>
                          <pic:cNvPr id="2081251573" name="Picture 66" descr="P2272C145T47#y1">
                            <a:extLst>
                              <a:ext uri="{FF2B5EF4-FFF2-40B4-BE49-F238E27FC236}">
                                <a16:creationId xmlns:a16="http://schemas.microsoft.com/office/drawing/2014/main" id="{0E9084E9-D8FE-4F41-8078-3C16AF93583B}"/>
                              </a:ext>
                              <a:ext uri="{147F2762-F138-4A5C-976F-8EAC2B608ADB}">
                                <a16:predDERef xmlns:a16="http://schemas.microsoft.com/office/drawing/2014/main" pred="{949C28D6-2F4F-4790-A947-7DFD5E31C69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857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single" w:sz="4" w:space="0" w:color="ED712C"/>
              <w:bottom w:val="single" w:sz="4" w:space="0" w:color="ED712C"/>
              <w:right w:val="single" w:sz="4" w:space="0" w:color="ED712C"/>
            </w:tcBorders>
            <w:shd w:val="clear" w:color="auto" w:fill="FF0000"/>
            <w:vAlign w:val="center"/>
            <w:hideMark/>
          </w:tcPr>
          <w:p w14:paraId="3D5E7B72" w14:textId="77777777" w:rsidR="000E6D9E" w:rsidRPr="000E6D9E" w:rsidRDefault="000E6D9E" w:rsidP="000E6D9E">
            <w:pPr>
              <w:spacing w:after="0" w:line="240" w:lineRule="auto"/>
              <w:jc w:val="center"/>
              <w:rPr>
                <w:rFonts w:ascii="Arial" w:eastAsia="Times New Roman" w:hAnsi="Arial" w:cs="Arial"/>
                <w:sz w:val="20"/>
                <w:szCs w:val="20"/>
                <w:lang w:eastAsia="en-GB"/>
              </w:rPr>
            </w:pPr>
            <w:r w:rsidRPr="000E6D9E">
              <w:rPr>
                <w:rFonts w:ascii="Arial" w:eastAsia="Times New Roman" w:hAnsi="Arial" w:cs="Arial"/>
                <w:sz w:val="20"/>
                <w:szCs w:val="20"/>
                <w:lang w:eastAsia="en-GB"/>
              </w:rPr>
              <w:t>4th Quartile  Eng Av. 96.8   LA Av. 97.1 (2022/23)</w:t>
            </w:r>
          </w:p>
        </w:tc>
      </w:tr>
    </w:tbl>
    <w:p w14:paraId="7F1D33E5" w14:textId="77777777" w:rsidR="00954E88" w:rsidRDefault="00954E88" w:rsidP="00603056">
      <w:pPr>
        <w:spacing w:after="120" w:line="240" w:lineRule="auto"/>
        <w:rPr>
          <w:rFonts w:ascii="Arial" w:hAnsi="Arial" w:cs="Arial"/>
          <w:b/>
          <w:bCs/>
          <w:color w:val="C25C5D"/>
          <w:sz w:val="32"/>
          <w:szCs w:val="32"/>
        </w:rPr>
      </w:pPr>
    </w:p>
    <w:p w14:paraId="6C59A801" w14:textId="38183E45" w:rsidR="00D42509" w:rsidRDefault="00606559" w:rsidP="00603056">
      <w:pPr>
        <w:spacing w:after="120" w:line="240" w:lineRule="auto"/>
        <w:rPr>
          <w:rFonts w:ascii="Arial" w:hAnsi="Arial" w:cs="Arial"/>
          <w:b/>
          <w:bCs/>
          <w:color w:val="C25C5D"/>
          <w:sz w:val="32"/>
          <w:szCs w:val="32"/>
        </w:rPr>
      </w:pPr>
      <w:r w:rsidRPr="0FCDD889">
        <w:rPr>
          <w:rFonts w:ascii="Arial" w:hAnsi="Arial" w:cs="Arial"/>
          <w:b/>
          <w:bCs/>
          <w:color w:val="C25C5D"/>
          <w:sz w:val="32"/>
          <w:szCs w:val="32"/>
        </w:rPr>
        <w:t xml:space="preserve">Tier </w:t>
      </w:r>
      <w:r>
        <w:rPr>
          <w:rFonts w:ascii="Arial" w:hAnsi="Arial" w:cs="Arial"/>
          <w:b/>
          <w:bCs/>
          <w:color w:val="C25C5D"/>
          <w:sz w:val="32"/>
          <w:szCs w:val="32"/>
        </w:rPr>
        <w:t>2</w:t>
      </w:r>
    </w:p>
    <w:p w14:paraId="5ED6BBEF" w14:textId="77777777" w:rsidR="002F55E0" w:rsidRDefault="00D42509" w:rsidP="00603056">
      <w:pPr>
        <w:spacing w:after="120" w:line="240" w:lineRule="auto"/>
        <w:rPr>
          <w:rFonts w:ascii="Arial" w:hAnsi="Arial" w:cs="Arial"/>
          <w:b/>
          <w:color w:val="C85348"/>
          <w:sz w:val="32"/>
          <w:szCs w:val="32"/>
        </w:rPr>
      </w:pPr>
      <w:r>
        <w:rPr>
          <w:rFonts w:ascii="Arial" w:hAnsi="Arial" w:cs="Arial"/>
          <w:b/>
          <w:color w:val="C85348"/>
          <w:sz w:val="32"/>
          <w:szCs w:val="32"/>
        </w:rPr>
        <w:t xml:space="preserve"> </w:t>
      </w:r>
    </w:p>
    <w:tbl>
      <w:tblPr>
        <w:tblW w:w="0" w:type="auto"/>
        <w:tblCellMar>
          <w:left w:w="0" w:type="dxa"/>
          <w:right w:w="0" w:type="dxa"/>
        </w:tblCellMar>
        <w:tblLook w:val="04A0" w:firstRow="1" w:lastRow="0" w:firstColumn="1" w:lastColumn="0" w:noHBand="0" w:noVBand="1"/>
      </w:tblPr>
      <w:tblGrid>
        <w:gridCol w:w="3256"/>
        <w:gridCol w:w="708"/>
        <w:gridCol w:w="2409"/>
        <w:gridCol w:w="1418"/>
        <w:gridCol w:w="992"/>
        <w:gridCol w:w="993"/>
        <w:gridCol w:w="992"/>
        <w:gridCol w:w="993"/>
        <w:gridCol w:w="992"/>
        <w:gridCol w:w="709"/>
        <w:gridCol w:w="1926"/>
      </w:tblGrid>
      <w:tr w:rsidR="002F55E0" w:rsidRPr="002F55E0" w14:paraId="756EB3C3" w14:textId="77777777" w:rsidTr="0F3B50AE">
        <w:trPr>
          <w:trHeight w:val="493"/>
          <w:tblHeader/>
        </w:trPr>
        <w:tc>
          <w:tcPr>
            <w:tcW w:w="3256" w:type="dxa"/>
            <w:vMerge w:val="restart"/>
            <w:tcBorders>
              <w:top w:val="single" w:sz="4" w:space="0" w:color="C85348"/>
              <w:left w:val="single" w:sz="4" w:space="0" w:color="C85348"/>
              <w:bottom w:val="single" w:sz="4" w:space="0" w:color="C85348"/>
              <w:right w:val="single" w:sz="4" w:space="0" w:color="C85348"/>
            </w:tcBorders>
            <w:shd w:val="clear" w:color="auto" w:fill="C85348"/>
            <w:noWrap/>
            <w:vAlign w:val="center"/>
            <w:hideMark/>
          </w:tcPr>
          <w:p w14:paraId="390E1C8D"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Outcome</w:t>
            </w:r>
          </w:p>
        </w:tc>
        <w:tc>
          <w:tcPr>
            <w:tcW w:w="708" w:type="dxa"/>
            <w:vMerge w:val="restart"/>
            <w:tcBorders>
              <w:top w:val="single" w:sz="4" w:space="0" w:color="C85348"/>
              <w:left w:val="single" w:sz="4" w:space="0" w:color="C85348"/>
              <w:bottom w:val="single" w:sz="4" w:space="0" w:color="C85348"/>
              <w:right w:val="single" w:sz="4" w:space="0" w:color="C85348"/>
            </w:tcBorders>
            <w:shd w:val="clear" w:color="auto" w:fill="C85348"/>
            <w:noWrap/>
            <w:vAlign w:val="center"/>
            <w:hideMark/>
          </w:tcPr>
          <w:p w14:paraId="6D6A1E11"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Ref</w:t>
            </w:r>
          </w:p>
        </w:tc>
        <w:tc>
          <w:tcPr>
            <w:tcW w:w="2409"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1B107202"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Performance Indicator</w:t>
            </w:r>
          </w:p>
        </w:tc>
        <w:tc>
          <w:tcPr>
            <w:tcW w:w="1418"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60F265B4"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Reporting Frequency</w:t>
            </w:r>
          </w:p>
        </w:tc>
        <w:tc>
          <w:tcPr>
            <w:tcW w:w="992"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4E34A652"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Higher / Lower is better?</w:t>
            </w:r>
          </w:p>
        </w:tc>
        <w:tc>
          <w:tcPr>
            <w:tcW w:w="993"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54DD8243" w14:textId="0808DB4F"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2</w:t>
            </w:r>
            <w:r w:rsidR="00B0689C">
              <w:rPr>
                <w:rFonts w:ascii="Arial" w:hAnsi="Arial" w:cs="Arial"/>
                <w:b/>
                <w:bCs/>
                <w:color w:val="FFFFFF"/>
                <w:sz w:val="20"/>
                <w:szCs w:val="20"/>
              </w:rPr>
              <w:t>3</w:t>
            </w:r>
            <w:r w:rsidRPr="002F55E0">
              <w:rPr>
                <w:rFonts w:ascii="Arial" w:hAnsi="Arial" w:cs="Arial"/>
                <w:b/>
                <w:bCs/>
                <w:color w:val="FFFFFF"/>
                <w:sz w:val="20"/>
                <w:szCs w:val="20"/>
              </w:rPr>
              <w:t>/2</w:t>
            </w:r>
            <w:r w:rsidR="00B0689C">
              <w:rPr>
                <w:rFonts w:ascii="Arial" w:hAnsi="Arial" w:cs="Arial"/>
                <w:b/>
                <w:bCs/>
                <w:color w:val="FFFFFF"/>
                <w:sz w:val="20"/>
                <w:szCs w:val="20"/>
              </w:rPr>
              <w:t>4</w:t>
            </w:r>
            <w:r w:rsidRPr="002F55E0">
              <w:rPr>
                <w:rFonts w:ascii="Arial" w:hAnsi="Arial" w:cs="Arial"/>
                <w:b/>
                <w:bCs/>
                <w:color w:val="FFFFFF"/>
                <w:sz w:val="20"/>
                <w:szCs w:val="20"/>
              </w:rPr>
              <w:t xml:space="preserve"> Outturn</w:t>
            </w:r>
          </w:p>
        </w:tc>
        <w:tc>
          <w:tcPr>
            <w:tcW w:w="992"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50DB2273" w14:textId="656A1249"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2</w:t>
            </w:r>
            <w:r w:rsidR="000453B6">
              <w:rPr>
                <w:rFonts w:ascii="Arial" w:hAnsi="Arial" w:cs="Arial"/>
                <w:b/>
                <w:bCs/>
                <w:color w:val="FFFFFF"/>
                <w:sz w:val="20"/>
                <w:szCs w:val="20"/>
              </w:rPr>
              <w:t>4</w:t>
            </w:r>
            <w:r w:rsidRPr="002F55E0">
              <w:rPr>
                <w:rFonts w:ascii="Arial" w:hAnsi="Arial" w:cs="Arial"/>
                <w:b/>
                <w:bCs/>
                <w:color w:val="FFFFFF"/>
                <w:sz w:val="20"/>
                <w:szCs w:val="20"/>
              </w:rPr>
              <w:t>/2</w:t>
            </w:r>
            <w:r w:rsidR="000453B6">
              <w:rPr>
                <w:rFonts w:ascii="Arial" w:hAnsi="Arial" w:cs="Arial"/>
                <w:b/>
                <w:bCs/>
                <w:color w:val="FFFFFF"/>
                <w:sz w:val="20"/>
                <w:szCs w:val="20"/>
              </w:rPr>
              <w:t>5</w:t>
            </w:r>
            <w:r w:rsidRPr="002F55E0">
              <w:rPr>
                <w:rFonts w:ascii="Arial" w:hAnsi="Arial" w:cs="Arial"/>
                <w:b/>
                <w:bCs/>
                <w:color w:val="FFFFFF"/>
                <w:sz w:val="20"/>
                <w:szCs w:val="20"/>
              </w:rPr>
              <w:t xml:space="preserve"> Target</w:t>
            </w:r>
          </w:p>
        </w:tc>
        <w:tc>
          <w:tcPr>
            <w:tcW w:w="993" w:type="dxa"/>
            <w:tcBorders>
              <w:top w:val="single" w:sz="4" w:space="0" w:color="C85348"/>
              <w:left w:val="nil"/>
              <w:bottom w:val="single" w:sz="4" w:space="0" w:color="C85348"/>
              <w:right w:val="single" w:sz="4" w:space="0" w:color="C85348"/>
            </w:tcBorders>
            <w:shd w:val="clear" w:color="auto" w:fill="C85348"/>
            <w:vAlign w:val="center"/>
            <w:hideMark/>
          </w:tcPr>
          <w:p w14:paraId="0F26C8C3"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Q1</w:t>
            </w:r>
          </w:p>
        </w:tc>
        <w:tc>
          <w:tcPr>
            <w:tcW w:w="992" w:type="dxa"/>
            <w:vMerge w:val="restart"/>
            <w:tcBorders>
              <w:top w:val="single" w:sz="4" w:space="0" w:color="C25C5D"/>
              <w:left w:val="single" w:sz="4" w:space="0" w:color="C25C5D"/>
              <w:bottom w:val="single" w:sz="4" w:space="0" w:color="C25C5D"/>
              <w:right w:val="single" w:sz="4" w:space="0" w:color="C25C5D"/>
            </w:tcBorders>
            <w:shd w:val="clear" w:color="auto" w:fill="C85348"/>
            <w:vAlign w:val="center"/>
            <w:hideMark/>
          </w:tcPr>
          <w:p w14:paraId="72EC7F49"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 Variance from Target</w:t>
            </w:r>
          </w:p>
        </w:tc>
        <w:tc>
          <w:tcPr>
            <w:tcW w:w="709" w:type="dxa"/>
            <w:vMerge w:val="restart"/>
            <w:tcBorders>
              <w:top w:val="single" w:sz="4" w:space="0" w:color="C25C5D"/>
              <w:left w:val="single" w:sz="4" w:space="0" w:color="C25C5D"/>
              <w:bottom w:val="single" w:sz="4" w:space="0" w:color="C25C5D"/>
              <w:right w:val="single" w:sz="4" w:space="0" w:color="C25C5D"/>
            </w:tcBorders>
            <w:shd w:val="clear" w:color="auto" w:fill="C85348"/>
            <w:vAlign w:val="center"/>
            <w:hideMark/>
          </w:tcPr>
          <w:p w14:paraId="75DC0B8D"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Trend</w:t>
            </w:r>
          </w:p>
        </w:tc>
        <w:tc>
          <w:tcPr>
            <w:tcW w:w="1926" w:type="dxa"/>
            <w:vMerge w:val="restart"/>
            <w:tcBorders>
              <w:top w:val="single" w:sz="4" w:space="0" w:color="C85348"/>
              <w:left w:val="single" w:sz="4" w:space="0" w:color="C85348"/>
              <w:bottom w:val="single" w:sz="4" w:space="0" w:color="C85348"/>
              <w:right w:val="single" w:sz="4" w:space="0" w:color="C85348"/>
            </w:tcBorders>
            <w:shd w:val="clear" w:color="auto" w:fill="C85348"/>
            <w:vAlign w:val="center"/>
            <w:hideMark/>
          </w:tcPr>
          <w:p w14:paraId="3A4147DD"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Comparative Performance</w:t>
            </w:r>
          </w:p>
        </w:tc>
      </w:tr>
      <w:tr w:rsidR="002F55E0" w:rsidRPr="002F55E0" w14:paraId="548A768E" w14:textId="77777777" w:rsidTr="0F3B50AE">
        <w:trPr>
          <w:trHeight w:val="540"/>
        </w:trPr>
        <w:tc>
          <w:tcPr>
            <w:tcW w:w="3256" w:type="dxa"/>
            <w:vMerge/>
            <w:vAlign w:val="center"/>
            <w:hideMark/>
          </w:tcPr>
          <w:p w14:paraId="32F32ECF" w14:textId="77777777" w:rsidR="002F55E0" w:rsidRPr="002F55E0" w:rsidRDefault="002F55E0">
            <w:pPr>
              <w:rPr>
                <w:rFonts w:ascii="Arial" w:hAnsi="Arial" w:cs="Arial"/>
                <w:b/>
                <w:bCs/>
                <w:color w:val="FFFFFF"/>
                <w:sz w:val="20"/>
                <w:szCs w:val="20"/>
              </w:rPr>
            </w:pPr>
          </w:p>
        </w:tc>
        <w:tc>
          <w:tcPr>
            <w:tcW w:w="708" w:type="dxa"/>
            <w:vMerge/>
            <w:vAlign w:val="center"/>
            <w:hideMark/>
          </w:tcPr>
          <w:p w14:paraId="3657957D" w14:textId="77777777" w:rsidR="002F55E0" w:rsidRPr="002F55E0" w:rsidRDefault="002F55E0">
            <w:pPr>
              <w:rPr>
                <w:rFonts w:ascii="Arial" w:hAnsi="Arial" w:cs="Arial"/>
                <w:b/>
                <w:bCs/>
                <w:color w:val="FFFFFF"/>
                <w:sz w:val="20"/>
                <w:szCs w:val="20"/>
              </w:rPr>
            </w:pPr>
          </w:p>
        </w:tc>
        <w:tc>
          <w:tcPr>
            <w:tcW w:w="2409" w:type="dxa"/>
            <w:vMerge/>
            <w:vAlign w:val="center"/>
            <w:hideMark/>
          </w:tcPr>
          <w:p w14:paraId="590EB187" w14:textId="77777777" w:rsidR="002F55E0" w:rsidRPr="002F55E0" w:rsidRDefault="002F55E0">
            <w:pPr>
              <w:rPr>
                <w:rFonts w:ascii="Arial" w:hAnsi="Arial" w:cs="Arial"/>
                <w:b/>
                <w:bCs/>
                <w:color w:val="FFFFFF"/>
                <w:sz w:val="20"/>
                <w:szCs w:val="20"/>
              </w:rPr>
            </w:pPr>
          </w:p>
        </w:tc>
        <w:tc>
          <w:tcPr>
            <w:tcW w:w="1418" w:type="dxa"/>
            <w:vMerge/>
            <w:vAlign w:val="center"/>
            <w:hideMark/>
          </w:tcPr>
          <w:p w14:paraId="23BD6F12" w14:textId="77777777" w:rsidR="002F55E0" w:rsidRPr="002F55E0" w:rsidRDefault="002F55E0">
            <w:pPr>
              <w:rPr>
                <w:rFonts w:ascii="Arial" w:hAnsi="Arial" w:cs="Arial"/>
                <w:b/>
                <w:bCs/>
                <w:color w:val="FFFFFF"/>
                <w:sz w:val="20"/>
                <w:szCs w:val="20"/>
              </w:rPr>
            </w:pPr>
          </w:p>
        </w:tc>
        <w:tc>
          <w:tcPr>
            <w:tcW w:w="992" w:type="dxa"/>
            <w:vMerge/>
            <w:vAlign w:val="center"/>
            <w:hideMark/>
          </w:tcPr>
          <w:p w14:paraId="355AD603" w14:textId="77777777" w:rsidR="002F55E0" w:rsidRPr="002F55E0" w:rsidRDefault="002F55E0">
            <w:pPr>
              <w:rPr>
                <w:rFonts w:ascii="Arial" w:hAnsi="Arial" w:cs="Arial"/>
                <w:b/>
                <w:bCs/>
                <w:color w:val="FFFFFF"/>
                <w:sz w:val="20"/>
                <w:szCs w:val="20"/>
              </w:rPr>
            </w:pPr>
          </w:p>
        </w:tc>
        <w:tc>
          <w:tcPr>
            <w:tcW w:w="993" w:type="dxa"/>
            <w:vMerge/>
            <w:vAlign w:val="center"/>
            <w:hideMark/>
          </w:tcPr>
          <w:p w14:paraId="78D10E13" w14:textId="77777777" w:rsidR="002F55E0" w:rsidRPr="002F55E0" w:rsidRDefault="002F55E0">
            <w:pPr>
              <w:rPr>
                <w:rFonts w:ascii="Arial" w:hAnsi="Arial" w:cs="Arial"/>
                <w:b/>
                <w:bCs/>
                <w:color w:val="FFFFFF"/>
                <w:sz w:val="20"/>
                <w:szCs w:val="20"/>
              </w:rPr>
            </w:pPr>
          </w:p>
        </w:tc>
        <w:tc>
          <w:tcPr>
            <w:tcW w:w="992" w:type="dxa"/>
            <w:vMerge/>
            <w:vAlign w:val="center"/>
            <w:hideMark/>
          </w:tcPr>
          <w:p w14:paraId="0715D8B4" w14:textId="77777777" w:rsidR="002F55E0" w:rsidRPr="002F55E0" w:rsidRDefault="002F55E0">
            <w:pPr>
              <w:rPr>
                <w:rFonts w:ascii="Arial" w:hAnsi="Arial" w:cs="Arial"/>
                <w:b/>
                <w:bCs/>
                <w:color w:val="FFFFFF"/>
                <w:sz w:val="20"/>
                <w:szCs w:val="20"/>
              </w:rPr>
            </w:pPr>
          </w:p>
        </w:tc>
        <w:tc>
          <w:tcPr>
            <w:tcW w:w="993" w:type="dxa"/>
            <w:tcBorders>
              <w:top w:val="nil"/>
              <w:left w:val="nil"/>
              <w:bottom w:val="single" w:sz="4" w:space="0" w:color="C85348"/>
              <w:right w:val="single" w:sz="4" w:space="0" w:color="C85348"/>
            </w:tcBorders>
            <w:shd w:val="clear" w:color="auto" w:fill="C85348"/>
            <w:vAlign w:val="center"/>
            <w:hideMark/>
          </w:tcPr>
          <w:p w14:paraId="377B8AC4" w14:textId="77777777" w:rsidR="002F55E0" w:rsidRPr="002F55E0" w:rsidRDefault="002F55E0">
            <w:pPr>
              <w:jc w:val="center"/>
              <w:rPr>
                <w:rFonts w:ascii="Arial" w:hAnsi="Arial" w:cs="Arial"/>
                <w:b/>
                <w:bCs/>
                <w:color w:val="FFFFFF"/>
                <w:sz w:val="20"/>
                <w:szCs w:val="20"/>
              </w:rPr>
            </w:pPr>
            <w:r w:rsidRPr="002F55E0">
              <w:rPr>
                <w:rFonts w:ascii="Arial" w:hAnsi="Arial" w:cs="Arial"/>
                <w:b/>
                <w:bCs/>
                <w:color w:val="FFFFFF"/>
                <w:sz w:val="20"/>
                <w:szCs w:val="20"/>
              </w:rPr>
              <w:t>June</w:t>
            </w:r>
          </w:p>
        </w:tc>
        <w:tc>
          <w:tcPr>
            <w:tcW w:w="992" w:type="dxa"/>
            <w:vMerge/>
            <w:vAlign w:val="center"/>
            <w:hideMark/>
          </w:tcPr>
          <w:p w14:paraId="777A9526" w14:textId="77777777" w:rsidR="002F55E0" w:rsidRPr="002F55E0" w:rsidRDefault="002F55E0">
            <w:pPr>
              <w:rPr>
                <w:rFonts w:ascii="Arial" w:hAnsi="Arial" w:cs="Arial"/>
                <w:b/>
                <w:bCs/>
                <w:color w:val="FFFFFF"/>
                <w:sz w:val="20"/>
                <w:szCs w:val="20"/>
              </w:rPr>
            </w:pPr>
          </w:p>
        </w:tc>
        <w:tc>
          <w:tcPr>
            <w:tcW w:w="709" w:type="dxa"/>
            <w:vMerge/>
            <w:vAlign w:val="center"/>
            <w:hideMark/>
          </w:tcPr>
          <w:p w14:paraId="34B8D3C2" w14:textId="77777777" w:rsidR="002F55E0" w:rsidRPr="002F55E0" w:rsidRDefault="002F55E0">
            <w:pPr>
              <w:rPr>
                <w:rFonts w:ascii="Arial" w:hAnsi="Arial" w:cs="Arial"/>
                <w:b/>
                <w:bCs/>
                <w:color w:val="FFFFFF"/>
                <w:sz w:val="20"/>
                <w:szCs w:val="20"/>
              </w:rPr>
            </w:pPr>
          </w:p>
        </w:tc>
        <w:tc>
          <w:tcPr>
            <w:tcW w:w="1926" w:type="dxa"/>
            <w:vMerge/>
            <w:vAlign w:val="center"/>
            <w:hideMark/>
          </w:tcPr>
          <w:p w14:paraId="75FBB638" w14:textId="77777777" w:rsidR="002F55E0" w:rsidRPr="002F55E0" w:rsidRDefault="002F55E0">
            <w:pPr>
              <w:rPr>
                <w:rFonts w:ascii="Arial" w:hAnsi="Arial" w:cs="Arial"/>
                <w:b/>
                <w:bCs/>
                <w:color w:val="FFFFFF"/>
                <w:sz w:val="20"/>
                <w:szCs w:val="20"/>
              </w:rPr>
            </w:pPr>
          </w:p>
        </w:tc>
      </w:tr>
      <w:tr w:rsidR="002F55E0" w:rsidRPr="002F55E0" w14:paraId="262C58CD" w14:textId="77777777" w:rsidTr="005B1F3A">
        <w:trPr>
          <w:trHeight w:val="1760"/>
        </w:trPr>
        <w:tc>
          <w:tcPr>
            <w:tcW w:w="3256" w:type="dxa"/>
            <w:vMerge w:val="restart"/>
            <w:tcBorders>
              <w:top w:val="nil"/>
              <w:left w:val="single" w:sz="4" w:space="0" w:color="C85348"/>
              <w:bottom w:val="single" w:sz="4" w:space="0" w:color="C85348"/>
              <w:right w:val="single" w:sz="4" w:space="0" w:color="C85348"/>
            </w:tcBorders>
            <w:shd w:val="clear" w:color="auto" w:fill="EBC0BB"/>
            <w:vAlign w:val="center"/>
            <w:hideMark/>
          </w:tcPr>
          <w:p w14:paraId="5EF31B4C" w14:textId="4206C6E1" w:rsidR="002F55E0" w:rsidRPr="002F55E0" w:rsidRDefault="002F55E0">
            <w:pPr>
              <w:jc w:val="center"/>
              <w:rPr>
                <w:rFonts w:ascii="Arial" w:hAnsi="Arial" w:cs="Arial"/>
                <w:b/>
                <w:bCs/>
                <w:color w:val="000000"/>
                <w:sz w:val="20"/>
                <w:szCs w:val="20"/>
              </w:rPr>
            </w:pPr>
            <w:r w:rsidRPr="002F55E0">
              <w:rPr>
                <w:rFonts w:ascii="Arial" w:hAnsi="Arial" w:cs="Arial"/>
                <w:b/>
                <w:bCs/>
                <w:color w:val="000000"/>
                <w:sz w:val="20"/>
                <w:szCs w:val="20"/>
              </w:rPr>
              <w:t xml:space="preserve">Communicate, listen, engage, and work in partnership well with our residents, communities, local organisations, and partners recognising the </w:t>
            </w:r>
            <w:r w:rsidR="004A7E35" w:rsidRPr="002F55E0">
              <w:rPr>
                <w:rFonts w:ascii="Arial" w:hAnsi="Arial" w:cs="Arial"/>
                <w:b/>
                <w:bCs/>
                <w:color w:val="000000"/>
                <w:sz w:val="20"/>
                <w:szCs w:val="20"/>
              </w:rPr>
              <w:t>strength</w:t>
            </w:r>
            <w:r w:rsidRPr="002F55E0">
              <w:rPr>
                <w:rFonts w:ascii="Arial" w:hAnsi="Arial" w:cs="Arial"/>
                <w:b/>
                <w:bCs/>
                <w:color w:val="000000"/>
                <w:sz w:val="20"/>
                <w:szCs w:val="20"/>
              </w:rPr>
              <w:t xml:space="preserve"> and skills in our community</w:t>
            </w:r>
          </w:p>
        </w:tc>
        <w:tc>
          <w:tcPr>
            <w:tcW w:w="708" w:type="dxa"/>
            <w:tcBorders>
              <w:top w:val="nil"/>
              <w:left w:val="nil"/>
              <w:bottom w:val="single" w:sz="4" w:space="0" w:color="C85348"/>
              <w:right w:val="single" w:sz="4" w:space="0" w:color="C85348"/>
            </w:tcBorders>
            <w:shd w:val="clear" w:color="auto" w:fill="auto"/>
            <w:vAlign w:val="center"/>
            <w:hideMark/>
          </w:tcPr>
          <w:p w14:paraId="2F6B1A29" w14:textId="77777777" w:rsidR="002F55E0" w:rsidRPr="002F55E0" w:rsidRDefault="002F55E0">
            <w:pPr>
              <w:jc w:val="center"/>
              <w:rPr>
                <w:rFonts w:ascii="Arial" w:hAnsi="Arial" w:cs="Arial"/>
                <w:sz w:val="20"/>
                <w:szCs w:val="20"/>
              </w:rPr>
            </w:pPr>
            <w:r w:rsidRPr="002F55E0">
              <w:rPr>
                <w:rFonts w:ascii="Arial" w:hAnsi="Arial" w:cs="Arial"/>
                <w:sz w:val="20"/>
                <w:szCs w:val="20"/>
              </w:rPr>
              <w:t>CS-013</w:t>
            </w:r>
          </w:p>
        </w:tc>
        <w:tc>
          <w:tcPr>
            <w:tcW w:w="2409" w:type="dxa"/>
            <w:tcBorders>
              <w:top w:val="nil"/>
              <w:left w:val="nil"/>
              <w:bottom w:val="single" w:sz="4" w:space="0" w:color="C85348"/>
              <w:right w:val="single" w:sz="4" w:space="0" w:color="C85348"/>
            </w:tcBorders>
            <w:shd w:val="clear" w:color="auto" w:fill="auto"/>
            <w:vAlign w:val="center"/>
            <w:hideMark/>
          </w:tcPr>
          <w:p w14:paraId="3AD771C8" w14:textId="77777777" w:rsidR="002F55E0" w:rsidRPr="002F55E0" w:rsidRDefault="002F55E0">
            <w:pPr>
              <w:rPr>
                <w:rFonts w:ascii="Arial" w:hAnsi="Arial" w:cs="Arial"/>
                <w:sz w:val="20"/>
                <w:szCs w:val="20"/>
              </w:rPr>
            </w:pPr>
            <w:r w:rsidRPr="002F55E0">
              <w:rPr>
                <w:rFonts w:ascii="Arial" w:hAnsi="Arial" w:cs="Arial"/>
                <w:sz w:val="20"/>
                <w:szCs w:val="20"/>
              </w:rPr>
              <w:t>Percentage of FOIs responded to within policy timescales.</w:t>
            </w:r>
          </w:p>
        </w:tc>
        <w:tc>
          <w:tcPr>
            <w:tcW w:w="1418" w:type="dxa"/>
            <w:tcBorders>
              <w:top w:val="nil"/>
              <w:left w:val="nil"/>
              <w:bottom w:val="single" w:sz="4" w:space="0" w:color="C85348"/>
              <w:right w:val="single" w:sz="4" w:space="0" w:color="C85348"/>
            </w:tcBorders>
            <w:shd w:val="clear" w:color="auto" w:fill="auto"/>
            <w:vAlign w:val="center"/>
            <w:hideMark/>
          </w:tcPr>
          <w:p w14:paraId="7634EC28" w14:textId="77777777" w:rsidR="002F55E0" w:rsidRPr="002F55E0" w:rsidRDefault="002F55E0">
            <w:pPr>
              <w:jc w:val="center"/>
              <w:rPr>
                <w:rFonts w:ascii="Arial" w:hAnsi="Arial" w:cs="Arial"/>
                <w:sz w:val="20"/>
                <w:szCs w:val="20"/>
              </w:rPr>
            </w:pPr>
            <w:r w:rsidRPr="002F55E0">
              <w:rPr>
                <w:rFonts w:ascii="Arial" w:hAnsi="Arial" w:cs="Arial"/>
                <w:sz w:val="20"/>
                <w:szCs w:val="20"/>
              </w:rPr>
              <w:t>Quarterly</w:t>
            </w:r>
          </w:p>
        </w:tc>
        <w:tc>
          <w:tcPr>
            <w:tcW w:w="992" w:type="dxa"/>
            <w:tcBorders>
              <w:top w:val="nil"/>
              <w:left w:val="nil"/>
              <w:bottom w:val="single" w:sz="4" w:space="0" w:color="C85348"/>
              <w:right w:val="single" w:sz="4" w:space="0" w:color="C85348"/>
            </w:tcBorders>
            <w:shd w:val="clear" w:color="auto" w:fill="FFFFFF" w:themeFill="background1"/>
            <w:vAlign w:val="center"/>
            <w:hideMark/>
          </w:tcPr>
          <w:p w14:paraId="6754A6F3" w14:textId="77777777" w:rsidR="002F55E0" w:rsidRPr="002F55E0" w:rsidRDefault="002F55E0">
            <w:pPr>
              <w:jc w:val="center"/>
              <w:rPr>
                <w:rFonts w:ascii="Arial" w:hAnsi="Arial" w:cs="Arial"/>
                <w:sz w:val="20"/>
                <w:szCs w:val="20"/>
              </w:rPr>
            </w:pPr>
            <w:r w:rsidRPr="002F55E0">
              <w:rPr>
                <w:rFonts w:ascii="Arial" w:hAnsi="Arial" w:cs="Arial"/>
                <w:sz w:val="20"/>
                <w:szCs w:val="20"/>
              </w:rPr>
              <w:t>Higher</w:t>
            </w:r>
          </w:p>
        </w:tc>
        <w:tc>
          <w:tcPr>
            <w:tcW w:w="993" w:type="dxa"/>
            <w:tcBorders>
              <w:top w:val="nil"/>
              <w:left w:val="nil"/>
              <w:bottom w:val="single" w:sz="4" w:space="0" w:color="C85348"/>
              <w:right w:val="single" w:sz="4" w:space="0" w:color="C85348"/>
            </w:tcBorders>
            <w:shd w:val="clear" w:color="auto" w:fill="FF0000"/>
            <w:vAlign w:val="center"/>
            <w:hideMark/>
          </w:tcPr>
          <w:p w14:paraId="3595B230" w14:textId="77777777" w:rsidR="002F55E0" w:rsidRPr="002F55E0" w:rsidRDefault="002F55E0">
            <w:pPr>
              <w:jc w:val="center"/>
              <w:rPr>
                <w:rFonts w:ascii="Arial" w:hAnsi="Arial" w:cs="Arial"/>
                <w:color w:val="000000"/>
                <w:sz w:val="20"/>
                <w:szCs w:val="20"/>
              </w:rPr>
            </w:pPr>
            <w:r w:rsidRPr="002F55E0">
              <w:rPr>
                <w:rFonts w:ascii="Arial" w:hAnsi="Arial" w:cs="Arial"/>
                <w:color w:val="000000"/>
                <w:sz w:val="20"/>
                <w:szCs w:val="20"/>
              </w:rPr>
              <w:t>70%</w:t>
            </w:r>
          </w:p>
        </w:tc>
        <w:tc>
          <w:tcPr>
            <w:tcW w:w="992" w:type="dxa"/>
            <w:tcBorders>
              <w:top w:val="nil"/>
              <w:left w:val="nil"/>
              <w:bottom w:val="single" w:sz="4" w:space="0" w:color="C85348"/>
              <w:right w:val="single" w:sz="4" w:space="0" w:color="C85348"/>
            </w:tcBorders>
            <w:shd w:val="clear" w:color="auto" w:fill="auto"/>
            <w:noWrap/>
            <w:vAlign w:val="center"/>
            <w:hideMark/>
          </w:tcPr>
          <w:p w14:paraId="4AE1A338" w14:textId="77777777" w:rsidR="002F55E0" w:rsidRPr="002F55E0" w:rsidRDefault="002F55E0">
            <w:pPr>
              <w:jc w:val="center"/>
              <w:rPr>
                <w:rFonts w:ascii="Arial" w:hAnsi="Arial" w:cs="Arial"/>
                <w:sz w:val="20"/>
                <w:szCs w:val="20"/>
              </w:rPr>
            </w:pPr>
            <w:r w:rsidRPr="002F55E0">
              <w:rPr>
                <w:rFonts w:ascii="Arial" w:hAnsi="Arial" w:cs="Arial"/>
                <w:sz w:val="20"/>
                <w:szCs w:val="20"/>
              </w:rPr>
              <w:t>75%</w:t>
            </w:r>
          </w:p>
        </w:tc>
        <w:tc>
          <w:tcPr>
            <w:tcW w:w="993" w:type="dxa"/>
            <w:tcBorders>
              <w:top w:val="single" w:sz="4" w:space="0" w:color="C85348"/>
              <w:left w:val="single" w:sz="4" w:space="0" w:color="C85348"/>
              <w:bottom w:val="single" w:sz="4" w:space="0" w:color="C85348"/>
              <w:right w:val="single" w:sz="4" w:space="0" w:color="C85348"/>
            </w:tcBorders>
            <w:shd w:val="clear" w:color="auto" w:fill="FF0000"/>
            <w:vAlign w:val="center"/>
            <w:hideMark/>
          </w:tcPr>
          <w:p w14:paraId="16909CF9" w14:textId="72DB7828" w:rsidR="002F55E0" w:rsidRPr="002F55E0" w:rsidRDefault="34FA13F8">
            <w:pPr>
              <w:jc w:val="center"/>
              <w:rPr>
                <w:rFonts w:ascii="Arial" w:hAnsi="Arial" w:cs="Arial"/>
                <w:color w:val="000000"/>
                <w:sz w:val="20"/>
                <w:szCs w:val="20"/>
              </w:rPr>
            </w:pPr>
            <w:r w:rsidRPr="0DA36716">
              <w:rPr>
                <w:rFonts w:ascii="Arial" w:hAnsi="Arial" w:cs="Arial"/>
                <w:color w:val="000000" w:themeColor="text1"/>
                <w:sz w:val="20"/>
                <w:szCs w:val="20"/>
              </w:rPr>
              <w:t>5</w:t>
            </w:r>
            <w:r w:rsidR="4D51303A" w:rsidRPr="0DA36716">
              <w:rPr>
                <w:rFonts w:ascii="Arial" w:hAnsi="Arial" w:cs="Arial"/>
                <w:color w:val="000000" w:themeColor="text1"/>
                <w:sz w:val="20"/>
                <w:szCs w:val="20"/>
              </w:rPr>
              <w:t>4</w:t>
            </w:r>
          </w:p>
        </w:tc>
        <w:tc>
          <w:tcPr>
            <w:tcW w:w="992" w:type="dxa"/>
            <w:tcBorders>
              <w:top w:val="single" w:sz="4" w:space="0" w:color="C85348"/>
              <w:left w:val="single" w:sz="4" w:space="0" w:color="C85348"/>
              <w:bottom w:val="single" w:sz="4" w:space="0" w:color="C85348"/>
              <w:right w:val="single" w:sz="4" w:space="0" w:color="C85348"/>
            </w:tcBorders>
            <w:shd w:val="clear" w:color="auto" w:fill="FFFFFF" w:themeFill="background1"/>
            <w:vAlign w:val="center"/>
            <w:hideMark/>
          </w:tcPr>
          <w:p w14:paraId="497E1EBC" w14:textId="61B85BEF" w:rsidR="002F55E0" w:rsidRPr="002F55E0" w:rsidRDefault="462FEC5D">
            <w:pPr>
              <w:jc w:val="center"/>
              <w:rPr>
                <w:rFonts w:ascii="Arial" w:hAnsi="Arial" w:cs="Arial"/>
                <w:color w:val="FF0000"/>
                <w:sz w:val="20"/>
                <w:szCs w:val="20"/>
              </w:rPr>
            </w:pPr>
            <w:r w:rsidRPr="25753D32">
              <w:rPr>
                <w:rFonts w:ascii="Arial" w:hAnsi="Arial" w:cs="Arial"/>
                <w:color w:val="FF0000"/>
                <w:sz w:val="20"/>
                <w:szCs w:val="20"/>
              </w:rPr>
              <w:t>-</w:t>
            </w:r>
            <w:r w:rsidR="54E89636" w:rsidRPr="53DFF0A1">
              <w:rPr>
                <w:rFonts w:ascii="Arial" w:hAnsi="Arial" w:cs="Arial"/>
                <w:color w:val="FF0000"/>
                <w:sz w:val="20"/>
                <w:szCs w:val="20"/>
              </w:rPr>
              <w:t>2</w:t>
            </w:r>
            <w:r w:rsidR="17A8DCC0" w:rsidRPr="53DFF0A1">
              <w:rPr>
                <w:rFonts w:ascii="Arial" w:hAnsi="Arial" w:cs="Arial"/>
                <w:color w:val="FF0000"/>
                <w:sz w:val="20"/>
                <w:szCs w:val="20"/>
              </w:rPr>
              <w:t>8</w:t>
            </w:r>
            <w:r w:rsidRPr="25753D32">
              <w:rPr>
                <w:rFonts w:ascii="Arial" w:hAnsi="Arial" w:cs="Arial"/>
                <w:color w:val="FF0000"/>
                <w:sz w:val="20"/>
                <w:szCs w:val="20"/>
              </w:rPr>
              <w:t>%</w:t>
            </w:r>
          </w:p>
        </w:tc>
        <w:tc>
          <w:tcPr>
            <w:tcW w:w="709" w:type="dxa"/>
            <w:tcBorders>
              <w:top w:val="single" w:sz="4" w:space="0" w:color="C85348"/>
              <w:left w:val="nil"/>
              <w:bottom w:val="single" w:sz="4" w:space="0" w:color="C85348"/>
              <w:right w:val="single" w:sz="4" w:space="0" w:color="C85348"/>
            </w:tcBorders>
            <w:shd w:val="clear" w:color="auto" w:fill="FFFFFF" w:themeFill="background1"/>
            <w:noWrap/>
            <w:vAlign w:val="center"/>
            <w:hideMark/>
          </w:tcPr>
          <w:p w14:paraId="066DEF49" w14:textId="35A9FF73" w:rsidR="002F55E0" w:rsidRPr="002F55E0" w:rsidRDefault="5E4F66AC">
            <w:pPr>
              <w:jc w:val="center"/>
              <w:rPr>
                <w:rFonts w:ascii="Arial" w:hAnsi="Arial" w:cs="Arial"/>
                <w:sz w:val="20"/>
                <w:szCs w:val="20"/>
              </w:rPr>
            </w:pPr>
            <w:r>
              <w:rPr>
                <w:noProof/>
              </w:rPr>
              <w:drawing>
                <wp:inline distT="0" distB="0" distL="0" distR="0" wp14:anchorId="3DE57BCC" wp14:editId="2C7B1BC8">
                  <wp:extent cx="285750" cy="260350"/>
                  <wp:effectExtent l="0" t="0" r="0" b="6350"/>
                  <wp:docPr id="1320837014" name="Picture 102" descr="P2272C145T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0E9084E9-D8FE-4F41-8078-3C16AF93583B}"/>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pred="{949C28D6-2F4F-4790-A947-7DFD5E31C698}"/>
                              </a:ext>
                            </a:extLst>
                          </a:blip>
                          <a:stretch>
                            <a:fillRect/>
                          </a:stretch>
                        </pic:blipFill>
                        <pic:spPr bwMode="auto">
                          <a:xfrm rot="10800000">
                            <a:off x="0" y="0"/>
                            <a:ext cx="285750" cy="260350"/>
                          </a:xfrm>
                          <a:prstGeom prst="rect">
                            <a:avLst/>
                          </a:prstGeom>
                          <a:noFill/>
                        </pic:spPr>
                      </pic:pic>
                    </a:graphicData>
                  </a:graphic>
                </wp:inline>
              </w:drawing>
            </w:r>
            <w:r w:rsidR="002F55E0" w:rsidRPr="002F55E0">
              <w:rPr>
                <w:rFonts w:ascii="Arial" w:hAnsi="Arial" w:cs="Arial"/>
                <w:sz w:val="20"/>
                <w:szCs w:val="20"/>
              </w:rPr>
              <w:t> </w:t>
            </w:r>
          </w:p>
        </w:tc>
        <w:tc>
          <w:tcPr>
            <w:tcW w:w="1926" w:type="dxa"/>
            <w:tcBorders>
              <w:top w:val="nil"/>
              <w:left w:val="nil"/>
              <w:bottom w:val="single" w:sz="4" w:space="0" w:color="C85348"/>
              <w:right w:val="single" w:sz="4" w:space="0" w:color="C85348"/>
            </w:tcBorders>
            <w:shd w:val="clear" w:color="auto" w:fill="FFFFFF" w:themeFill="background1"/>
            <w:noWrap/>
            <w:vAlign w:val="center"/>
            <w:hideMark/>
          </w:tcPr>
          <w:p w14:paraId="7E232AC2" w14:textId="77777777" w:rsidR="002F55E0" w:rsidRPr="002F55E0" w:rsidRDefault="002F55E0">
            <w:pPr>
              <w:jc w:val="center"/>
              <w:rPr>
                <w:rFonts w:ascii="Arial" w:hAnsi="Arial" w:cs="Arial"/>
                <w:sz w:val="20"/>
                <w:szCs w:val="20"/>
              </w:rPr>
            </w:pPr>
            <w:r w:rsidRPr="002F55E0">
              <w:rPr>
                <w:rFonts w:ascii="Arial" w:hAnsi="Arial" w:cs="Arial"/>
                <w:sz w:val="20"/>
                <w:szCs w:val="20"/>
              </w:rPr>
              <w:t>N/A</w:t>
            </w:r>
          </w:p>
        </w:tc>
      </w:tr>
      <w:tr w:rsidR="002F55E0" w:rsidRPr="002F55E0" w14:paraId="484CFA59" w14:textId="77777777" w:rsidTr="0F3B50AE">
        <w:trPr>
          <w:trHeight w:val="1760"/>
        </w:trPr>
        <w:tc>
          <w:tcPr>
            <w:tcW w:w="3256" w:type="dxa"/>
            <w:vMerge/>
            <w:vAlign w:val="center"/>
            <w:hideMark/>
          </w:tcPr>
          <w:p w14:paraId="0E5781EC" w14:textId="77777777" w:rsidR="002F55E0" w:rsidRPr="002F55E0" w:rsidRDefault="002F55E0">
            <w:pPr>
              <w:rPr>
                <w:rFonts w:ascii="Arial" w:hAnsi="Arial" w:cs="Arial"/>
                <w:b/>
                <w:bCs/>
                <w:color w:val="000000"/>
                <w:sz w:val="20"/>
                <w:szCs w:val="20"/>
              </w:rPr>
            </w:pPr>
          </w:p>
        </w:tc>
        <w:tc>
          <w:tcPr>
            <w:tcW w:w="708" w:type="dxa"/>
            <w:tcBorders>
              <w:top w:val="nil"/>
              <w:left w:val="nil"/>
              <w:bottom w:val="single" w:sz="4" w:space="0" w:color="C85348"/>
              <w:right w:val="single" w:sz="4" w:space="0" w:color="C85348"/>
            </w:tcBorders>
            <w:shd w:val="clear" w:color="auto" w:fill="auto"/>
            <w:vAlign w:val="center"/>
            <w:hideMark/>
          </w:tcPr>
          <w:p w14:paraId="4E1FFF38" w14:textId="77777777" w:rsidR="002F55E0" w:rsidRPr="002F55E0" w:rsidRDefault="002F55E0">
            <w:pPr>
              <w:jc w:val="center"/>
              <w:rPr>
                <w:rFonts w:ascii="Arial" w:hAnsi="Arial" w:cs="Arial"/>
                <w:sz w:val="20"/>
                <w:szCs w:val="20"/>
              </w:rPr>
            </w:pPr>
            <w:r w:rsidRPr="002F55E0">
              <w:rPr>
                <w:rFonts w:ascii="Arial" w:hAnsi="Arial" w:cs="Arial"/>
                <w:sz w:val="20"/>
                <w:szCs w:val="20"/>
              </w:rPr>
              <w:t>CS-014</w:t>
            </w:r>
          </w:p>
        </w:tc>
        <w:tc>
          <w:tcPr>
            <w:tcW w:w="2409" w:type="dxa"/>
            <w:tcBorders>
              <w:top w:val="nil"/>
              <w:left w:val="nil"/>
              <w:bottom w:val="single" w:sz="4" w:space="0" w:color="C85348"/>
              <w:right w:val="single" w:sz="4" w:space="0" w:color="C85348"/>
            </w:tcBorders>
            <w:shd w:val="clear" w:color="auto" w:fill="auto"/>
            <w:vAlign w:val="center"/>
            <w:hideMark/>
          </w:tcPr>
          <w:p w14:paraId="3C8EE1EF" w14:textId="77777777" w:rsidR="002F55E0" w:rsidRPr="002F55E0" w:rsidRDefault="002F55E0">
            <w:pPr>
              <w:rPr>
                <w:rFonts w:ascii="Arial" w:hAnsi="Arial" w:cs="Arial"/>
                <w:sz w:val="20"/>
                <w:szCs w:val="20"/>
              </w:rPr>
            </w:pPr>
            <w:r w:rsidRPr="002F55E0">
              <w:rPr>
                <w:rFonts w:ascii="Arial" w:hAnsi="Arial" w:cs="Arial"/>
                <w:sz w:val="20"/>
                <w:szCs w:val="20"/>
              </w:rPr>
              <w:t>The number of users engaging with the Council's social media posts</w:t>
            </w:r>
          </w:p>
        </w:tc>
        <w:tc>
          <w:tcPr>
            <w:tcW w:w="1418" w:type="dxa"/>
            <w:tcBorders>
              <w:top w:val="nil"/>
              <w:left w:val="nil"/>
              <w:bottom w:val="single" w:sz="4" w:space="0" w:color="C85348"/>
              <w:right w:val="single" w:sz="4" w:space="0" w:color="C85348"/>
            </w:tcBorders>
            <w:shd w:val="clear" w:color="auto" w:fill="auto"/>
            <w:vAlign w:val="center"/>
            <w:hideMark/>
          </w:tcPr>
          <w:p w14:paraId="507E5874" w14:textId="77777777" w:rsidR="002F55E0" w:rsidRPr="002F55E0" w:rsidRDefault="002F55E0">
            <w:pPr>
              <w:jc w:val="center"/>
              <w:rPr>
                <w:rFonts w:ascii="Arial" w:hAnsi="Arial" w:cs="Arial"/>
                <w:sz w:val="20"/>
                <w:szCs w:val="20"/>
              </w:rPr>
            </w:pPr>
            <w:r w:rsidRPr="002F55E0">
              <w:rPr>
                <w:rFonts w:ascii="Arial" w:hAnsi="Arial" w:cs="Arial"/>
                <w:sz w:val="20"/>
                <w:szCs w:val="20"/>
              </w:rPr>
              <w:t>Quarterly</w:t>
            </w:r>
          </w:p>
        </w:tc>
        <w:tc>
          <w:tcPr>
            <w:tcW w:w="992" w:type="dxa"/>
            <w:tcBorders>
              <w:top w:val="nil"/>
              <w:left w:val="nil"/>
              <w:bottom w:val="single" w:sz="4" w:space="0" w:color="C85348"/>
              <w:right w:val="single" w:sz="4" w:space="0" w:color="C85348"/>
            </w:tcBorders>
            <w:shd w:val="clear" w:color="auto" w:fill="FFFFFF" w:themeFill="background1"/>
            <w:vAlign w:val="center"/>
            <w:hideMark/>
          </w:tcPr>
          <w:p w14:paraId="1A1430AF" w14:textId="77777777" w:rsidR="002F55E0" w:rsidRPr="002F55E0" w:rsidRDefault="002F55E0">
            <w:pPr>
              <w:jc w:val="center"/>
              <w:rPr>
                <w:rFonts w:ascii="Arial" w:hAnsi="Arial" w:cs="Arial"/>
                <w:sz w:val="20"/>
                <w:szCs w:val="20"/>
              </w:rPr>
            </w:pPr>
            <w:r w:rsidRPr="002F55E0">
              <w:rPr>
                <w:rFonts w:ascii="Arial" w:hAnsi="Arial" w:cs="Arial"/>
                <w:sz w:val="20"/>
                <w:szCs w:val="20"/>
              </w:rPr>
              <w:t>Higher</w:t>
            </w:r>
          </w:p>
        </w:tc>
        <w:tc>
          <w:tcPr>
            <w:tcW w:w="993" w:type="dxa"/>
            <w:tcBorders>
              <w:top w:val="single" w:sz="4" w:space="0" w:color="5EAA41"/>
              <w:left w:val="single" w:sz="4" w:space="0" w:color="5EAA41"/>
              <w:bottom w:val="single" w:sz="4" w:space="0" w:color="5EAA41"/>
              <w:right w:val="single" w:sz="4" w:space="0" w:color="5EAA41"/>
            </w:tcBorders>
            <w:shd w:val="clear" w:color="auto" w:fill="92D050"/>
            <w:noWrap/>
            <w:vAlign w:val="center"/>
            <w:hideMark/>
          </w:tcPr>
          <w:p w14:paraId="139C7B8C" w14:textId="77777777" w:rsidR="002F55E0" w:rsidRPr="002F55E0" w:rsidRDefault="002F55E0">
            <w:pPr>
              <w:jc w:val="center"/>
              <w:rPr>
                <w:rFonts w:ascii="Arial" w:hAnsi="Arial" w:cs="Arial"/>
                <w:sz w:val="20"/>
                <w:szCs w:val="20"/>
              </w:rPr>
            </w:pPr>
            <w:r w:rsidRPr="002F55E0">
              <w:rPr>
                <w:rFonts w:ascii="Arial" w:hAnsi="Arial" w:cs="Arial"/>
                <w:sz w:val="20"/>
                <w:szCs w:val="20"/>
              </w:rPr>
              <w:t>97,827</w:t>
            </w:r>
          </w:p>
        </w:tc>
        <w:tc>
          <w:tcPr>
            <w:tcW w:w="992" w:type="dxa"/>
            <w:tcBorders>
              <w:top w:val="single" w:sz="4" w:space="0" w:color="5EAA41"/>
              <w:left w:val="nil"/>
              <w:bottom w:val="single" w:sz="4" w:space="0" w:color="5EAA41"/>
              <w:right w:val="single" w:sz="4" w:space="0" w:color="5EAA41"/>
            </w:tcBorders>
            <w:shd w:val="clear" w:color="auto" w:fill="auto"/>
            <w:noWrap/>
            <w:vAlign w:val="center"/>
            <w:hideMark/>
          </w:tcPr>
          <w:p w14:paraId="753C78C2" w14:textId="77777777" w:rsidR="002F55E0" w:rsidRPr="002F55E0" w:rsidRDefault="002F55E0">
            <w:pPr>
              <w:jc w:val="center"/>
              <w:rPr>
                <w:rFonts w:ascii="Arial" w:hAnsi="Arial" w:cs="Arial"/>
                <w:sz w:val="20"/>
                <w:szCs w:val="20"/>
              </w:rPr>
            </w:pPr>
            <w:r w:rsidRPr="002F55E0">
              <w:rPr>
                <w:rFonts w:ascii="Arial" w:hAnsi="Arial" w:cs="Arial"/>
                <w:sz w:val="20"/>
                <w:szCs w:val="20"/>
              </w:rPr>
              <w:t>101,740</w:t>
            </w:r>
          </w:p>
        </w:tc>
        <w:tc>
          <w:tcPr>
            <w:tcW w:w="993" w:type="dxa"/>
            <w:tcBorders>
              <w:top w:val="single" w:sz="4" w:space="0" w:color="C85348"/>
              <w:left w:val="single" w:sz="4" w:space="0" w:color="C85348"/>
              <w:bottom w:val="single" w:sz="4" w:space="0" w:color="C85348"/>
              <w:right w:val="single" w:sz="4" w:space="0" w:color="C85348"/>
            </w:tcBorders>
            <w:shd w:val="clear" w:color="auto" w:fill="FF0000"/>
            <w:vAlign w:val="center"/>
            <w:hideMark/>
          </w:tcPr>
          <w:p w14:paraId="6CF7B761" w14:textId="77777777" w:rsidR="002F55E0" w:rsidRPr="002F55E0" w:rsidRDefault="002F55E0">
            <w:pPr>
              <w:jc w:val="center"/>
              <w:rPr>
                <w:rFonts w:ascii="Arial" w:hAnsi="Arial" w:cs="Arial"/>
                <w:color w:val="000000"/>
                <w:sz w:val="20"/>
                <w:szCs w:val="20"/>
              </w:rPr>
            </w:pPr>
            <w:r w:rsidRPr="002F55E0">
              <w:rPr>
                <w:rFonts w:ascii="Arial" w:hAnsi="Arial" w:cs="Arial"/>
                <w:color w:val="000000"/>
                <w:sz w:val="20"/>
                <w:szCs w:val="20"/>
              </w:rPr>
              <w:t>17881</w:t>
            </w:r>
          </w:p>
        </w:tc>
        <w:tc>
          <w:tcPr>
            <w:tcW w:w="992" w:type="dxa"/>
            <w:tcBorders>
              <w:top w:val="single" w:sz="4" w:space="0" w:color="C85348"/>
              <w:left w:val="single" w:sz="4" w:space="0" w:color="C85348"/>
              <w:bottom w:val="single" w:sz="4" w:space="0" w:color="C85348"/>
              <w:right w:val="single" w:sz="4" w:space="0" w:color="C85348"/>
            </w:tcBorders>
            <w:shd w:val="clear" w:color="auto" w:fill="auto"/>
            <w:vAlign w:val="center"/>
            <w:hideMark/>
          </w:tcPr>
          <w:p w14:paraId="7FDE051C" w14:textId="77777777" w:rsidR="002F55E0" w:rsidRPr="002F55E0" w:rsidRDefault="002F55E0">
            <w:pPr>
              <w:jc w:val="center"/>
              <w:rPr>
                <w:rFonts w:ascii="Arial" w:hAnsi="Arial" w:cs="Arial"/>
                <w:color w:val="FF0000"/>
                <w:sz w:val="20"/>
                <w:szCs w:val="20"/>
              </w:rPr>
            </w:pPr>
            <w:r w:rsidRPr="002F55E0">
              <w:rPr>
                <w:rFonts w:ascii="Arial" w:hAnsi="Arial" w:cs="Arial"/>
                <w:color w:val="FF0000"/>
                <w:sz w:val="20"/>
                <w:szCs w:val="20"/>
              </w:rPr>
              <w:t>-29.7%</w:t>
            </w:r>
          </w:p>
        </w:tc>
        <w:tc>
          <w:tcPr>
            <w:tcW w:w="709" w:type="dxa"/>
            <w:tcBorders>
              <w:top w:val="nil"/>
              <w:left w:val="nil"/>
              <w:bottom w:val="single" w:sz="4" w:space="0" w:color="C85348"/>
              <w:right w:val="single" w:sz="4" w:space="0" w:color="C85348"/>
            </w:tcBorders>
            <w:shd w:val="clear" w:color="auto" w:fill="FFFFFF" w:themeFill="background1"/>
            <w:noWrap/>
            <w:vAlign w:val="center"/>
            <w:hideMark/>
          </w:tcPr>
          <w:p w14:paraId="0376ED33" w14:textId="10CD3722" w:rsidR="002F55E0" w:rsidRPr="002F55E0" w:rsidRDefault="002F55E0">
            <w:pPr>
              <w:jc w:val="center"/>
              <w:rPr>
                <w:rFonts w:ascii="Arial" w:hAnsi="Arial" w:cs="Arial"/>
                <w:sz w:val="20"/>
                <w:szCs w:val="20"/>
              </w:rPr>
            </w:pPr>
            <w:r w:rsidRPr="002F55E0">
              <w:rPr>
                <w:rFonts w:ascii="Arial" w:hAnsi="Arial" w:cs="Arial"/>
                <w:noProof/>
                <w:sz w:val="20"/>
                <w:szCs w:val="20"/>
              </w:rPr>
              <w:drawing>
                <wp:anchor distT="0" distB="0" distL="114300" distR="114300" simplePos="0" relativeHeight="251658339" behindDoc="0" locked="0" layoutInCell="1" allowOverlap="1" wp14:anchorId="6EF49BE9" wp14:editId="52B10B56">
                  <wp:simplePos x="0" y="0"/>
                  <wp:positionH relativeFrom="column">
                    <wp:posOffset>68580</wp:posOffset>
                  </wp:positionH>
                  <wp:positionV relativeFrom="paragraph">
                    <wp:posOffset>-139700</wp:posOffset>
                  </wp:positionV>
                  <wp:extent cx="311150" cy="254000"/>
                  <wp:effectExtent l="0" t="0" r="0" b="0"/>
                  <wp:wrapNone/>
                  <wp:docPr id="48" name="Picture 103" descr="P2323C32T48#y1">
                    <a:extLst xmlns:a="http://schemas.openxmlformats.org/drawingml/2006/main">
                      <a:ext uri="{FF2B5EF4-FFF2-40B4-BE49-F238E27FC236}">
                        <a16:creationId xmlns:a16="http://schemas.microsoft.com/office/drawing/2014/main" id="{949C28D6-2F4F-4790-A947-7DFD5E31C698}"/>
                      </a:ext>
                      <a:ext uri="{147F2762-F138-4A5C-976F-8EAC2B608ADB}">
                        <a16:predDERef xmlns:a16="http://schemas.microsoft.com/office/drawing/2014/main" pred="{66FC834A-9088-45E9-85F6-67C099CCDD7B}"/>
                      </a:ext>
                    </a:extLst>
                  </wp:docPr>
                  <wp:cNvGraphicFramePr/>
                  <a:graphic xmlns:a="http://schemas.openxmlformats.org/drawingml/2006/main">
                    <a:graphicData uri="http://schemas.openxmlformats.org/drawingml/2006/picture">
                      <pic:pic xmlns:pic="http://schemas.openxmlformats.org/drawingml/2006/picture">
                        <pic:nvPicPr>
                          <pic:cNvPr id="48" name="Picture 76" descr="P2323C32T48#y1">
                            <a:extLst>
                              <a:ext uri="{FF2B5EF4-FFF2-40B4-BE49-F238E27FC236}">
                                <a16:creationId xmlns:a16="http://schemas.microsoft.com/office/drawing/2014/main" id="{949C28D6-2F4F-4790-A947-7DFD5E31C698}"/>
                              </a:ext>
                              <a:ext uri="{147F2762-F138-4A5C-976F-8EAC2B608ADB}">
                                <a16:predDERef xmlns:a16="http://schemas.microsoft.com/office/drawing/2014/main" pred="{66FC834A-9088-45E9-85F6-67C099CCDD7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311150"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1926" w:type="dxa"/>
            <w:tcBorders>
              <w:top w:val="nil"/>
              <w:left w:val="nil"/>
              <w:bottom w:val="single" w:sz="4" w:space="0" w:color="C85348"/>
              <w:right w:val="single" w:sz="4" w:space="0" w:color="C85348"/>
            </w:tcBorders>
            <w:shd w:val="clear" w:color="auto" w:fill="FFFFFF" w:themeFill="background1"/>
            <w:noWrap/>
            <w:vAlign w:val="center"/>
            <w:hideMark/>
          </w:tcPr>
          <w:p w14:paraId="4EFC837C" w14:textId="77777777" w:rsidR="002F55E0" w:rsidRPr="002F55E0" w:rsidRDefault="002F55E0">
            <w:pPr>
              <w:jc w:val="center"/>
              <w:rPr>
                <w:rFonts w:ascii="Arial" w:hAnsi="Arial" w:cs="Arial"/>
                <w:sz w:val="20"/>
                <w:szCs w:val="20"/>
              </w:rPr>
            </w:pPr>
            <w:r w:rsidRPr="002F55E0">
              <w:rPr>
                <w:rFonts w:ascii="Arial" w:hAnsi="Arial" w:cs="Arial"/>
                <w:sz w:val="20"/>
                <w:szCs w:val="20"/>
              </w:rPr>
              <w:t>N/A</w:t>
            </w:r>
          </w:p>
        </w:tc>
      </w:tr>
    </w:tbl>
    <w:p w14:paraId="4870BD35" w14:textId="77777777" w:rsidR="0031343F" w:rsidRDefault="0031343F" w:rsidP="00B0379D">
      <w:pPr>
        <w:spacing w:after="240" w:line="240" w:lineRule="auto"/>
        <w:jc w:val="both"/>
        <w:rPr>
          <w:rFonts w:ascii="Arial" w:hAnsi="Arial" w:cs="Arial"/>
          <w:b/>
          <w:color w:val="C85348"/>
          <w:sz w:val="32"/>
          <w:szCs w:val="32"/>
        </w:rPr>
      </w:pPr>
    </w:p>
    <w:p w14:paraId="54F2DDE2" w14:textId="6EBFA02C" w:rsidR="00B0379D" w:rsidRPr="004B17CF" w:rsidRDefault="00E75E6D" w:rsidP="00B0379D">
      <w:pPr>
        <w:spacing w:after="240" w:line="240" w:lineRule="auto"/>
        <w:jc w:val="both"/>
        <w:rPr>
          <w:rStyle w:val="normaltextrun"/>
          <w:rFonts w:ascii="Arial" w:hAnsi="Arial" w:cs="Arial"/>
          <w:b/>
          <w:color w:val="C85348"/>
          <w:sz w:val="32"/>
          <w:szCs w:val="32"/>
        </w:rPr>
      </w:pPr>
      <w:r w:rsidRPr="004B17CF">
        <w:rPr>
          <w:rFonts w:ascii="Arial" w:hAnsi="Arial" w:cs="Arial"/>
          <w:b/>
          <w:color w:val="C85348"/>
          <w:sz w:val="32"/>
          <w:szCs w:val="32"/>
        </w:rPr>
        <w:t>Summary of Performance against outcome and action for improvement</w:t>
      </w:r>
    </w:p>
    <w:p w14:paraId="0437188C" w14:textId="77777777" w:rsidR="00B0379D" w:rsidRPr="004B17CF" w:rsidRDefault="00E75E6D" w:rsidP="00B0379D">
      <w:pPr>
        <w:pStyle w:val="ListBullet"/>
        <w:numPr>
          <w:ilvl w:val="0"/>
          <w:numId w:val="0"/>
        </w:numPr>
        <w:spacing w:after="120" w:line="240" w:lineRule="auto"/>
        <w:contextualSpacing w:val="0"/>
        <w:jc w:val="both"/>
        <w:rPr>
          <w:rStyle w:val="normaltextrun"/>
          <w:rFonts w:ascii="Arial" w:hAnsi="Arial" w:cs="Arial"/>
          <w:b/>
          <w:color w:val="C85348"/>
          <w:sz w:val="32"/>
          <w:szCs w:val="32"/>
        </w:rPr>
      </w:pPr>
      <w:r w:rsidRPr="004B17CF">
        <w:rPr>
          <w:rStyle w:val="normaltextrun"/>
          <w:rFonts w:ascii="Arial" w:hAnsi="Arial" w:cs="Arial"/>
          <w:b/>
          <w:color w:val="C85348"/>
          <w:sz w:val="32"/>
          <w:szCs w:val="32"/>
        </w:rPr>
        <w:t>Outcome - Communicate, listen, engage, and work in partnership well with our residents, communities, local organisations, and partners recognising the strengths and skills in our community</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ook w:val="04A0" w:firstRow="1" w:lastRow="0" w:firstColumn="1" w:lastColumn="0" w:noHBand="0" w:noVBand="1"/>
      </w:tblPr>
      <w:tblGrid>
        <w:gridCol w:w="15388"/>
      </w:tblGrid>
      <w:tr w:rsidR="00970157" w14:paraId="5A2982A7" w14:textId="77777777" w:rsidTr="00B8AFBC">
        <w:tc>
          <w:tcPr>
            <w:tcW w:w="15388" w:type="dxa"/>
            <w:shd w:val="clear" w:color="auto" w:fill="C85348"/>
          </w:tcPr>
          <w:p w14:paraId="50B5667C"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r>
      <w:tr w:rsidR="00970157" w14:paraId="7A85764E" w14:textId="77777777" w:rsidTr="00B8AFBC">
        <w:tc>
          <w:tcPr>
            <w:tcW w:w="15388" w:type="dxa"/>
          </w:tcPr>
          <w:p w14:paraId="1449F09D" w14:textId="77777777" w:rsidR="0043571A" w:rsidRPr="00350C16" w:rsidRDefault="0043571A" w:rsidP="0043571A">
            <w:pPr>
              <w:pStyle w:val="ListParagraph"/>
              <w:numPr>
                <w:ilvl w:val="0"/>
                <w:numId w:val="3"/>
              </w:numPr>
              <w:spacing w:before="120" w:after="120"/>
              <w:ind w:left="714" w:hanging="357"/>
              <w:contextualSpacing w:val="0"/>
              <w:rPr>
                <w:rFonts w:ascii="Arial" w:eastAsiaTheme="minorEastAsia" w:hAnsi="Arial" w:cs="Arial"/>
              </w:rPr>
            </w:pPr>
            <w:r w:rsidRPr="00350C16">
              <w:rPr>
                <w:rFonts w:ascii="Arial" w:eastAsiaTheme="minorEastAsia" w:hAnsi="Arial" w:cs="Arial"/>
                <w:b/>
                <w:bCs/>
              </w:rPr>
              <w:t>CS-001</w:t>
            </w:r>
            <w:r w:rsidRPr="00350C16">
              <w:rPr>
                <w:rFonts w:ascii="Arial" w:eastAsiaTheme="minorEastAsia" w:hAnsi="Arial" w:cs="Arial"/>
              </w:rPr>
              <w:t xml:space="preserve"> – Over the course of Quarter 1 2024-25, there was a total of 2 Ombudsman complaints that were upheld due to fault and justice. Over the course of 2023-24 a total of 3 complaints were upheld due to fault and justice, but none within Quarter 1. The 2 complaints that were upheld due to fault and justice within Quarter 1 </w:t>
            </w:r>
            <w:r>
              <w:rPr>
                <w:rFonts w:ascii="Arial" w:eastAsiaTheme="minorEastAsia" w:hAnsi="Arial" w:cs="Arial"/>
              </w:rPr>
              <w:t xml:space="preserve">2024-25 </w:t>
            </w:r>
            <w:r w:rsidRPr="00350C16">
              <w:rPr>
                <w:rFonts w:ascii="Arial" w:eastAsiaTheme="minorEastAsia" w:hAnsi="Arial" w:cs="Arial"/>
              </w:rPr>
              <w:t xml:space="preserve">equates to a rate </w:t>
            </w:r>
            <w:r>
              <w:rPr>
                <w:rFonts w:ascii="Arial" w:eastAsiaTheme="minorEastAsia" w:hAnsi="Arial" w:cs="Arial"/>
              </w:rPr>
              <w:t xml:space="preserve">of 1.08 </w:t>
            </w:r>
            <w:r w:rsidRPr="00350C16">
              <w:rPr>
                <w:rFonts w:ascii="Arial" w:eastAsiaTheme="minorEastAsia" w:hAnsi="Arial" w:cs="Arial"/>
              </w:rPr>
              <w:t>per 100,000 population</w:t>
            </w:r>
            <w:r>
              <w:rPr>
                <w:rFonts w:ascii="Arial" w:eastAsiaTheme="minorEastAsia" w:hAnsi="Arial" w:cs="Arial"/>
              </w:rPr>
              <w:t xml:space="preserve">, against a quarterly target of 1.25 </w:t>
            </w:r>
            <w:r w:rsidRPr="00350C16">
              <w:rPr>
                <w:rFonts w:ascii="Arial" w:eastAsiaTheme="minorEastAsia" w:hAnsi="Arial" w:cs="Arial"/>
              </w:rPr>
              <w:t>per 100,000 population</w:t>
            </w:r>
            <w:r>
              <w:rPr>
                <w:rFonts w:ascii="Arial" w:eastAsiaTheme="minorEastAsia" w:hAnsi="Arial" w:cs="Arial"/>
              </w:rPr>
              <w:t xml:space="preserve">. </w:t>
            </w:r>
            <w:r w:rsidRPr="00350C16">
              <w:rPr>
                <w:rFonts w:ascii="Arial" w:eastAsiaTheme="minorEastAsia" w:hAnsi="Arial" w:cs="Arial"/>
              </w:rPr>
              <w:t xml:space="preserve"> </w:t>
            </w:r>
          </w:p>
          <w:p w14:paraId="73A0603E" w14:textId="77777777" w:rsidR="0043571A" w:rsidRPr="006E3B01" w:rsidRDefault="0043571A" w:rsidP="0043571A">
            <w:pPr>
              <w:pStyle w:val="ListParagraph"/>
              <w:numPr>
                <w:ilvl w:val="0"/>
                <w:numId w:val="3"/>
              </w:numPr>
              <w:spacing w:before="120" w:after="120"/>
              <w:ind w:left="714" w:hanging="357"/>
              <w:contextualSpacing w:val="0"/>
              <w:rPr>
                <w:rFonts w:ascii="Arial" w:eastAsia="Times New Roman" w:hAnsi="Arial" w:cs="Arial"/>
                <w:color w:val="000000" w:themeColor="text1"/>
                <w:lang w:eastAsia="en-GB"/>
              </w:rPr>
            </w:pPr>
            <w:r w:rsidRPr="602AD899">
              <w:rPr>
                <w:rFonts w:ascii="Arial" w:eastAsiaTheme="minorEastAsia" w:hAnsi="Arial" w:cs="Arial"/>
                <w:b/>
                <w:color w:val="000000" w:themeColor="text1"/>
              </w:rPr>
              <w:t>CS-002</w:t>
            </w:r>
            <w:r w:rsidRPr="602AD899">
              <w:rPr>
                <w:rFonts w:ascii="Arial" w:eastAsiaTheme="minorEastAsia" w:hAnsi="Arial" w:cs="Arial"/>
                <w:color w:val="000000" w:themeColor="text1"/>
              </w:rPr>
              <w:t xml:space="preserve"> - </w:t>
            </w:r>
            <w:r w:rsidRPr="602AD899">
              <w:rPr>
                <w:rFonts w:ascii="Arial" w:eastAsia="Times New Roman" w:hAnsi="Arial" w:cs="Arial"/>
                <w:color w:val="000000" w:themeColor="text1"/>
                <w:lang w:eastAsia="en-GB"/>
              </w:rPr>
              <w:t xml:space="preserve">Of the 312 Stage 1 complaints received in Quarter 1, 258 were responded to within agreed policy timescales. This equates to </w:t>
            </w:r>
            <w:r w:rsidRPr="58D854E4">
              <w:rPr>
                <w:rFonts w:ascii="Arial" w:eastAsia="Times New Roman" w:hAnsi="Arial" w:cs="Arial"/>
                <w:color w:val="000000" w:themeColor="text1"/>
                <w:lang w:eastAsia="en-GB"/>
              </w:rPr>
              <w:t>83</w:t>
            </w:r>
            <w:r w:rsidRPr="602AD899">
              <w:rPr>
                <w:rFonts w:ascii="Arial" w:eastAsia="Times New Roman" w:hAnsi="Arial" w:cs="Arial"/>
                <w:color w:val="000000" w:themeColor="text1"/>
                <w:lang w:eastAsia="en-GB"/>
              </w:rPr>
              <w:t xml:space="preserve">%, which is above target. For children’s complaints there has been improvements in compliance for Stage 1 complaints with the </w:t>
            </w:r>
            <w:r>
              <w:rPr>
                <w:rFonts w:ascii="Arial" w:eastAsia="Times New Roman" w:hAnsi="Arial" w:cs="Arial"/>
                <w:color w:val="000000" w:themeColor="text1"/>
                <w:lang w:eastAsia="en-GB"/>
              </w:rPr>
              <w:t>percentage</w:t>
            </w:r>
            <w:r w:rsidRPr="602AD899">
              <w:rPr>
                <w:rFonts w:ascii="Arial" w:eastAsia="Times New Roman" w:hAnsi="Arial" w:cs="Arial"/>
                <w:color w:val="000000" w:themeColor="text1"/>
                <w:lang w:eastAsia="en-GB"/>
              </w:rPr>
              <w:t xml:space="preserve"> of children’s statutory complaints increasing from 85% (Q4) to 88% for Quarter 1 and the percentage of adult's complaints on time has decreased from 94% to 71%. There has been</w:t>
            </w:r>
            <w:r w:rsidRPr="3A38524D">
              <w:rPr>
                <w:rFonts w:ascii="Arial" w:eastAsia="Times New Roman" w:hAnsi="Arial" w:cs="Arial"/>
                <w:color w:val="000000" w:themeColor="text1"/>
                <w:lang w:eastAsia="en-GB"/>
              </w:rPr>
              <w:t xml:space="preserve"> further</w:t>
            </w:r>
            <w:r w:rsidRPr="602AD899">
              <w:rPr>
                <w:rFonts w:ascii="Arial" w:eastAsia="Times New Roman" w:hAnsi="Arial" w:cs="Arial"/>
                <w:color w:val="000000" w:themeColor="text1"/>
                <w:lang w:eastAsia="en-GB"/>
              </w:rPr>
              <w:t xml:space="preserve"> improvement for corporate complaints compliance which has increased from 75% to </w:t>
            </w:r>
            <w:r w:rsidRPr="1CDBD8CE">
              <w:rPr>
                <w:rFonts w:ascii="Arial" w:eastAsia="Times New Roman" w:hAnsi="Arial" w:cs="Arial"/>
                <w:color w:val="000000" w:themeColor="text1"/>
                <w:lang w:eastAsia="en-GB"/>
              </w:rPr>
              <w:t>83</w:t>
            </w:r>
            <w:r w:rsidRPr="602AD899">
              <w:rPr>
                <w:rFonts w:ascii="Arial" w:eastAsia="Times New Roman" w:hAnsi="Arial" w:cs="Arial"/>
                <w:color w:val="000000" w:themeColor="text1"/>
                <w:lang w:eastAsia="en-GB"/>
              </w:rPr>
              <w:t xml:space="preserve">%. The overall percentage of compliance has improved due to a higher volume of corporate complaints being responded to on time. </w:t>
            </w:r>
          </w:p>
          <w:p w14:paraId="6A9926FA" w14:textId="6601D029" w:rsidR="0043571A" w:rsidRPr="00193295" w:rsidRDefault="0043571A" w:rsidP="05A063A6">
            <w:pPr>
              <w:pStyle w:val="ListParagraph"/>
              <w:numPr>
                <w:ilvl w:val="0"/>
                <w:numId w:val="3"/>
              </w:numPr>
              <w:spacing w:before="120" w:after="120"/>
              <w:ind w:left="714" w:hanging="357"/>
              <w:rPr>
                <w:rFonts w:ascii="Arial" w:eastAsia="Times New Roman" w:hAnsi="Arial" w:cs="Arial"/>
                <w:lang w:eastAsia="en-GB"/>
              </w:rPr>
            </w:pPr>
            <w:r w:rsidRPr="2B56F0B5">
              <w:rPr>
                <w:rFonts w:ascii="Arial" w:eastAsiaTheme="minorEastAsia" w:hAnsi="Arial" w:cs="Arial"/>
                <w:b/>
                <w:bCs/>
              </w:rPr>
              <w:t>CS-013</w:t>
            </w:r>
            <w:r w:rsidRPr="63E17949">
              <w:rPr>
                <w:rFonts w:ascii="Arial" w:eastAsiaTheme="minorEastAsia" w:hAnsi="Arial" w:cs="Arial"/>
              </w:rPr>
              <w:t xml:space="preserve"> </w:t>
            </w:r>
            <w:r w:rsidR="2AAA555A" w:rsidRPr="2B56F0B5">
              <w:rPr>
                <w:rFonts w:ascii="Arial" w:eastAsiaTheme="minorEastAsia" w:hAnsi="Arial" w:cs="Arial"/>
              </w:rPr>
              <w:t>– The t</w:t>
            </w:r>
            <w:r w:rsidRPr="2B56F0B5">
              <w:rPr>
                <w:rFonts w:ascii="Arial" w:eastAsia="Arial" w:hAnsi="Arial" w:cs="Arial"/>
              </w:rPr>
              <w:t>otal</w:t>
            </w:r>
            <w:r w:rsidRPr="63E17949">
              <w:rPr>
                <w:rFonts w:ascii="Arial" w:eastAsia="Arial" w:hAnsi="Arial" w:cs="Arial"/>
              </w:rPr>
              <w:t xml:space="preserve"> number of Freedom of Information Requests (FOIs) received in Q</w:t>
            </w:r>
            <w:r w:rsidR="000673DF">
              <w:rPr>
                <w:rFonts w:ascii="Arial" w:eastAsia="Arial" w:hAnsi="Arial" w:cs="Arial"/>
              </w:rPr>
              <w:t xml:space="preserve">uarter </w:t>
            </w:r>
            <w:r w:rsidRPr="63E17949">
              <w:rPr>
                <w:rFonts w:ascii="Arial" w:eastAsia="Arial" w:hAnsi="Arial" w:cs="Arial"/>
              </w:rPr>
              <w:t xml:space="preserve">1 was </w:t>
            </w:r>
            <w:r w:rsidRPr="4F213418">
              <w:rPr>
                <w:rFonts w:ascii="Arial" w:eastAsia="Arial" w:hAnsi="Arial" w:cs="Arial"/>
              </w:rPr>
              <w:t>2</w:t>
            </w:r>
            <w:r w:rsidR="7732F19C" w:rsidRPr="4F213418">
              <w:rPr>
                <w:rFonts w:ascii="Arial" w:eastAsia="Arial" w:hAnsi="Arial" w:cs="Arial"/>
              </w:rPr>
              <w:t>04</w:t>
            </w:r>
            <w:r w:rsidRPr="63E17949">
              <w:rPr>
                <w:rFonts w:ascii="Arial" w:eastAsia="Arial" w:hAnsi="Arial" w:cs="Arial"/>
              </w:rPr>
              <w:t xml:space="preserve">. </w:t>
            </w:r>
            <w:r w:rsidRPr="72F8C658">
              <w:rPr>
                <w:rFonts w:ascii="Arial" w:eastAsia="Arial" w:hAnsi="Arial" w:cs="Arial"/>
              </w:rPr>
              <w:t>1</w:t>
            </w:r>
            <w:r w:rsidR="07BA91BD" w:rsidRPr="72F8C658">
              <w:rPr>
                <w:rFonts w:ascii="Arial" w:eastAsia="Arial" w:hAnsi="Arial" w:cs="Arial"/>
              </w:rPr>
              <w:t>46</w:t>
            </w:r>
            <w:r w:rsidRPr="63E17949">
              <w:rPr>
                <w:rFonts w:ascii="Arial" w:eastAsia="Arial" w:hAnsi="Arial" w:cs="Arial"/>
              </w:rPr>
              <w:t xml:space="preserve"> requests have been closed, with </w:t>
            </w:r>
            <w:r w:rsidR="6A090FC6" w:rsidRPr="7AC2928C">
              <w:rPr>
                <w:rFonts w:ascii="Arial" w:eastAsia="Arial" w:hAnsi="Arial" w:cs="Arial"/>
              </w:rPr>
              <w:t>26</w:t>
            </w:r>
            <w:r w:rsidRPr="63E17949">
              <w:rPr>
                <w:rFonts w:ascii="Arial" w:eastAsia="Arial" w:hAnsi="Arial" w:cs="Arial"/>
              </w:rPr>
              <w:t xml:space="preserve"> being overdue</w:t>
            </w:r>
            <w:r w:rsidRPr="1F658255">
              <w:rPr>
                <w:rFonts w:ascii="Arial" w:eastAsia="Arial" w:hAnsi="Arial" w:cs="Arial"/>
              </w:rPr>
              <w:t>.</w:t>
            </w:r>
            <w:r w:rsidRPr="63E17949">
              <w:rPr>
                <w:rFonts w:ascii="Arial" w:eastAsia="Arial" w:hAnsi="Arial" w:cs="Arial"/>
              </w:rPr>
              <w:t xml:space="preserve"> Of those FOIs received during the quarter, </w:t>
            </w:r>
            <w:r w:rsidRPr="57525634">
              <w:rPr>
                <w:rFonts w:ascii="Arial" w:eastAsia="Arial" w:hAnsi="Arial" w:cs="Arial"/>
              </w:rPr>
              <w:t>5</w:t>
            </w:r>
            <w:r w:rsidR="12B6D395" w:rsidRPr="57525634">
              <w:rPr>
                <w:rFonts w:ascii="Arial" w:eastAsia="Arial" w:hAnsi="Arial" w:cs="Arial"/>
              </w:rPr>
              <w:t>4</w:t>
            </w:r>
            <w:r w:rsidRPr="63E17949">
              <w:rPr>
                <w:rFonts w:ascii="Arial" w:eastAsia="Arial" w:hAnsi="Arial" w:cs="Arial"/>
              </w:rPr>
              <w:t xml:space="preserve">% were responded to within agreed timescales. </w:t>
            </w:r>
            <w:r w:rsidRPr="657B3F95">
              <w:rPr>
                <w:rFonts w:ascii="Arial" w:eastAsia="Arial" w:hAnsi="Arial" w:cs="Arial"/>
              </w:rPr>
              <w:t>This is a decrease in compliance</w:t>
            </w:r>
            <w:r w:rsidRPr="63E17949">
              <w:rPr>
                <w:rFonts w:ascii="Arial" w:eastAsia="Arial" w:hAnsi="Arial" w:cs="Arial"/>
              </w:rPr>
              <w:t xml:space="preserve"> on the 2023</w:t>
            </w:r>
            <w:r w:rsidR="000673DF">
              <w:rPr>
                <w:rFonts w:ascii="Arial" w:eastAsia="Arial" w:hAnsi="Arial" w:cs="Arial"/>
              </w:rPr>
              <w:t>-</w:t>
            </w:r>
            <w:r w:rsidRPr="63E17949">
              <w:rPr>
                <w:rFonts w:ascii="Arial" w:eastAsia="Arial" w:hAnsi="Arial" w:cs="Arial"/>
              </w:rPr>
              <w:t xml:space="preserve">24 outturn which was </w:t>
            </w:r>
            <w:r w:rsidRPr="1990AC4C">
              <w:rPr>
                <w:rFonts w:ascii="Arial" w:eastAsia="Arial" w:hAnsi="Arial" w:cs="Arial"/>
              </w:rPr>
              <w:t>70</w:t>
            </w:r>
            <w:r w:rsidRPr="63E17949">
              <w:rPr>
                <w:rFonts w:ascii="Arial" w:eastAsia="Arial" w:hAnsi="Arial" w:cs="Arial"/>
              </w:rPr>
              <w:t>%. Work is ongoing to improve response rates, gate keeping, monitoring, and reporting by the Information Governance Team</w:t>
            </w:r>
            <w:r w:rsidR="582D3DA7" w:rsidRPr="0A661FAD">
              <w:rPr>
                <w:rFonts w:ascii="Arial" w:eastAsia="Arial" w:hAnsi="Arial" w:cs="Arial"/>
              </w:rPr>
              <w:t>, along with</w:t>
            </w:r>
            <w:r w:rsidRPr="63E17949">
              <w:rPr>
                <w:rFonts w:ascii="Arial" w:eastAsia="Arial" w:hAnsi="Arial" w:cs="Arial"/>
              </w:rPr>
              <w:t xml:space="preserve"> additional support for service areas. </w:t>
            </w:r>
          </w:p>
          <w:p w14:paraId="198766F5" w14:textId="02BCE6CA" w:rsidR="00580F5E" w:rsidRPr="0043571A" w:rsidRDefault="0043571A" w:rsidP="0043571A">
            <w:pPr>
              <w:pStyle w:val="ListParagraph"/>
              <w:numPr>
                <w:ilvl w:val="0"/>
                <w:numId w:val="3"/>
              </w:numPr>
              <w:spacing w:before="120" w:after="120"/>
              <w:ind w:left="714" w:hanging="357"/>
              <w:contextualSpacing w:val="0"/>
              <w:rPr>
                <w:rStyle w:val="normaltextrun"/>
                <w:rFonts w:ascii="Arial" w:eastAsia="Times New Roman" w:hAnsi="Arial" w:cs="Arial"/>
                <w:lang w:eastAsia="en-GB"/>
              </w:rPr>
            </w:pPr>
            <w:r w:rsidRPr="00193295">
              <w:rPr>
                <w:rFonts w:ascii="Arial" w:eastAsiaTheme="minorEastAsia" w:hAnsi="Arial" w:cs="Arial"/>
                <w:b/>
              </w:rPr>
              <w:t>CS-014</w:t>
            </w:r>
            <w:r w:rsidRPr="00193295">
              <w:rPr>
                <w:rFonts w:ascii="Arial" w:eastAsiaTheme="minorEastAsia" w:hAnsi="Arial" w:cs="Arial"/>
              </w:rPr>
              <w:t xml:space="preserve"> - During Quarter 1 2024-2 there was a total of 17,881 engagements with the Council’s social media posts, which is 30% below target and a decrease on engagement within the same quarter last year.</w:t>
            </w:r>
          </w:p>
        </w:tc>
      </w:tr>
      <w:tr w:rsidR="00970157" w14:paraId="5F5DF5B1" w14:textId="77777777" w:rsidTr="00B8AFBC">
        <w:tc>
          <w:tcPr>
            <w:tcW w:w="15388" w:type="dxa"/>
            <w:shd w:val="clear" w:color="auto" w:fill="C85348"/>
          </w:tcPr>
          <w:p w14:paraId="6D187C1A" w14:textId="77777777" w:rsidR="00B0379D" w:rsidRPr="4E59956F" w:rsidRDefault="00E75E6D" w:rsidP="00B0379D">
            <w:pPr>
              <w:spacing w:after="120"/>
              <w:jc w:val="both"/>
              <w:rPr>
                <w:rFonts w:ascii="Arial" w:hAnsi="Arial" w:cs="Arial"/>
                <w:color w:val="000000" w:themeColor="text1"/>
              </w:rPr>
            </w:pPr>
            <w:r w:rsidRPr="00896DF5">
              <w:rPr>
                <w:rFonts w:ascii="Arial" w:hAnsi="Arial" w:cs="Arial"/>
                <w:b/>
                <w:bCs/>
                <w:color w:val="FFFFFF" w:themeColor="background1"/>
              </w:rPr>
              <w:t>Action for Improvement</w:t>
            </w:r>
          </w:p>
        </w:tc>
      </w:tr>
      <w:tr w:rsidR="00970157" w14:paraId="2BFDF8AF" w14:textId="77777777" w:rsidTr="00B8AFBC">
        <w:tc>
          <w:tcPr>
            <w:tcW w:w="15388" w:type="dxa"/>
          </w:tcPr>
          <w:p w14:paraId="41FE40B5" w14:textId="0F24522D" w:rsidR="00830AF6" w:rsidRPr="00375552" w:rsidRDefault="00830AF6" w:rsidP="00830AF6">
            <w:pPr>
              <w:spacing w:after="120"/>
              <w:jc w:val="both"/>
              <w:rPr>
                <w:rFonts w:ascii="Arial" w:eastAsia="Arial" w:hAnsi="Arial" w:cs="Arial"/>
                <w:b/>
                <w:sz w:val="16"/>
                <w:szCs w:val="16"/>
              </w:rPr>
            </w:pPr>
          </w:p>
          <w:p w14:paraId="6B8142A2" w14:textId="079681F7" w:rsidR="001C0176" w:rsidRPr="00DA6AE8" w:rsidRDefault="001C0176" w:rsidP="00125F87">
            <w:pPr>
              <w:pStyle w:val="ListBullet"/>
              <w:numPr>
                <w:ilvl w:val="0"/>
                <w:numId w:val="33"/>
              </w:numPr>
              <w:spacing w:before="120" w:beforeAutospacing="1" w:after="120" w:afterAutospacing="1"/>
              <w:jc w:val="both"/>
              <w:rPr>
                <w:rFonts w:ascii="Arial" w:eastAsia="Calibri" w:hAnsi="Arial" w:cs="Arial"/>
              </w:rPr>
            </w:pPr>
            <w:r w:rsidRPr="001C0176">
              <w:rPr>
                <w:rFonts w:ascii="Arial" w:eastAsia="Calibri" w:hAnsi="Arial" w:cs="Arial"/>
                <w:b/>
                <w:bCs/>
              </w:rPr>
              <w:t>CS-013</w:t>
            </w:r>
            <w:r>
              <w:rPr>
                <w:rFonts w:ascii="Arial" w:eastAsia="Calibri" w:hAnsi="Arial" w:cs="Arial"/>
              </w:rPr>
              <w:t xml:space="preserve"> - </w:t>
            </w:r>
            <w:r w:rsidR="004B0866" w:rsidRPr="00AA5342">
              <w:rPr>
                <w:rFonts w:ascii="Arial" w:hAnsi="Arial" w:cs="Arial"/>
              </w:rPr>
              <w:t>Improvement activity has been identified to support performance improvements in FOI compliance. A proposal to develop FOI agents is being explored. This will utilise colleagues from across departments to support with allocation.</w:t>
            </w:r>
          </w:p>
          <w:p w14:paraId="7993A4AF" w14:textId="77777777" w:rsidR="00DA6AE8" w:rsidRPr="001C0176" w:rsidRDefault="00DA6AE8" w:rsidP="00DA6AE8">
            <w:pPr>
              <w:pStyle w:val="ListBullet"/>
              <w:numPr>
                <w:ilvl w:val="0"/>
                <w:numId w:val="0"/>
              </w:numPr>
              <w:spacing w:before="120" w:beforeAutospacing="1" w:after="120" w:afterAutospacing="1"/>
              <w:ind w:left="720"/>
              <w:jc w:val="both"/>
              <w:rPr>
                <w:rFonts w:ascii="Arial" w:eastAsia="Calibri" w:hAnsi="Arial" w:cs="Arial"/>
              </w:rPr>
            </w:pPr>
          </w:p>
          <w:p w14:paraId="5E862153" w14:textId="2A90C5BC" w:rsidR="00390420" w:rsidRPr="003B146C" w:rsidRDefault="001C0176" w:rsidP="002F7031">
            <w:pPr>
              <w:pStyle w:val="ListBullet"/>
              <w:numPr>
                <w:ilvl w:val="0"/>
                <w:numId w:val="33"/>
              </w:numPr>
              <w:spacing w:before="120" w:beforeAutospacing="1" w:after="120" w:afterAutospacing="1"/>
              <w:rPr>
                <w:rFonts w:ascii="Arial" w:eastAsia="Calibri" w:hAnsi="Arial" w:cs="Arial"/>
              </w:rPr>
            </w:pPr>
            <w:r w:rsidRPr="001C0176">
              <w:rPr>
                <w:rFonts w:ascii="Arial" w:eastAsia="Calibri" w:hAnsi="Arial" w:cs="Arial"/>
                <w:b/>
                <w:bCs/>
              </w:rPr>
              <w:t>CS-014</w:t>
            </w:r>
            <w:r>
              <w:rPr>
                <w:rFonts w:ascii="Arial" w:eastAsia="Calibri" w:hAnsi="Arial" w:cs="Arial"/>
              </w:rPr>
              <w:t xml:space="preserve"> -</w:t>
            </w:r>
            <w:r w:rsidRPr="00903E15">
              <w:rPr>
                <w:rFonts w:ascii="Arial" w:eastAsia="Calibri" w:hAnsi="Arial" w:cs="Arial"/>
              </w:rPr>
              <w:t xml:space="preserve"> </w:t>
            </w:r>
            <w:r w:rsidR="00DA6AE8" w:rsidRPr="00903E15">
              <w:rPr>
                <w:rFonts w:ascii="Arial" w:hAnsi="Arial" w:cs="Arial"/>
                <w:color w:val="000000"/>
                <w:shd w:val="clear" w:color="auto" w:fill="FFFFFF"/>
              </w:rPr>
              <w:t xml:space="preserve">Engagement is below target this quarter and lower than the same period last year by a considerable amount. This will be in large part due to the lack of events in this quarter which has meant there have been fewer positive things for us to cover. A lot of our content during this period had been focused around voter registration ahead of the PCC &amp; Mayoral elections in May and General Election in July. While some of these posts have had decent reach, they are not typically the kind of posts people will engage with. Well performing posts this quarter include those on topics such as highways maintenance and the renaming of James Roby Way. </w:t>
            </w:r>
            <w:r w:rsidR="00903E15" w:rsidRPr="00903E15">
              <w:rPr>
                <w:rFonts w:ascii="Arial" w:hAnsi="Arial" w:cs="Arial"/>
                <w:color w:val="000000"/>
                <w:shd w:val="clear" w:color="auto" w:fill="FFFFFF"/>
              </w:rPr>
              <w:t xml:space="preserve">Last year St Helens was the Borough of Culture and over the spring and summer period in particular a large number of events and competitions were held. This resulted in a number of posts and videos aimed at promoting these events, which a high number of residents engaged with and commented on. </w:t>
            </w:r>
          </w:p>
          <w:p w14:paraId="5DB60C2D" w14:textId="08FFA245" w:rsidR="008A2307" w:rsidRPr="00CF2A58" w:rsidRDefault="008A2307" w:rsidP="00DB2A6E">
            <w:pPr>
              <w:pStyle w:val="ListBullet"/>
              <w:numPr>
                <w:ilvl w:val="0"/>
                <w:numId w:val="0"/>
              </w:numPr>
              <w:spacing w:before="80" w:after="100" w:afterAutospacing="1"/>
              <w:ind w:left="142" w:hanging="142"/>
              <w:contextualSpacing w:val="0"/>
              <w:jc w:val="both"/>
              <w:rPr>
                <w:rStyle w:val="normaltextrun"/>
                <w:rFonts w:ascii="Arial" w:hAnsi="Arial" w:cs="Arial"/>
                <w:color w:val="FF0000"/>
              </w:rPr>
            </w:pPr>
          </w:p>
        </w:tc>
      </w:tr>
    </w:tbl>
    <w:p w14:paraId="493A1F59" w14:textId="5BDC8F54" w:rsidR="00B0379D" w:rsidRPr="004B17CF" w:rsidRDefault="00E75E6D" w:rsidP="00B0379D">
      <w:pPr>
        <w:pStyle w:val="ListBullet"/>
        <w:numPr>
          <w:ilvl w:val="0"/>
          <w:numId w:val="0"/>
        </w:numPr>
        <w:spacing w:before="240" w:after="120" w:line="240" w:lineRule="auto"/>
        <w:contextualSpacing w:val="0"/>
        <w:jc w:val="both"/>
        <w:rPr>
          <w:rStyle w:val="normaltextrun"/>
          <w:rFonts w:ascii="Arial" w:hAnsi="Arial" w:cs="Arial"/>
          <w:b/>
          <w:bCs/>
          <w:color w:val="C85348"/>
          <w:sz w:val="32"/>
          <w:szCs w:val="32"/>
        </w:rPr>
      </w:pPr>
      <w:r w:rsidRPr="4276CE28">
        <w:rPr>
          <w:rStyle w:val="normaltextrun"/>
          <w:rFonts w:ascii="Arial" w:hAnsi="Arial" w:cs="Arial"/>
          <w:b/>
          <w:bCs/>
          <w:color w:val="C85348"/>
          <w:sz w:val="32"/>
          <w:szCs w:val="32"/>
        </w:rPr>
        <w:t>Outcome - Invest in developing the strengths and skills of our workforce and elected members</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ook w:val="04A0" w:firstRow="1" w:lastRow="0" w:firstColumn="1" w:lastColumn="0" w:noHBand="0" w:noVBand="1"/>
      </w:tblPr>
      <w:tblGrid>
        <w:gridCol w:w="8359"/>
        <w:gridCol w:w="7029"/>
      </w:tblGrid>
      <w:tr w:rsidR="00970157" w14:paraId="639A7406" w14:textId="77777777" w:rsidTr="3B4CB9FD">
        <w:tc>
          <w:tcPr>
            <w:tcW w:w="8359" w:type="dxa"/>
            <w:shd w:val="clear" w:color="auto" w:fill="C85348"/>
          </w:tcPr>
          <w:p w14:paraId="55D18800"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C85348"/>
          </w:tcPr>
          <w:p w14:paraId="625B4CB4" w14:textId="77777777" w:rsidR="00B0379D" w:rsidRPr="00896DF5" w:rsidRDefault="00B0379D" w:rsidP="00B0379D">
            <w:pPr>
              <w:spacing w:after="120"/>
              <w:jc w:val="both"/>
              <w:rPr>
                <w:rFonts w:ascii="Arial" w:hAnsi="Arial" w:cs="Arial"/>
                <w:b/>
                <w:bCs/>
                <w:color w:val="FFFFFF" w:themeColor="background1"/>
              </w:rPr>
            </w:pPr>
          </w:p>
        </w:tc>
      </w:tr>
      <w:tr w:rsidR="00970157" w14:paraId="33CC8CBB" w14:textId="77777777" w:rsidTr="3B4CB9FD">
        <w:tc>
          <w:tcPr>
            <w:tcW w:w="15388" w:type="dxa"/>
            <w:gridSpan w:val="2"/>
          </w:tcPr>
          <w:p w14:paraId="722B8B3B" w14:textId="77777777" w:rsidR="00394621" w:rsidRPr="006E3B01" w:rsidRDefault="00394621" w:rsidP="00394621">
            <w:pPr>
              <w:pStyle w:val="ListParagraph"/>
              <w:numPr>
                <w:ilvl w:val="0"/>
                <w:numId w:val="2"/>
              </w:numPr>
              <w:spacing w:before="120" w:after="120"/>
              <w:contextualSpacing w:val="0"/>
              <w:rPr>
                <w:rFonts w:ascii="Arial" w:eastAsiaTheme="minorEastAsia" w:hAnsi="Arial" w:cs="Arial"/>
              </w:rPr>
            </w:pPr>
            <w:r w:rsidRPr="285D7B4B">
              <w:rPr>
                <w:rFonts w:ascii="Arial" w:eastAsiaTheme="minorEastAsia" w:hAnsi="Arial" w:cs="Arial"/>
                <w:b/>
              </w:rPr>
              <w:t>CS-003</w:t>
            </w:r>
            <w:r w:rsidRPr="285D7B4B">
              <w:rPr>
                <w:rFonts w:ascii="Arial" w:eastAsiaTheme="minorEastAsia" w:hAnsi="Arial" w:cs="Arial"/>
              </w:rPr>
              <w:t xml:space="preserve"> - The percentage of staff completing mandatory core-E Learning training</w:t>
            </w:r>
            <w:r>
              <w:rPr>
                <w:rFonts w:ascii="Arial" w:eastAsiaTheme="minorEastAsia" w:hAnsi="Arial" w:cs="Arial"/>
              </w:rPr>
              <w:t xml:space="preserve"> </w:t>
            </w:r>
            <w:r w:rsidRPr="285D7B4B">
              <w:rPr>
                <w:rFonts w:ascii="Arial" w:eastAsiaTheme="minorEastAsia" w:hAnsi="Arial" w:cs="Arial"/>
              </w:rPr>
              <w:t>at the end of Quarter 1 2024-</w:t>
            </w:r>
            <w:r>
              <w:rPr>
                <w:rFonts w:ascii="Arial" w:eastAsiaTheme="minorEastAsia" w:hAnsi="Arial" w:cs="Arial"/>
              </w:rPr>
              <w:t>25</w:t>
            </w:r>
            <w:r w:rsidRPr="285D7B4B">
              <w:rPr>
                <w:rFonts w:ascii="Arial" w:eastAsiaTheme="minorEastAsia" w:hAnsi="Arial" w:cs="Arial"/>
              </w:rPr>
              <w:t xml:space="preserve"> is on track to meet the annual targe</w:t>
            </w:r>
            <w:r>
              <w:rPr>
                <w:rFonts w:ascii="Arial" w:eastAsiaTheme="minorEastAsia" w:hAnsi="Arial" w:cs="Arial"/>
              </w:rPr>
              <w:t>t</w:t>
            </w:r>
            <w:r w:rsidRPr="285D7B4B">
              <w:rPr>
                <w:rFonts w:ascii="Arial" w:eastAsiaTheme="minorEastAsia" w:hAnsi="Arial" w:cs="Arial"/>
              </w:rPr>
              <w:t xml:space="preserve">. </w:t>
            </w:r>
            <w:r>
              <w:rPr>
                <w:rFonts w:ascii="Arial" w:eastAsiaTheme="minorEastAsia" w:hAnsi="Arial" w:cs="Arial"/>
              </w:rPr>
              <w:t xml:space="preserve">The Quarter 1 completion figure of 68.8% is marginally below the annual target of 70%. </w:t>
            </w:r>
            <w:r w:rsidRPr="285D7B4B">
              <w:rPr>
                <w:rFonts w:ascii="Arial" w:eastAsiaTheme="minorEastAsia" w:hAnsi="Arial" w:cs="Arial"/>
              </w:rPr>
              <w:t>Completion figures at the end of Quarter 1 show as 70.1% completion for Data Protection, 71.5% completion for Equality and Diversity, 67.3% completion for Unconscious Bias and 66.6% completion for Code of Conduct.</w:t>
            </w:r>
          </w:p>
          <w:p w14:paraId="0B893D8A" w14:textId="77777777" w:rsidR="00394621" w:rsidRPr="006E3B01" w:rsidRDefault="00394621" w:rsidP="00394621">
            <w:pPr>
              <w:pStyle w:val="ListParagraph"/>
              <w:numPr>
                <w:ilvl w:val="0"/>
                <w:numId w:val="2"/>
              </w:numPr>
              <w:spacing w:before="120" w:after="120"/>
              <w:contextualSpacing w:val="0"/>
              <w:rPr>
                <w:rFonts w:ascii="Arial" w:hAnsi="Arial" w:cs="Arial"/>
              </w:rPr>
            </w:pPr>
            <w:r w:rsidRPr="6006C229">
              <w:rPr>
                <w:rFonts w:ascii="Arial" w:eastAsiaTheme="minorEastAsia" w:hAnsi="Arial" w:cs="Arial"/>
                <w:b/>
              </w:rPr>
              <w:t>CS-004A</w:t>
            </w:r>
            <w:r w:rsidRPr="6006C229">
              <w:rPr>
                <w:rFonts w:ascii="Arial" w:eastAsiaTheme="minorEastAsia" w:hAnsi="Arial" w:cs="Arial"/>
              </w:rPr>
              <w:t xml:space="preserve"> - The Member Development Programme was delivered to plan during the first quarter, with 100% of scheduled training delivered. </w:t>
            </w:r>
            <w:r w:rsidRPr="6006C229">
              <w:rPr>
                <w:rFonts w:ascii="Arial" w:hAnsi="Arial" w:cs="Arial"/>
              </w:rPr>
              <w:t>The Development Programme included training on the following: Planning Committee Training, Local Insight Training for Members, Training for Licensing (Taxis/Policy), Licensing Sub-Committee (Licensing Act/Licensed Premises) along with a Briefing session with the Chief Executive.</w:t>
            </w:r>
          </w:p>
          <w:p w14:paraId="2B0A8836" w14:textId="77777777" w:rsidR="00394621" w:rsidRPr="006E3B01" w:rsidRDefault="00394621" w:rsidP="00394621">
            <w:pPr>
              <w:pStyle w:val="ListParagraph"/>
              <w:numPr>
                <w:ilvl w:val="0"/>
                <w:numId w:val="2"/>
              </w:numPr>
              <w:spacing w:before="120" w:after="120"/>
              <w:contextualSpacing w:val="0"/>
              <w:rPr>
                <w:rFonts w:ascii="Arial" w:eastAsiaTheme="minorEastAsia" w:hAnsi="Arial" w:cs="Arial"/>
              </w:rPr>
            </w:pPr>
            <w:r w:rsidRPr="4C8CDB69">
              <w:rPr>
                <w:rFonts w:ascii="Arial" w:eastAsiaTheme="minorEastAsia" w:hAnsi="Arial" w:cs="Arial"/>
                <w:b/>
                <w:bCs/>
              </w:rPr>
              <w:t>CS-004B</w:t>
            </w:r>
            <w:r w:rsidRPr="4C8CDB69">
              <w:rPr>
                <w:rFonts w:ascii="Arial" w:eastAsiaTheme="minorEastAsia" w:hAnsi="Arial" w:cs="Arial"/>
              </w:rPr>
              <w:t xml:space="preserve"> - Number to plan completion of the Annual Management Development</w:t>
            </w:r>
            <w:r w:rsidRPr="4EB1F007">
              <w:rPr>
                <w:rFonts w:ascii="Arial" w:eastAsiaTheme="minorEastAsia" w:hAnsi="Arial" w:cs="Arial"/>
              </w:rPr>
              <w:t xml:space="preserve"> Programme is on target at the end of Q</w:t>
            </w:r>
            <w:r>
              <w:rPr>
                <w:rFonts w:ascii="Arial" w:eastAsiaTheme="minorEastAsia" w:hAnsi="Arial" w:cs="Arial"/>
              </w:rPr>
              <w:t xml:space="preserve">uarter </w:t>
            </w:r>
            <w:r w:rsidRPr="4EB1F007">
              <w:rPr>
                <w:rFonts w:ascii="Arial" w:eastAsiaTheme="minorEastAsia" w:hAnsi="Arial" w:cs="Arial"/>
              </w:rPr>
              <w:t xml:space="preserve">1 </w:t>
            </w:r>
            <w:r w:rsidRPr="461D7B0F">
              <w:rPr>
                <w:rFonts w:ascii="Arial" w:eastAsiaTheme="minorEastAsia" w:hAnsi="Arial" w:cs="Arial"/>
              </w:rPr>
              <w:t>2024</w:t>
            </w:r>
            <w:r>
              <w:rPr>
                <w:rFonts w:ascii="Arial" w:eastAsiaTheme="minorEastAsia" w:hAnsi="Arial" w:cs="Arial"/>
              </w:rPr>
              <w:t>-</w:t>
            </w:r>
            <w:r w:rsidRPr="461D7B0F">
              <w:rPr>
                <w:rFonts w:ascii="Arial" w:eastAsiaTheme="minorEastAsia" w:hAnsi="Arial" w:cs="Arial"/>
              </w:rPr>
              <w:t>25</w:t>
            </w:r>
            <w:r w:rsidRPr="4EB1F007">
              <w:rPr>
                <w:rFonts w:ascii="Arial" w:eastAsiaTheme="minorEastAsia" w:hAnsi="Arial" w:cs="Arial"/>
              </w:rPr>
              <w:t xml:space="preserve"> with 57 </w:t>
            </w:r>
            <w:r w:rsidRPr="4599399B">
              <w:rPr>
                <w:rFonts w:ascii="Arial" w:eastAsiaTheme="minorEastAsia" w:hAnsi="Arial" w:cs="Arial"/>
              </w:rPr>
              <w:t xml:space="preserve">members of staff </w:t>
            </w:r>
            <w:r w:rsidRPr="0A2830F3">
              <w:rPr>
                <w:rFonts w:ascii="Arial" w:eastAsiaTheme="minorEastAsia" w:hAnsi="Arial" w:cs="Arial"/>
              </w:rPr>
              <w:t xml:space="preserve">having </w:t>
            </w:r>
            <w:r w:rsidRPr="24B54CC8">
              <w:rPr>
                <w:rFonts w:ascii="Arial" w:eastAsiaTheme="minorEastAsia" w:hAnsi="Arial" w:cs="Arial"/>
              </w:rPr>
              <w:t xml:space="preserve">completed or </w:t>
            </w:r>
            <w:r w:rsidRPr="359D851F">
              <w:rPr>
                <w:rFonts w:ascii="Arial" w:eastAsiaTheme="minorEastAsia" w:hAnsi="Arial" w:cs="Arial"/>
              </w:rPr>
              <w:t>undertaking the training this quarter.</w:t>
            </w:r>
            <w:r>
              <w:rPr>
                <w:rFonts w:ascii="Arial" w:eastAsiaTheme="minorEastAsia" w:hAnsi="Arial" w:cs="Arial"/>
              </w:rPr>
              <w:t xml:space="preserve"> The indicator is on track to meet the annual target of 124 members of staff.</w:t>
            </w:r>
          </w:p>
          <w:p w14:paraId="4E18587B" w14:textId="77777777" w:rsidR="00394621" w:rsidRPr="006E3B01" w:rsidRDefault="00394621" w:rsidP="00394621">
            <w:pPr>
              <w:pStyle w:val="ListParagraph"/>
              <w:numPr>
                <w:ilvl w:val="0"/>
                <w:numId w:val="2"/>
              </w:numPr>
              <w:spacing w:before="120" w:after="120"/>
              <w:contextualSpacing w:val="0"/>
              <w:rPr>
                <w:rFonts w:ascii="Arial" w:hAnsi="Arial" w:cs="Arial"/>
              </w:rPr>
            </w:pPr>
            <w:r w:rsidRPr="31A57CB5">
              <w:rPr>
                <w:rFonts w:ascii="Arial" w:eastAsiaTheme="minorEastAsia" w:hAnsi="Arial" w:cs="Arial"/>
                <w:b/>
              </w:rPr>
              <w:t>CS-005</w:t>
            </w:r>
            <w:r w:rsidRPr="31A57CB5">
              <w:rPr>
                <w:rFonts w:ascii="Arial" w:eastAsiaTheme="minorEastAsia" w:hAnsi="Arial" w:cs="Arial"/>
              </w:rPr>
              <w:t xml:space="preserve"> </w:t>
            </w:r>
            <w:r>
              <w:rPr>
                <w:rFonts w:ascii="Arial" w:eastAsiaTheme="minorEastAsia" w:hAnsi="Arial" w:cs="Arial"/>
              </w:rPr>
              <w:t>–</w:t>
            </w:r>
            <w:r w:rsidRPr="31A57CB5">
              <w:rPr>
                <w:rFonts w:ascii="Arial" w:eastAsiaTheme="minorEastAsia" w:hAnsi="Arial" w:cs="Arial"/>
              </w:rPr>
              <w:t xml:space="preserve"> </w:t>
            </w:r>
            <w:r>
              <w:rPr>
                <w:rFonts w:ascii="Arial" w:eastAsiaTheme="minorEastAsia" w:hAnsi="Arial" w:cs="Arial"/>
              </w:rPr>
              <w:t xml:space="preserve">Over the course of Quarter 1 2024-25, </w:t>
            </w:r>
            <w:r w:rsidRPr="31A57CB5">
              <w:rPr>
                <w:rFonts w:ascii="Arial" w:eastAsiaTheme="minorEastAsia" w:hAnsi="Arial" w:cs="Arial"/>
              </w:rPr>
              <w:t>96% of all training delivered to staff during Quarter 2024-25 was deemed to be above ‘Satisfactory’ by attendees, up from 84% in Quarter 1 2023-24.</w:t>
            </w:r>
            <w:r w:rsidRPr="22DFDC8A">
              <w:rPr>
                <w:rFonts w:ascii="Arial" w:eastAsiaTheme="minorEastAsia" w:hAnsi="Arial" w:cs="Arial"/>
              </w:rPr>
              <w:t xml:space="preserve"> Current feedback data indicates that 21.99% </w:t>
            </w:r>
            <w:r>
              <w:rPr>
                <w:rFonts w:ascii="Arial" w:eastAsiaTheme="minorEastAsia" w:hAnsi="Arial" w:cs="Arial"/>
              </w:rPr>
              <w:t xml:space="preserve">of respondents </w:t>
            </w:r>
            <w:r w:rsidRPr="22DFDC8A">
              <w:rPr>
                <w:rFonts w:ascii="Arial" w:eastAsiaTheme="minorEastAsia" w:hAnsi="Arial" w:cs="Arial"/>
              </w:rPr>
              <w:t xml:space="preserve">rate the training completed as Good, 43.98% rate it </w:t>
            </w:r>
            <w:r>
              <w:rPr>
                <w:rFonts w:ascii="Arial" w:eastAsiaTheme="minorEastAsia" w:hAnsi="Arial" w:cs="Arial"/>
              </w:rPr>
              <w:t>as</w:t>
            </w:r>
            <w:r w:rsidRPr="22DFDC8A">
              <w:rPr>
                <w:rFonts w:ascii="Arial" w:eastAsiaTheme="minorEastAsia" w:hAnsi="Arial" w:cs="Arial"/>
              </w:rPr>
              <w:t xml:space="preserve"> very good and 29.88% rate it as Excellent </w:t>
            </w:r>
            <w:r w:rsidRPr="302459F6">
              <w:rPr>
                <w:rFonts w:ascii="Arial" w:eastAsiaTheme="minorEastAsia" w:hAnsi="Arial" w:cs="Arial"/>
              </w:rPr>
              <w:t xml:space="preserve">leading to </w:t>
            </w:r>
            <w:r w:rsidRPr="22DFDC8A">
              <w:rPr>
                <w:rFonts w:ascii="Arial" w:eastAsiaTheme="minorEastAsia" w:hAnsi="Arial" w:cs="Arial"/>
              </w:rPr>
              <w:t>an overall average of 95.85% for this quarter</w:t>
            </w:r>
            <w:r>
              <w:rPr>
                <w:rFonts w:ascii="Arial" w:eastAsiaTheme="minorEastAsia" w:hAnsi="Arial" w:cs="Arial"/>
              </w:rPr>
              <w:t>. Performance is</w:t>
            </w:r>
            <w:r w:rsidRPr="22DFDC8A">
              <w:rPr>
                <w:rFonts w:ascii="Arial" w:eastAsiaTheme="minorEastAsia" w:hAnsi="Arial" w:cs="Arial"/>
              </w:rPr>
              <w:t xml:space="preserve"> higher than the target of 90%.</w:t>
            </w:r>
          </w:p>
          <w:p w14:paraId="43D3EA33" w14:textId="2138F8EE" w:rsidR="00732EE8" w:rsidRPr="00394621" w:rsidRDefault="00394621" w:rsidP="00394621">
            <w:pPr>
              <w:pStyle w:val="ListParagraph"/>
              <w:numPr>
                <w:ilvl w:val="0"/>
                <w:numId w:val="2"/>
              </w:numPr>
              <w:spacing w:before="120" w:after="120"/>
              <w:contextualSpacing w:val="0"/>
              <w:rPr>
                <w:rFonts w:ascii="Arial" w:hAnsi="Arial" w:cs="Arial"/>
              </w:rPr>
            </w:pPr>
            <w:r w:rsidRPr="64758A53">
              <w:rPr>
                <w:rFonts w:ascii="Arial" w:eastAsiaTheme="minorEastAsia" w:hAnsi="Arial" w:cs="Arial"/>
                <w:b/>
              </w:rPr>
              <w:t>CS-006</w:t>
            </w:r>
            <w:r w:rsidRPr="64758A53">
              <w:rPr>
                <w:rFonts w:ascii="Arial" w:eastAsiaTheme="minorEastAsia" w:hAnsi="Arial" w:cs="Arial"/>
              </w:rPr>
              <w:t xml:space="preserve"> - </w:t>
            </w:r>
            <w:r w:rsidRPr="64758A53">
              <w:rPr>
                <w:rFonts w:ascii="Arial" w:hAnsi="Arial" w:cs="Arial"/>
              </w:rPr>
              <w:t xml:space="preserve">The indicator measuring the number of apprenticeships commenced in year is below </w:t>
            </w:r>
            <w:r>
              <w:rPr>
                <w:rFonts w:ascii="Arial" w:hAnsi="Arial" w:cs="Arial"/>
              </w:rPr>
              <w:t xml:space="preserve">the </w:t>
            </w:r>
            <w:r w:rsidRPr="64758A53">
              <w:rPr>
                <w:rFonts w:ascii="Arial" w:hAnsi="Arial" w:cs="Arial"/>
              </w:rPr>
              <w:t>Q</w:t>
            </w:r>
            <w:r>
              <w:rPr>
                <w:rFonts w:ascii="Arial" w:hAnsi="Arial" w:cs="Arial"/>
              </w:rPr>
              <w:t xml:space="preserve">uarter </w:t>
            </w:r>
            <w:r w:rsidRPr="64758A53">
              <w:rPr>
                <w:rFonts w:ascii="Arial" w:hAnsi="Arial" w:cs="Arial"/>
              </w:rPr>
              <w:t xml:space="preserve">1 2024-25 target, showing 0.16% of the total workforce having commenced an apprenticeship against a </w:t>
            </w:r>
            <w:r w:rsidR="007F4936">
              <w:rPr>
                <w:rFonts w:ascii="Arial" w:hAnsi="Arial" w:cs="Arial"/>
              </w:rPr>
              <w:t xml:space="preserve">Quarter 1 </w:t>
            </w:r>
            <w:r w:rsidRPr="64758A53">
              <w:rPr>
                <w:rFonts w:ascii="Arial" w:hAnsi="Arial" w:cs="Arial"/>
              </w:rPr>
              <w:t>target of 0.475%.</w:t>
            </w:r>
          </w:p>
        </w:tc>
      </w:tr>
      <w:tr w:rsidR="00970157" w14:paraId="2BAEFCA4" w14:textId="77777777" w:rsidTr="3B4CB9FD">
        <w:trPr>
          <w:trHeight w:val="435"/>
        </w:trPr>
        <w:tc>
          <w:tcPr>
            <w:tcW w:w="15388" w:type="dxa"/>
            <w:gridSpan w:val="2"/>
            <w:shd w:val="clear" w:color="auto" w:fill="C85348"/>
          </w:tcPr>
          <w:p w14:paraId="493FB27B" w14:textId="77777777" w:rsidR="00B0379D" w:rsidRPr="00C02D8D" w:rsidRDefault="00E75E6D" w:rsidP="00B0379D">
            <w:pPr>
              <w:spacing w:after="120"/>
              <w:jc w:val="both"/>
              <w:rPr>
                <w:rFonts w:ascii="Arial" w:hAnsi="Arial" w:cs="Arial"/>
                <w:color w:val="000000" w:themeColor="text1"/>
              </w:rPr>
            </w:pPr>
            <w:r w:rsidRPr="00896DF5">
              <w:rPr>
                <w:rFonts w:ascii="Arial" w:hAnsi="Arial" w:cs="Arial"/>
                <w:b/>
                <w:bCs/>
                <w:color w:val="FFFFFF" w:themeColor="background1"/>
              </w:rPr>
              <w:t>Action for Improvement</w:t>
            </w:r>
          </w:p>
        </w:tc>
      </w:tr>
      <w:tr w:rsidR="00970157" w14:paraId="536E426E" w14:textId="77777777" w:rsidTr="3B4CB9FD">
        <w:tc>
          <w:tcPr>
            <w:tcW w:w="15388" w:type="dxa"/>
            <w:gridSpan w:val="2"/>
          </w:tcPr>
          <w:p w14:paraId="42A7DBCB" w14:textId="77777777" w:rsidR="00375552" w:rsidRPr="00AA5342" w:rsidRDefault="00375552" w:rsidP="00375552">
            <w:pPr>
              <w:pStyle w:val="ListParagraph"/>
              <w:spacing w:after="120"/>
              <w:ind w:left="714"/>
              <w:jc w:val="both"/>
              <w:rPr>
                <w:rFonts w:ascii="Arial" w:hAnsi="Arial" w:cs="Arial"/>
              </w:rPr>
            </w:pPr>
          </w:p>
          <w:p w14:paraId="04D711DF" w14:textId="3C9F2519" w:rsidR="00DB43B2" w:rsidRPr="0007215A" w:rsidRDefault="00DB43B2" w:rsidP="3B4CB9FD">
            <w:pPr>
              <w:pStyle w:val="ListParagraph"/>
              <w:numPr>
                <w:ilvl w:val="0"/>
                <w:numId w:val="33"/>
              </w:numPr>
              <w:spacing w:after="120"/>
              <w:jc w:val="both"/>
              <w:rPr>
                <w:rFonts w:ascii="Arial" w:hAnsi="Arial" w:cs="Arial"/>
                <w:sz w:val="20"/>
                <w:szCs w:val="20"/>
              </w:rPr>
            </w:pPr>
            <w:r w:rsidRPr="00DB43B2">
              <w:rPr>
                <w:rFonts w:ascii="Arial" w:hAnsi="Arial" w:cs="Arial"/>
                <w:b/>
                <w:bCs/>
                <w:sz w:val="20"/>
                <w:szCs w:val="20"/>
              </w:rPr>
              <w:t>CS-003</w:t>
            </w:r>
            <w:r>
              <w:rPr>
                <w:rFonts w:ascii="Arial" w:hAnsi="Arial" w:cs="Arial"/>
                <w:sz w:val="20"/>
                <w:szCs w:val="20"/>
              </w:rPr>
              <w:t xml:space="preserve"> - </w:t>
            </w:r>
            <w:r w:rsidR="003E5AEB" w:rsidRPr="285D7B4B">
              <w:rPr>
                <w:rFonts w:ascii="Arial" w:eastAsiaTheme="minorEastAsia" w:hAnsi="Arial" w:cs="Arial"/>
              </w:rPr>
              <w:t>The percentage of staff completing mandatory core-E Learning</w:t>
            </w:r>
            <w:r w:rsidR="00761F46">
              <w:rPr>
                <w:rFonts w:ascii="Arial" w:eastAsiaTheme="minorEastAsia" w:hAnsi="Arial" w:cs="Arial"/>
              </w:rPr>
              <w:t xml:space="preserve"> is slightly below target at the end of Quarter 1. Further communication and reminders to staff and </w:t>
            </w:r>
            <w:r w:rsidR="00727728">
              <w:rPr>
                <w:rFonts w:ascii="Arial" w:eastAsiaTheme="minorEastAsia" w:hAnsi="Arial" w:cs="Arial"/>
              </w:rPr>
              <w:t>council wide management teams will be issued over the course of the year to ensure the year</w:t>
            </w:r>
            <w:r w:rsidR="5E184BC2" w:rsidRPr="4CBE3EC7">
              <w:rPr>
                <w:rFonts w:ascii="Arial" w:eastAsiaTheme="minorEastAsia" w:hAnsi="Arial" w:cs="Arial"/>
              </w:rPr>
              <w:t>-</w:t>
            </w:r>
            <w:r w:rsidR="00727728">
              <w:rPr>
                <w:rFonts w:ascii="Arial" w:eastAsiaTheme="minorEastAsia" w:hAnsi="Arial" w:cs="Arial"/>
              </w:rPr>
              <w:t xml:space="preserve">end target is met. </w:t>
            </w:r>
          </w:p>
          <w:p w14:paraId="1D90D698" w14:textId="77777777" w:rsidR="0007215A" w:rsidRPr="00DB43B2" w:rsidRDefault="0007215A" w:rsidP="0007215A">
            <w:pPr>
              <w:pStyle w:val="ListParagraph"/>
              <w:spacing w:after="120"/>
              <w:jc w:val="both"/>
              <w:rPr>
                <w:rFonts w:ascii="Arial" w:hAnsi="Arial" w:cs="Arial"/>
                <w:sz w:val="20"/>
                <w:szCs w:val="20"/>
              </w:rPr>
            </w:pPr>
          </w:p>
          <w:p w14:paraId="504DCAEA" w14:textId="456E42A1" w:rsidR="00E96EEE" w:rsidRPr="009A78C0" w:rsidRDefault="008857BE" w:rsidP="009A78C0">
            <w:pPr>
              <w:pStyle w:val="ListParagraph"/>
              <w:numPr>
                <w:ilvl w:val="0"/>
                <w:numId w:val="33"/>
              </w:numPr>
              <w:spacing w:after="120"/>
              <w:jc w:val="both"/>
              <w:rPr>
                <w:rFonts w:ascii="Arial" w:hAnsi="Arial" w:cs="Arial"/>
                <w:sz w:val="20"/>
                <w:szCs w:val="20"/>
              </w:rPr>
            </w:pPr>
            <w:r>
              <w:rPr>
                <w:rFonts w:ascii="Arial" w:hAnsi="Arial" w:cs="Arial"/>
                <w:b/>
                <w:bCs/>
              </w:rPr>
              <w:t>CS-0</w:t>
            </w:r>
            <w:r w:rsidR="00867E34">
              <w:rPr>
                <w:rFonts w:ascii="Arial" w:hAnsi="Arial" w:cs="Arial"/>
                <w:b/>
                <w:bCs/>
              </w:rPr>
              <w:t>0</w:t>
            </w:r>
            <w:r>
              <w:rPr>
                <w:rFonts w:ascii="Arial" w:hAnsi="Arial" w:cs="Arial"/>
                <w:b/>
                <w:bCs/>
              </w:rPr>
              <w:t>6 -</w:t>
            </w:r>
            <w:r w:rsidR="003E5AEB">
              <w:rPr>
                <w:rFonts w:ascii="Arial" w:hAnsi="Arial" w:cs="Arial"/>
                <w:b/>
                <w:bCs/>
              </w:rPr>
              <w:t xml:space="preserve"> </w:t>
            </w:r>
            <w:r w:rsidR="007F4936" w:rsidRPr="0007215A">
              <w:rPr>
                <w:rFonts w:ascii="Arial" w:hAnsi="Arial" w:cs="Arial"/>
              </w:rPr>
              <w:t xml:space="preserve">Following on from the sudden closure of St Helens Chamber and Asset Training, a significant piece of work of trying to find and work with alternative training providers who would be willing and able to take on our displaced apprentices has been ongoing and given priority </w:t>
            </w:r>
            <w:r w:rsidR="0007215A" w:rsidRPr="0007215A">
              <w:rPr>
                <w:rFonts w:ascii="Arial" w:hAnsi="Arial" w:cs="Arial"/>
              </w:rPr>
              <w:t>over the course of Quarter 1</w:t>
            </w:r>
            <w:r w:rsidR="007F4936" w:rsidRPr="0007215A">
              <w:rPr>
                <w:rFonts w:ascii="Arial" w:hAnsi="Arial" w:cs="Arial"/>
              </w:rPr>
              <w:t>. The apprenticeship strategy will help us to work towards our targets and generate interest and uptake of more apprenticeships going forward.</w:t>
            </w:r>
          </w:p>
        </w:tc>
      </w:tr>
    </w:tbl>
    <w:p w14:paraId="034F9408" w14:textId="77777777" w:rsidR="00DA507C" w:rsidRDefault="00DA507C" w:rsidP="00B0379D">
      <w:pPr>
        <w:pStyle w:val="ListBullet"/>
        <w:numPr>
          <w:ilvl w:val="0"/>
          <w:numId w:val="0"/>
        </w:numPr>
        <w:spacing w:after="120" w:line="240" w:lineRule="auto"/>
        <w:jc w:val="both"/>
        <w:rPr>
          <w:rStyle w:val="normaltextrun"/>
          <w:rFonts w:ascii="Arial" w:hAnsi="Arial" w:cs="Arial"/>
          <w:b/>
          <w:bCs/>
          <w:color w:val="C85348"/>
          <w:sz w:val="32"/>
          <w:szCs w:val="32"/>
        </w:rPr>
      </w:pPr>
    </w:p>
    <w:p w14:paraId="5BC9B7A7" w14:textId="04893A2F" w:rsidR="00B0379D" w:rsidRPr="00B65358" w:rsidRDefault="00E75E6D" w:rsidP="00B0379D">
      <w:pPr>
        <w:pStyle w:val="ListBullet"/>
        <w:numPr>
          <w:ilvl w:val="0"/>
          <w:numId w:val="0"/>
        </w:numPr>
        <w:spacing w:after="120" w:line="240" w:lineRule="auto"/>
        <w:jc w:val="both"/>
        <w:rPr>
          <w:rStyle w:val="normaltextrun"/>
          <w:rFonts w:ascii="Arial" w:hAnsi="Arial" w:cs="Arial"/>
          <w:b/>
          <w:bCs/>
          <w:color w:val="C85348"/>
          <w:sz w:val="32"/>
          <w:szCs w:val="32"/>
        </w:rPr>
      </w:pPr>
      <w:r w:rsidRPr="4276CE28">
        <w:rPr>
          <w:rStyle w:val="normaltextrun"/>
          <w:rFonts w:ascii="Arial" w:hAnsi="Arial" w:cs="Arial"/>
          <w:b/>
          <w:bCs/>
          <w:color w:val="C85348"/>
          <w:sz w:val="32"/>
          <w:szCs w:val="32"/>
        </w:rPr>
        <w:t>Outcome - Embrace innovative ways of working to improve service delivery and the operations of the council</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ook w:val="04A0" w:firstRow="1" w:lastRow="0" w:firstColumn="1" w:lastColumn="0" w:noHBand="0" w:noVBand="1"/>
      </w:tblPr>
      <w:tblGrid>
        <w:gridCol w:w="8359"/>
        <w:gridCol w:w="7029"/>
      </w:tblGrid>
      <w:tr w:rsidR="00970157" w14:paraId="62C7EDDB" w14:textId="77777777" w:rsidTr="00B8AFBC">
        <w:tc>
          <w:tcPr>
            <w:tcW w:w="8359" w:type="dxa"/>
            <w:shd w:val="clear" w:color="auto" w:fill="C85348"/>
          </w:tcPr>
          <w:p w14:paraId="64976AA4" w14:textId="77777777" w:rsidR="00B0379D" w:rsidRDefault="00E75E6D" w:rsidP="00B0379D">
            <w:pPr>
              <w:spacing w:after="120"/>
              <w:jc w:val="both"/>
              <w:rPr>
                <w:rFonts w:ascii="Arial" w:hAnsi="Arial" w:cs="Arial"/>
                <w:b/>
                <w:bCs/>
                <w:color w:val="FFFFFF" w:themeColor="background1"/>
              </w:rPr>
            </w:pPr>
            <w:r w:rsidRPr="4276CE28">
              <w:rPr>
                <w:rFonts w:ascii="Arial" w:hAnsi="Arial" w:cs="Arial"/>
                <w:b/>
                <w:bCs/>
                <w:color w:val="FFFFFF" w:themeColor="background1"/>
              </w:rPr>
              <w:t>Current Performance</w:t>
            </w:r>
          </w:p>
        </w:tc>
        <w:tc>
          <w:tcPr>
            <w:tcW w:w="7029" w:type="dxa"/>
            <w:shd w:val="clear" w:color="auto" w:fill="C85348"/>
          </w:tcPr>
          <w:p w14:paraId="1FE301C7" w14:textId="77777777" w:rsidR="00B0379D" w:rsidRDefault="00B0379D" w:rsidP="00B0379D">
            <w:pPr>
              <w:spacing w:after="120"/>
              <w:jc w:val="both"/>
              <w:rPr>
                <w:rFonts w:ascii="Arial" w:hAnsi="Arial" w:cs="Arial"/>
                <w:b/>
                <w:bCs/>
                <w:color w:val="FFFFFF" w:themeColor="background1"/>
              </w:rPr>
            </w:pPr>
          </w:p>
        </w:tc>
      </w:tr>
      <w:tr w:rsidR="00970157" w14:paraId="41E1425E" w14:textId="77777777" w:rsidTr="00B8AFBC">
        <w:tc>
          <w:tcPr>
            <w:tcW w:w="15388" w:type="dxa"/>
            <w:gridSpan w:val="2"/>
          </w:tcPr>
          <w:p w14:paraId="5B7BC1F6" w14:textId="77777777" w:rsidR="00093946" w:rsidRPr="00D514EE" w:rsidRDefault="00093946" w:rsidP="00093946">
            <w:pPr>
              <w:pStyle w:val="ListParagraph"/>
              <w:numPr>
                <w:ilvl w:val="0"/>
                <w:numId w:val="24"/>
              </w:numPr>
              <w:spacing w:before="120" w:after="120"/>
              <w:ind w:left="731" w:hanging="425"/>
              <w:contextualSpacing w:val="0"/>
              <w:jc w:val="both"/>
              <w:rPr>
                <w:rFonts w:ascii="Arial" w:eastAsiaTheme="minorEastAsia" w:hAnsi="Arial" w:cs="Arial"/>
                <w:color w:val="000000" w:themeColor="text1"/>
              </w:rPr>
            </w:pPr>
            <w:r w:rsidRPr="00FA39E8">
              <w:rPr>
                <w:rFonts w:ascii="Arial" w:eastAsiaTheme="minorEastAsia" w:hAnsi="Arial" w:cs="Arial"/>
                <w:b/>
              </w:rPr>
              <w:t>CS-008, CS-009</w:t>
            </w:r>
            <w:r w:rsidRPr="00FA39E8">
              <w:rPr>
                <w:rFonts w:ascii="Arial" w:eastAsiaTheme="minorEastAsia" w:hAnsi="Arial" w:cs="Arial"/>
                <w:b/>
                <w:bCs/>
              </w:rPr>
              <w:t>, CS-010</w:t>
            </w:r>
            <w:r w:rsidRPr="00FA39E8">
              <w:rPr>
                <w:rFonts w:ascii="Arial" w:eastAsiaTheme="minorEastAsia" w:hAnsi="Arial" w:cs="Arial"/>
              </w:rPr>
              <w:t xml:space="preserve"> - </w:t>
            </w:r>
            <w:r w:rsidRPr="008034F7">
              <w:rPr>
                <w:rFonts w:ascii="Arial" w:eastAsiaTheme="minorEastAsia" w:hAnsi="Arial" w:cs="Arial"/>
              </w:rPr>
              <w:t xml:space="preserve">There has been a substantial improvement in satisfaction levels across various service areas, shown in both the Customer Effort and Customer Satisfaction scores. This outcome has been attributed to our enhanced reporting system and increased operational ownership. Moreover, the implementation of cross-functional working groups in key areas has proven to be highly beneficial. The average </w:t>
            </w:r>
            <w:r w:rsidRPr="008034F7">
              <w:rPr>
                <w:rFonts w:ascii="Arial" w:hAnsi="Arial" w:cs="Arial"/>
              </w:rPr>
              <w:t xml:space="preserve">Customer Effort Score, which is a customer rating on how easy the Council made it to resolve the customers issue was 4.1 for the quarter, above the target of 3.6. The Customer Satisfaction Score, which is the customer rating on satisfaction with contact with the Council was 4.2 for the Quarter again above the target </w:t>
            </w:r>
            <w:r w:rsidRPr="00D514EE">
              <w:rPr>
                <w:rFonts w:ascii="Arial" w:hAnsi="Arial" w:cs="Arial"/>
                <w:color w:val="000000" w:themeColor="text1"/>
              </w:rPr>
              <w:t xml:space="preserve">of 3.6. The percentage of Customers that had their call answered within the promised timeframe was 75.4%, against a target of 75% and therefore in line with expectations. Quarter 1 performance was based </w:t>
            </w:r>
            <w:r w:rsidRPr="00D514EE">
              <w:rPr>
                <w:rFonts w:ascii="Arial" w:hAnsi="Arial" w:cs="Arial"/>
                <w:color w:val="000000" w:themeColor="text1"/>
                <w:shd w:val="clear" w:color="auto" w:fill="FFFFFF"/>
              </w:rPr>
              <w:t>on a total of 52, 573 calls within Quarter 1. </w:t>
            </w:r>
          </w:p>
          <w:p w14:paraId="2AFCDE1A" w14:textId="04EFB992" w:rsidR="00DF3DE7" w:rsidRPr="00093946" w:rsidRDefault="00093946" w:rsidP="00093946">
            <w:pPr>
              <w:pStyle w:val="ListParagraph"/>
              <w:numPr>
                <w:ilvl w:val="0"/>
                <w:numId w:val="24"/>
              </w:numPr>
              <w:spacing w:before="120" w:after="120"/>
              <w:ind w:left="731" w:hanging="425"/>
              <w:contextualSpacing w:val="0"/>
              <w:jc w:val="both"/>
              <w:rPr>
                <w:rFonts w:ascii="Arial" w:eastAsiaTheme="minorEastAsia" w:hAnsi="Arial" w:cs="Arial"/>
              </w:rPr>
            </w:pPr>
            <w:r w:rsidRPr="00D514EE">
              <w:rPr>
                <w:rFonts w:ascii="Arial" w:hAnsi="Arial" w:cs="Arial"/>
                <w:b/>
                <w:bCs/>
                <w:color w:val="000000" w:themeColor="text1"/>
              </w:rPr>
              <w:t>CS-007</w:t>
            </w:r>
            <w:r w:rsidRPr="00D514EE">
              <w:rPr>
                <w:rFonts w:ascii="Arial" w:hAnsi="Arial" w:cs="Arial"/>
                <w:color w:val="000000" w:themeColor="text1"/>
              </w:rPr>
              <w:t xml:space="preserve"> </w:t>
            </w:r>
            <w:r w:rsidR="00997251" w:rsidRPr="00D514EE">
              <w:rPr>
                <w:rFonts w:ascii="Arial" w:hAnsi="Arial" w:cs="Arial"/>
                <w:color w:val="000000" w:themeColor="text1"/>
              </w:rPr>
              <w:t>–</w:t>
            </w:r>
            <w:r w:rsidRPr="00D514EE">
              <w:rPr>
                <w:rFonts w:ascii="Arial" w:hAnsi="Arial" w:cs="Arial"/>
                <w:color w:val="000000" w:themeColor="text1"/>
              </w:rPr>
              <w:t xml:space="preserve"> </w:t>
            </w:r>
            <w:r w:rsidR="00997251" w:rsidRPr="00D514EE">
              <w:rPr>
                <w:rFonts w:ascii="Arial" w:hAnsi="Arial" w:cs="Arial"/>
                <w:color w:val="000000" w:themeColor="text1"/>
              </w:rPr>
              <w:t xml:space="preserve">The PI relates to the </w:t>
            </w:r>
            <w:r w:rsidR="00D514EE" w:rsidRPr="00D514EE">
              <w:rPr>
                <w:rFonts w:ascii="Arial" w:hAnsi="Arial" w:cs="Arial"/>
                <w:color w:val="000000" w:themeColor="text1"/>
              </w:rPr>
              <w:t xml:space="preserve">12 programmes within the </w:t>
            </w:r>
            <w:r w:rsidR="002E6186">
              <w:rPr>
                <w:rFonts w:ascii="Arial" w:hAnsi="Arial" w:cs="Arial"/>
                <w:color w:val="000000" w:themeColor="text1"/>
              </w:rPr>
              <w:t>Strategic Change Portfolio. Of the 12 programmes, n</w:t>
            </w:r>
            <w:r w:rsidR="00997251" w:rsidRPr="00D514EE">
              <w:rPr>
                <w:rFonts w:ascii="Arial" w:hAnsi="Arial" w:cs="Arial"/>
                <w:color w:val="000000" w:themeColor="text1"/>
              </w:rPr>
              <w:t xml:space="preserve">ine programmes are </w:t>
            </w:r>
            <w:r w:rsidR="002E6186">
              <w:rPr>
                <w:rFonts w:ascii="Arial" w:hAnsi="Arial" w:cs="Arial"/>
                <w:color w:val="000000" w:themeColor="text1"/>
              </w:rPr>
              <w:t xml:space="preserve">currently </w:t>
            </w:r>
            <w:r w:rsidR="0008336F">
              <w:rPr>
                <w:rFonts w:ascii="Arial" w:hAnsi="Arial" w:cs="Arial"/>
                <w:color w:val="000000" w:themeColor="text1"/>
              </w:rPr>
              <w:t xml:space="preserve">on </w:t>
            </w:r>
            <w:r w:rsidR="00997251" w:rsidRPr="00D514EE">
              <w:rPr>
                <w:rFonts w:ascii="Arial" w:hAnsi="Arial" w:cs="Arial"/>
                <w:color w:val="000000" w:themeColor="text1"/>
              </w:rPr>
              <w:t>track to be delivered within timescale</w:t>
            </w:r>
            <w:r w:rsidR="0008336F">
              <w:rPr>
                <w:rFonts w:ascii="Arial" w:hAnsi="Arial" w:cs="Arial"/>
                <w:color w:val="000000" w:themeColor="text1"/>
              </w:rPr>
              <w:t xml:space="preserve">. These are the </w:t>
            </w:r>
            <w:r w:rsidR="00997251" w:rsidRPr="00D514EE">
              <w:rPr>
                <w:rFonts w:ascii="Arial" w:hAnsi="Arial" w:cs="Arial"/>
                <w:color w:val="000000" w:themeColor="text1"/>
              </w:rPr>
              <w:t>Digital Transformation, People Management, Commissioning Review, Commercial, Finance, Customer Experience, SEND Transport, Leisure Transformation and Adults Social Care Transformation</w:t>
            </w:r>
            <w:r w:rsidR="0008336F">
              <w:rPr>
                <w:rFonts w:ascii="Arial" w:hAnsi="Arial" w:cs="Arial"/>
                <w:color w:val="000000" w:themeColor="text1"/>
              </w:rPr>
              <w:t xml:space="preserve"> programmes</w:t>
            </w:r>
            <w:r w:rsidR="00997251" w:rsidRPr="00D514EE">
              <w:rPr>
                <w:rFonts w:ascii="Arial" w:hAnsi="Arial" w:cs="Arial"/>
                <w:color w:val="000000" w:themeColor="text1"/>
              </w:rPr>
              <w:t>. Three programmes are potentially off track to be delivered within timescale</w:t>
            </w:r>
            <w:r w:rsidR="00D514EE" w:rsidRPr="00D514EE">
              <w:rPr>
                <w:rFonts w:ascii="Arial" w:hAnsi="Arial" w:cs="Arial"/>
                <w:color w:val="000000" w:themeColor="text1"/>
              </w:rPr>
              <w:t>.</w:t>
            </w:r>
            <w:r w:rsidR="0008336F">
              <w:rPr>
                <w:rFonts w:ascii="Arial" w:hAnsi="Arial" w:cs="Arial"/>
                <w:color w:val="000000" w:themeColor="text1"/>
              </w:rPr>
              <w:t xml:space="preserve"> </w:t>
            </w:r>
            <w:r w:rsidR="00D514EE" w:rsidRPr="00D514EE">
              <w:rPr>
                <w:rFonts w:ascii="Arial" w:hAnsi="Arial" w:cs="Arial"/>
                <w:color w:val="000000" w:themeColor="text1"/>
              </w:rPr>
              <w:t xml:space="preserve">These are the </w:t>
            </w:r>
            <w:r w:rsidR="00997251" w:rsidRPr="00D514EE">
              <w:rPr>
                <w:rFonts w:ascii="Arial" w:hAnsi="Arial" w:cs="Arial"/>
                <w:color w:val="000000" w:themeColor="text1"/>
              </w:rPr>
              <w:t xml:space="preserve">Children’s Residential, Supporting People Contracts Review, </w:t>
            </w:r>
            <w:r w:rsidR="00D514EE" w:rsidRPr="00D514EE">
              <w:rPr>
                <w:rFonts w:ascii="Arial" w:hAnsi="Arial" w:cs="Arial"/>
                <w:color w:val="000000" w:themeColor="text1"/>
              </w:rPr>
              <w:t xml:space="preserve">and </w:t>
            </w:r>
            <w:r w:rsidR="00997251" w:rsidRPr="00D514EE">
              <w:rPr>
                <w:rFonts w:ascii="Arial" w:hAnsi="Arial" w:cs="Arial"/>
                <w:color w:val="000000" w:themeColor="text1"/>
              </w:rPr>
              <w:t>Localities</w:t>
            </w:r>
            <w:r w:rsidR="00D514EE" w:rsidRPr="00D514EE">
              <w:rPr>
                <w:rFonts w:ascii="Arial" w:hAnsi="Arial" w:cs="Arial"/>
                <w:color w:val="000000" w:themeColor="text1"/>
              </w:rPr>
              <w:t xml:space="preserve"> programmes</w:t>
            </w:r>
            <w:r w:rsidR="00997251" w:rsidRPr="00D514EE">
              <w:rPr>
                <w:rFonts w:ascii="Arial" w:hAnsi="Arial" w:cs="Arial"/>
                <w:color w:val="000000" w:themeColor="text1"/>
              </w:rPr>
              <w:t>.</w:t>
            </w:r>
            <w:r w:rsidR="00997251" w:rsidRPr="00D514EE">
              <w:rPr>
                <w:color w:val="000000" w:themeColor="text1"/>
              </w:rPr>
              <w:t xml:space="preserve"> </w:t>
            </w:r>
          </w:p>
        </w:tc>
      </w:tr>
      <w:tr w:rsidR="00970157" w14:paraId="39DE3724" w14:textId="77777777" w:rsidTr="00B8AFBC">
        <w:tc>
          <w:tcPr>
            <w:tcW w:w="15388" w:type="dxa"/>
            <w:gridSpan w:val="2"/>
            <w:shd w:val="clear" w:color="auto" w:fill="C85348"/>
          </w:tcPr>
          <w:p w14:paraId="79BBEF74" w14:textId="77777777" w:rsidR="00B0379D" w:rsidRDefault="00E75E6D" w:rsidP="00B0379D">
            <w:pPr>
              <w:spacing w:after="120"/>
              <w:jc w:val="both"/>
              <w:rPr>
                <w:rFonts w:ascii="Arial" w:hAnsi="Arial" w:cs="Arial"/>
                <w:color w:val="000000" w:themeColor="text1"/>
              </w:rPr>
            </w:pPr>
            <w:r w:rsidRPr="4276CE28">
              <w:rPr>
                <w:rFonts w:ascii="Arial" w:hAnsi="Arial" w:cs="Arial"/>
                <w:b/>
                <w:bCs/>
                <w:color w:val="FFFFFF" w:themeColor="background1"/>
              </w:rPr>
              <w:t>Action for Improvement</w:t>
            </w:r>
          </w:p>
        </w:tc>
      </w:tr>
      <w:tr w:rsidR="00970157" w14:paraId="7F94C499" w14:textId="77777777" w:rsidTr="00B8AFBC">
        <w:tc>
          <w:tcPr>
            <w:tcW w:w="15388" w:type="dxa"/>
            <w:gridSpan w:val="2"/>
          </w:tcPr>
          <w:p w14:paraId="6626F513" w14:textId="14678347" w:rsidR="00B0379D" w:rsidRPr="00783E5E" w:rsidRDefault="00615870" w:rsidP="001A5B93">
            <w:pPr>
              <w:pStyle w:val="ListParagraph"/>
              <w:numPr>
                <w:ilvl w:val="0"/>
                <w:numId w:val="37"/>
              </w:numPr>
              <w:shd w:val="clear" w:color="auto" w:fill="FFFFFF"/>
              <w:spacing w:before="80" w:after="120"/>
              <w:ind w:left="735" w:hanging="423"/>
              <w:contextualSpacing w:val="0"/>
              <w:textAlignment w:val="baseline"/>
              <w:rPr>
                <w:rFonts w:ascii="Arial" w:eastAsia="Times New Roman" w:hAnsi="Arial" w:cs="Arial"/>
                <w:color w:val="000000" w:themeColor="text1"/>
                <w:lang w:eastAsia="en-GB"/>
              </w:rPr>
            </w:pPr>
            <w:r w:rsidRPr="00D514EE">
              <w:rPr>
                <w:rFonts w:ascii="Arial" w:hAnsi="Arial" w:cs="Arial"/>
                <w:b/>
                <w:bCs/>
                <w:color w:val="000000" w:themeColor="text1"/>
              </w:rPr>
              <w:t>CS-007</w:t>
            </w:r>
            <w:r w:rsidR="001C0176">
              <w:rPr>
                <w:rFonts w:ascii="Arial" w:hAnsi="Arial" w:cs="Arial"/>
                <w:b/>
                <w:bCs/>
                <w:color w:val="000000" w:themeColor="text1"/>
              </w:rPr>
              <w:t xml:space="preserve"> </w:t>
            </w:r>
            <w:r w:rsidR="00703F85" w:rsidRPr="00703F85">
              <w:rPr>
                <w:rFonts w:ascii="Arial" w:hAnsi="Arial" w:cs="Arial"/>
                <w:color w:val="000000" w:themeColor="text1"/>
              </w:rPr>
              <w:t>–</w:t>
            </w:r>
            <w:r w:rsidR="001C0176" w:rsidRPr="00703F85">
              <w:rPr>
                <w:rFonts w:ascii="Arial" w:hAnsi="Arial" w:cs="Arial"/>
                <w:color w:val="000000" w:themeColor="text1"/>
              </w:rPr>
              <w:t xml:space="preserve"> </w:t>
            </w:r>
            <w:r w:rsidR="00703F85" w:rsidRPr="007C3F4F">
              <w:rPr>
                <w:rFonts w:ascii="Arial" w:hAnsi="Arial" w:cs="Arial"/>
                <w:color w:val="000000" w:themeColor="text1"/>
              </w:rPr>
              <w:t xml:space="preserve">Strong governance arrangements are in place </w:t>
            </w:r>
            <w:r w:rsidR="004B10FB" w:rsidRPr="007C3F4F">
              <w:rPr>
                <w:rFonts w:ascii="Arial" w:hAnsi="Arial" w:cs="Arial"/>
                <w:color w:val="000000" w:themeColor="text1"/>
              </w:rPr>
              <w:t xml:space="preserve">to escalate any significant issues regarding programme delivery to the Strategic Change Board. </w:t>
            </w:r>
            <w:r w:rsidR="00E138F2" w:rsidRPr="007C3F4F">
              <w:rPr>
                <w:rFonts w:ascii="Arial" w:hAnsi="Arial" w:cs="Arial"/>
                <w:color w:val="000000" w:themeColor="text1"/>
              </w:rPr>
              <w:t xml:space="preserve">Both the Children’s Residential and Localities programmes have dedicated programme Boards in place to monitor delivery </w:t>
            </w:r>
            <w:r w:rsidR="008465FF" w:rsidRPr="007C3F4F">
              <w:rPr>
                <w:rFonts w:ascii="Arial" w:hAnsi="Arial" w:cs="Arial"/>
                <w:color w:val="000000" w:themeColor="text1"/>
              </w:rPr>
              <w:t xml:space="preserve">and implement action to ensure that programmes </w:t>
            </w:r>
            <w:r w:rsidR="00CB7F7D" w:rsidRPr="007C3F4F">
              <w:rPr>
                <w:rFonts w:ascii="Arial" w:hAnsi="Arial" w:cs="Arial"/>
                <w:color w:val="000000" w:themeColor="text1"/>
              </w:rPr>
              <w:t xml:space="preserve">will be back on track. </w:t>
            </w:r>
            <w:r w:rsidR="002B2D07" w:rsidRPr="007C3F4F">
              <w:rPr>
                <w:rFonts w:ascii="Arial" w:hAnsi="Arial" w:cs="Arial"/>
                <w:color w:val="000000" w:themeColor="text1"/>
              </w:rPr>
              <w:t>R</w:t>
            </w:r>
            <w:r w:rsidR="00CB7F7D" w:rsidRPr="007C3F4F">
              <w:rPr>
                <w:rFonts w:ascii="Arial" w:hAnsi="Arial" w:cs="Arial"/>
                <w:color w:val="000000" w:themeColor="text1"/>
              </w:rPr>
              <w:t>eview</w:t>
            </w:r>
            <w:r w:rsidR="002B2D07" w:rsidRPr="007C3F4F">
              <w:rPr>
                <w:rFonts w:ascii="Arial" w:hAnsi="Arial" w:cs="Arial"/>
                <w:color w:val="000000" w:themeColor="text1"/>
              </w:rPr>
              <w:t>s</w:t>
            </w:r>
            <w:r w:rsidR="00CB7F7D" w:rsidRPr="007C3F4F">
              <w:rPr>
                <w:rFonts w:ascii="Arial" w:hAnsi="Arial" w:cs="Arial"/>
                <w:color w:val="000000" w:themeColor="text1"/>
              </w:rPr>
              <w:t xml:space="preserve"> of the Supporting People Contracts programme </w:t>
            </w:r>
            <w:r w:rsidR="002B2D07" w:rsidRPr="007C3F4F">
              <w:rPr>
                <w:rFonts w:ascii="Arial" w:hAnsi="Arial" w:cs="Arial"/>
                <w:color w:val="000000" w:themeColor="text1"/>
              </w:rPr>
              <w:t xml:space="preserve">by Housing and Adult Social Care are underway and will be completed by </w:t>
            </w:r>
            <w:r w:rsidR="007C3F4F" w:rsidRPr="007C3F4F">
              <w:rPr>
                <w:rFonts w:ascii="Arial" w:hAnsi="Arial" w:cs="Arial"/>
                <w:color w:val="000000" w:themeColor="text1"/>
              </w:rPr>
              <w:t>the end of Quarter 2.</w:t>
            </w:r>
            <w:r w:rsidR="007C3F4F">
              <w:rPr>
                <w:rFonts w:ascii="Arial" w:hAnsi="Arial" w:cs="Arial"/>
                <w:color w:val="000000" w:themeColor="text1"/>
              </w:rPr>
              <w:t xml:space="preserve"> </w:t>
            </w:r>
          </w:p>
        </w:tc>
      </w:tr>
    </w:tbl>
    <w:p w14:paraId="0F36F90B" w14:textId="77777777" w:rsidR="00EA661B" w:rsidRDefault="00EA661B" w:rsidP="00B0379D">
      <w:pPr>
        <w:pStyle w:val="ListBullet"/>
        <w:numPr>
          <w:ilvl w:val="0"/>
          <w:numId w:val="0"/>
        </w:numPr>
        <w:spacing w:before="240" w:after="240" w:line="240" w:lineRule="auto"/>
        <w:contextualSpacing w:val="0"/>
        <w:jc w:val="both"/>
        <w:rPr>
          <w:rStyle w:val="normaltextrun"/>
          <w:rFonts w:ascii="Arial" w:hAnsi="Arial" w:cs="Arial"/>
          <w:b/>
          <w:color w:val="C85348"/>
          <w:sz w:val="32"/>
          <w:szCs w:val="32"/>
        </w:rPr>
      </w:pPr>
    </w:p>
    <w:p w14:paraId="0947149A" w14:textId="58033C8E" w:rsidR="00B0379D" w:rsidRPr="004B17CF" w:rsidRDefault="00E75E6D" w:rsidP="00B0379D">
      <w:pPr>
        <w:pStyle w:val="ListBullet"/>
        <w:numPr>
          <w:ilvl w:val="0"/>
          <w:numId w:val="0"/>
        </w:numPr>
        <w:spacing w:before="240" w:after="240" w:line="240" w:lineRule="auto"/>
        <w:contextualSpacing w:val="0"/>
        <w:jc w:val="both"/>
        <w:rPr>
          <w:rStyle w:val="normaltextrun"/>
          <w:rFonts w:ascii="Arial" w:hAnsi="Arial" w:cs="Arial"/>
          <w:b/>
          <w:color w:val="C85348"/>
          <w:sz w:val="32"/>
          <w:szCs w:val="32"/>
        </w:rPr>
      </w:pPr>
      <w:r w:rsidRPr="004B17CF">
        <w:rPr>
          <w:rStyle w:val="normaltextrun"/>
          <w:rFonts w:ascii="Arial" w:hAnsi="Arial" w:cs="Arial"/>
          <w:b/>
          <w:color w:val="C85348"/>
          <w:sz w:val="32"/>
          <w:szCs w:val="32"/>
        </w:rPr>
        <w:t>Outcome - Provide value for money and ensure we are financially resilient and sustainable</w:t>
      </w:r>
    </w:p>
    <w:tbl>
      <w:tblPr>
        <w:tblStyle w:val="TableGrid"/>
        <w:tblW w:w="0" w:type="auto"/>
        <w:tblBorders>
          <w:top w:val="single" w:sz="4" w:space="0" w:color="C85348"/>
          <w:left w:val="single" w:sz="4" w:space="0" w:color="C85348"/>
          <w:bottom w:val="single" w:sz="4" w:space="0" w:color="C85348"/>
          <w:right w:val="single" w:sz="4" w:space="0" w:color="C85348"/>
          <w:insideH w:val="single" w:sz="4" w:space="0" w:color="C85348"/>
          <w:insideV w:val="single" w:sz="4" w:space="0" w:color="C85348"/>
        </w:tblBorders>
        <w:tblLook w:val="04A0" w:firstRow="1" w:lastRow="0" w:firstColumn="1" w:lastColumn="0" w:noHBand="0" w:noVBand="1"/>
      </w:tblPr>
      <w:tblGrid>
        <w:gridCol w:w="8359"/>
        <w:gridCol w:w="7029"/>
      </w:tblGrid>
      <w:tr w:rsidR="00970157" w14:paraId="057032BC" w14:textId="77777777" w:rsidTr="00884526">
        <w:tc>
          <w:tcPr>
            <w:tcW w:w="8359" w:type="dxa"/>
            <w:shd w:val="clear" w:color="auto" w:fill="C85348"/>
          </w:tcPr>
          <w:p w14:paraId="06EE0488" w14:textId="77777777" w:rsidR="00B0379D" w:rsidRPr="00896DF5" w:rsidRDefault="00E75E6D" w:rsidP="00B0379D">
            <w:pPr>
              <w:spacing w:after="120"/>
              <w:jc w:val="both"/>
              <w:rPr>
                <w:rFonts w:ascii="Arial" w:hAnsi="Arial" w:cs="Arial"/>
                <w:b/>
                <w:bCs/>
                <w:color w:val="FFFFFF" w:themeColor="background1"/>
              </w:rPr>
            </w:pPr>
            <w:r w:rsidRPr="00896DF5">
              <w:rPr>
                <w:rFonts w:ascii="Arial" w:hAnsi="Arial" w:cs="Arial"/>
                <w:b/>
                <w:bCs/>
                <w:color w:val="FFFFFF" w:themeColor="background1"/>
              </w:rPr>
              <w:t>Current Performance</w:t>
            </w:r>
          </w:p>
        </w:tc>
        <w:tc>
          <w:tcPr>
            <w:tcW w:w="7029" w:type="dxa"/>
            <w:shd w:val="clear" w:color="auto" w:fill="C85348"/>
          </w:tcPr>
          <w:p w14:paraId="74308BCD" w14:textId="77777777" w:rsidR="00B0379D" w:rsidRPr="00896DF5" w:rsidRDefault="00B0379D" w:rsidP="00B0379D">
            <w:pPr>
              <w:spacing w:after="120"/>
              <w:jc w:val="both"/>
              <w:rPr>
                <w:rFonts w:ascii="Arial" w:hAnsi="Arial" w:cs="Arial"/>
                <w:b/>
                <w:bCs/>
                <w:color w:val="FFFFFF" w:themeColor="background1"/>
              </w:rPr>
            </w:pPr>
          </w:p>
        </w:tc>
      </w:tr>
      <w:tr w:rsidR="00970157" w14:paraId="607CE5BB" w14:textId="77777777" w:rsidTr="00884526">
        <w:tc>
          <w:tcPr>
            <w:tcW w:w="15388" w:type="dxa"/>
            <w:gridSpan w:val="2"/>
          </w:tcPr>
          <w:p w14:paraId="2FE521C9" w14:textId="77777777" w:rsidR="00C32C16" w:rsidRPr="000B0AB9" w:rsidRDefault="00C32C16" w:rsidP="00C32C16">
            <w:pPr>
              <w:pStyle w:val="ListParagraph"/>
              <w:numPr>
                <w:ilvl w:val="0"/>
                <w:numId w:val="24"/>
              </w:numPr>
              <w:spacing w:before="120" w:after="120"/>
              <w:ind w:left="731" w:hanging="284"/>
              <w:contextualSpacing w:val="0"/>
              <w:jc w:val="both"/>
              <w:rPr>
                <w:rFonts w:ascii="Arial" w:eastAsia="Arial" w:hAnsi="Arial" w:cs="Arial"/>
              </w:rPr>
            </w:pPr>
            <w:r w:rsidRPr="000B0AB9">
              <w:rPr>
                <w:rFonts w:ascii="Arial" w:eastAsiaTheme="minorEastAsia" w:hAnsi="Arial" w:cs="Arial"/>
                <w:b/>
              </w:rPr>
              <w:t>CS-011 &amp; CS-012</w:t>
            </w:r>
            <w:r w:rsidRPr="000B0AB9">
              <w:rPr>
                <w:rFonts w:ascii="Arial" w:eastAsiaTheme="minorEastAsia" w:hAnsi="Arial" w:cs="Arial"/>
              </w:rPr>
              <w:t xml:space="preserve"> - </w:t>
            </w:r>
            <w:r w:rsidRPr="000B0AB9">
              <w:rPr>
                <w:rFonts w:ascii="Arial" w:eastAsia="Arial" w:hAnsi="Arial" w:cs="Arial"/>
              </w:rPr>
              <w:t xml:space="preserve">The Council Tax collection at the end of Quarter 1 2024-25 stands at 27.1% and is on target for the year. </w:t>
            </w:r>
            <w:r w:rsidRPr="000B0AB9">
              <w:rPr>
                <w:rFonts w:ascii="Arial" w:eastAsiaTheme="minorEastAsia" w:hAnsi="Arial" w:cs="Arial"/>
              </w:rPr>
              <w:t>The Non-Domestic Rate collection rate during Quarter 1 2024-25 is also exceeding</w:t>
            </w:r>
            <w:r w:rsidRPr="000B0AB9">
              <w:rPr>
                <w:rFonts w:ascii="Arial" w:hAnsi="Arial" w:cs="Arial"/>
              </w:rPr>
              <w:t xml:space="preserve"> target at 29.5%.</w:t>
            </w:r>
          </w:p>
          <w:p w14:paraId="3C42BD16" w14:textId="066FC42C" w:rsidR="00C32C16" w:rsidRPr="000B0AB9" w:rsidRDefault="00C32C16" w:rsidP="00C32C16">
            <w:pPr>
              <w:pStyle w:val="ListParagraph"/>
              <w:numPr>
                <w:ilvl w:val="0"/>
                <w:numId w:val="24"/>
              </w:numPr>
              <w:shd w:val="clear" w:color="auto" w:fill="FFFFFF"/>
              <w:spacing w:before="120" w:after="120"/>
              <w:ind w:left="731" w:hanging="284"/>
              <w:contextualSpacing w:val="0"/>
              <w:textAlignment w:val="baseline"/>
              <w:rPr>
                <w:rFonts w:ascii="Arial" w:eastAsia="Times New Roman" w:hAnsi="Arial" w:cs="Arial"/>
                <w:lang w:eastAsia="en-GB"/>
              </w:rPr>
            </w:pPr>
            <w:r w:rsidRPr="000B0AB9">
              <w:rPr>
                <w:rFonts w:ascii="Arial" w:eastAsia="Times New Roman" w:hAnsi="Arial" w:cs="Arial"/>
                <w:bdr w:val="none" w:sz="0" w:space="0" w:color="auto" w:frame="1"/>
                <w:shd w:val="clear" w:color="auto" w:fill="FFFFFF"/>
                <w:lang w:eastAsia="en-GB"/>
              </w:rPr>
              <w:t>The Financial Monitoring Report for Quarter 1 of 202</w:t>
            </w:r>
            <w:r w:rsidR="00341B08" w:rsidRPr="000B0AB9">
              <w:rPr>
                <w:rFonts w:ascii="Arial" w:eastAsia="Times New Roman" w:hAnsi="Arial" w:cs="Arial"/>
                <w:bdr w:val="none" w:sz="0" w:space="0" w:color="auto" w:frame="1"/>
                <w:shd w:val="clear" w:color="auto" w:fill="FFFFFF"/>
                <w:lang w:eastAsia="en-GB"/>
              </w:rPr>
              <w:t>4</w:t>
            </w:r>
            <w:r w:rsidRPr="000B0AB9">
              <w:rPr>
                <w:rFonts w:ascii="Arial" w:eastAsia="Times New Roman" w:hAnsi="Arial" w:cs="Arial"/>
                <w:bdr w:val="none" w:sz="0" w:space="0" w:color="auto" w:frame="1"/>
                <w:shd w:val="clear" w:color="auto" w:fill="FFFFFF"/>
                <w:lang w:eastAsia="en-GB"/>
              </w:rPr>
              <w:t>-2</w:t>
            </w:r>
            <w:r w:rsidR="00341B08" w:rsidRPr="000B0AB9">
              <w:rPr>
                <w:rFonts w:ascii="Arial" w:eastAsia="Times New Roman" w:hAnsi="Arial" w:cs="Arial"/>
                <w:bdr w:val="none" w:sz="0" w:space="0" w:color="auto" w:frame="1"/>
                <w:shd w:val="clear" w:color="auto" w:fill="FFFFFF"/>
                <w:lang w:eastAsia="en-GB"/>
              </w:rPr>
              <w:t>5</w:t>
            </w:r>
            <w:r w:rsidRPr="000B0AB9">
              <w:rPr>
                <w:rFonts w:ascii="Arial" w:eastAsia="Times New Roman" w:hAnsi="Arial" w:cs="Arial"/>
                <w:bdr w:val="none" w:sz="0" w:space="0" w:color="auto" w:frame="1"/>
                <w:shd w:val="clear" w:color="auto" w:fill="FFFFFF"/>
                <w:lang w:eastAsia="en-GB"/>
              </w:rPr>
              <w:t xml:space="preserve"> was approved by Cabinet on 1</w:t>
            </w:r>
            <w:r w:rsidR="00341B08" w:rsidRPr="000B0AB9">
              <w:rPr>
                <w:rFonts w:ascii="Arial" w:eastAsia="Times New Roman" w:hAnsi="Arial" w:cs="Arial"/>
                <w:bdr w:val="none" w:sz="0" w:space="0" w:color="auto" w:frame="1"/>
                <w:shd w:val="clear" w:color="auto" w:fill="FFFFFF"/>
                <w:lang w:eastAsia="en-GB"/>
              </w:rPr>
              <w:t>0</w:t>
            </w:r>
            <w:r w:rsidRPr="000B0AB9">
              <w:rPr>
                <w:rFonts w:ascii="Arial" w:eastAsia="Times New Roman" w:hAnsi="Arial" w:cs="Arial"/>
                <w:bdr w:val="none" w:sz="0" w:space="0" w:color="auto" w:frame="1"/>
                <w:shd w:val="clear" w:color="auto" w:fill="FFFFFF"/>
                <w:lang w:eastAsia="en-GB"/>
              </w:rPr>
              <w:t xml:space="preserve"> July 202</w:t>
            </w:r>
            <w:r w:rsidR="00341B08" w:rsidRPr="000B0AB9">
              <w:rPr>
                <w:rFonts w:ascii="Arial" w:eastAsia="Times New Roman" w:hAnsi="Arial" w:cs="Arial"/>
                <w:bdr w:val="none" w:sz="0" w:space="0" w:color="auto" w:frame="1"/>
                <w:shd w:val="clear" w:color="auto" w:fill="FFFFFF"/>
                <w:lang w:eastAsia="en-GB"/>
              </w:rPr>
              <w:t>4</w:t>
            </w:r>
            <w:r w:rsidRPr="000B0AB9">
              <w:rPr>
                <w:rFonts w:ascii="Arial" w:eastAsia="Times New Roman" w:hAnsi="Arial" w:cs="Arial"/>
                <w:bdr w:val="none" w:sz="0" w:space="0" w:color="auto" w:frame="1"/>
                <w:shd w:val="clear" w:color="auto" w:fill="FFFFFF"/>
                <w:lang w:eastAsia="en-GB"/>
              </w:rPr>
              <w:t xml:space="preserve">. The report provided an update on the revenue and capital budget, progress on the delivery of savings, and an update on the Council’s Treasury Management, reserves, and balances position. </w:t>
            </w:r>
          </w:p>
          <w:p w14:paraId="45E12CF3" w14:textId="77777777" w:rsidR="005A731D" w:rsidRPr="000B0AB9" w:rsidRDefault="005A731D" w:rsidP="005A731D">
            <w:pPr>
              <w:pStyle w:val="ListParagraph"/>
              <w:shd w:val="clear" w:color="auto" w:fill="FFFFFF"/>
              <w:spacing w:before="120" w:after="120"/>
              <w:ind w:left="731"/>
              <w:textAlignment w:val="baseline"/>
              <w:rPr>
                <w:rFonts w:ascii="Arial" w:eastAsia="Times New Roman" w:hAnsi="Arial" w:cs="Arial"/>
                <w:lang w:eastAsia="en-GB"/>
              </w:rPr>
            </w:pPr>
            <w:r w:rsidRPr="000B0AB9">
              <w:rPr>
                <w:rFonts w:ascii="Arial" w:eastAsia="Times New Roman" w:hAnsi="Arial" w:cs="Arial"/>
                <w:lang w:eastAsia="en-GB"/>
              </w:rPr>
              <w:t>At this early stage of the financial year, pressures are forecast in:</w:t>
            </w:r>
          </w:p>
          <w:p w14:paraId="6A863121" w14:textId="77777777" w:rsidR="005A731D" w:rsidRPr="000B0AB9" w:rsidRDefault="005A731D" w:rsidP="005A731D">
            <w:pPr>
              <w:pStyle w:val="ListParagraph"/>
              <w:shd w:val="clear" w:color="auto" w:fill="FFFFFF"/>
              <w:spacing w:before="120" w:after="120"/>
              <w:ind w:left="731"/>
              <w:textAlignment w:val="baseline"/>
              <w:rPr>
                <w:rFonts w:ascii="Arial" w:eastAsia="Times New Roman" w:hAnsi="Arial" w:cs="Arial"/>
                <w:lang w:eastAsia="en-GB"/>
              </w:rPr>
            </w:pPr>
            <w:r w:rsidRPr="000B0AB9">
              <w:rPr>
                <w:rFonts w:ascii="Arial" w:eastAsia="Times New Roman" w:hAnsi="Arial" w:cs="Arial"/>
                <w:lang w:eastAsia="en-GB"/>
              </w:rPr>
              <w:t>•</w:t>
            </w:r>
            <w:r w:rsidRPr="000B0AB9">
              <w:rPr>
                <w:rFonts w:ascii="Arial" w:eastAsia="Times New Roman" w:hAnsi="Arial" w:cs="Arial"/>
                <w:lang w:eastAsia="en-GB"/>
              </w:rPr>
              <w:tab/>
              <w:t>Transport and Environment relating to the School Meal Service and the Recycling Contract - £1.5m</w:t>
            </w:r>
          </w:p>
          <w:p w14:paraId="3917AA70" w14:textId="77777777" w:rsidR="005A731D" w:rsidRPr="000B0AB9" w:rsidRDefault="005A731D" w:rsidP="005A731D">
            <w:pPr>
              <w:pStyle w:val="ListParagraph"/>
              <w:shd w:val="clear" w:color="auto" w:fill="FFFFFF"/>
              <w:spacing w:before="120" w:after="120"/>
              <w:ind w:left="731"/>
              <w:textAlignment w:val="baseline"/>
              <w:rPr>
                <w:rFonts w:ascii="Arial" w:eastAsia="Times New Roman" w:hAnsi="Arial" w:cs="Arial"/>
                <w:lang w:eastAsia="en-GB"/>
              </w:rPr>
            </w:pPr>
            <w:r w:rsidRPr="000B0AB9">
              <w:rPr>
                <w:rFonts w:ascii="Arial" w:eastAsia="Times New Roman" w:hAnsi="Arial" w:cs="Arial"/>
                <w:lang w:eastAsia="en-GB"/>
              </w:rPr>
              <w:t>•</w:t>
            </w:r>
            <w:r w:rsidRPr="000B0AB9">
              <w:rPr>
                <w:rFonts w:ascii="Arial" w:eastAsia="Times New Roman" w:hAnsi="Arial" w:cs="Arial"/>
                <w:lang w:eastAsia="en-GB"/>
              </w:rPr>
              <w:tab/>
              <w:t>Integrated Health and Social Care as a result of service demand pressures - £0.5m</w:t>
            </w:r>
          </w:p>
          <w:p w14:paraId="1D299D1B" w14:textId="70582E07" w:rsidR="003E68A4" w:rsidRPr="000B0AB9" w:rsidRDefault="005A731D" w:rsidP="005A731D">
            <w:pPr>
              <w:pStyle w:val="ListParagraph"/>
              <w:shd w:val="clear" w:color="auto" w:fill="FFFFFF"/>
              <w:spacing w:before="120" w:after="120"/>
              <w:ind w:left="731"/>
              <w:contextualSpacing w:val="0"/>
              <w:textAlignment w:val="baseline"/>
              <w:rPr>
                <w:rFonts w:ascii="Arial" w:eastAsia="Times New Roman" w:hAnsi="Arial" w:cs="Arial"/>
                <w:lang w:eastAsia="en-GB"/>
              </w:rPr>
            </w:pPr>
            <w:r w:rsidRPr="000B0AB9">
              <w:rPr>
                <w:rFonts w:ascii="Arial" w:eastAsia="Times New Roman" w:hAnsi="Arial" w:cs="Arial"/>
                <w:lang w:eastAsia="en-GB"/>
              </w:rPr>
              <w:t>•</w:t>
            </w:r>
            <w:r w:rsidRPr="000B0AB9">
              <w:rPr>
                <w:rFonts w:ascii="Arial" w:eastAsia="Times New Roman" w:hAnsi="Arial" w:cs="Arial"/>
                <w:lang w:eastAsia="en-GB"/>
              </w:rPr>
              <w:tab/>
              <w:t>Children and Young People due to Children Looked After placement costs and frontline social care agency staffing - £0.6m</w:t>
            </w:r>
          </w:p>
        </w:tc>
      </w:tr>
      <w:tr w:rsidR="00970157" w14:paraId="5D3B4238" w14:textId="77777777" w:rsidTr="00884526">
        <w:tc>
          <w:tcPr>
            <w:tcW w:w="15388" w:type="dxa"/>
            <w:gridSpan w:val="2"/>
            <w:shd w:val="clear" w:color="auto" w:fill="C85348"/>
          </w:tcPr>
          <w:p w14:paraId="3286175E" w14:textId="77777777" w:rsidR="00B0379D" w:rsidRPr="000B0AB9" w:rsidRDefault="00E75E6D" w:rsidP="00B0379D">
            <w:pPr>
              <w:spacing w:after="120"/>
              <w:jc w:val="both"/>
              <w:rPr>
                <w:rFonts w:ascii="Arial" w:hAnsi="Arial" w:cs="Arial"/>
                <w:shd w:val="clear" w:color="auto" w:fill="FFFFFF"/>
              </w:rPr>
            </w:pPr>
            <w:r w:rsidRPr="000B0AB9">
              <w:rPr>
                <w:rFonts w:ascii="Arial" w:hAnsi="Arial" w:cs="Arial"/>
                <w:b/>
                <w:bCs/>
                <w:color w:val="FFFFFF" w:themeColor="background1"/>
              </w:rPr>
              <w:t>Action for Improvement</w:t>
            </w:r>
          </w:p>
        </w:tc>
      </w:tr>
      <w:tr w:rsidR="00970157" w14:paraId="2785E414" w14:textId="77777777" w:rsidTr="00884526">
        <w:tc>
          <w:tcPr>
            <w:tcW w:w="15388" w:type="dxa"/>
            <w:gridSpan w:val="2"/>
          </w:tcPr>
          <w:p w14:paraId="2391B2D2" w14:textId="4F99F26E" w:rsidR="0051103F" w:rsidRPr="000B0AB9" w:rsidRDefault="00ED4F9C" w:rsidP="000B0AB9">
            <w:pPr>
              <w:pStyle w:val="ListParagraph"/>
              <w:numPr>
                <w:ilvl w:val="0"/>
                <w:numId w:val="35"/>
              </w:numPr>
              <w:spacing w:before="120" w:after="120"/>
              <w:contextualSpacing w:val="0"/>
              <w:jc w:val="both"/>
              <w:rPr>
                <w:rFonts w:ascii="Arial" w:eastAsiaTheme="minorEastAsia" w:hAnsi="Arial" w:cs="Arial"/>
              </w:rPr>
            </w:pPr>
            <w:r w:rsidRPr="000B0AB9">
              <w:rPr>
                <w:rFonts w:ascii="Arial" w:hAnsi="Arial" w:cs="Arial"/>
              </w:rPr>
              <w:t xml:space="preserve">The Council’s draft Statement of Accounts for 2023-24 were approved by the Director of Finance on 24 June 2024 and provided to </w:t>
            </w:r>
            <w:r w:rsidR="00713DE5" w:rsidRPr="000B0AB9">
              <w:rPr>
                <w:rFonts w:ascii="Arial" w:hAnsi="Arial" w:cs="Arial"/>
              </w:rPr>
              <w:t>the Council’s external audito</w:t>
            </w:r>
            <w:r w:rsidR="00843DC3" w:rsidRPr="000B0AB9">
              <w:rPr>
                <w:rFonts w:ascii="Arial" w:hAnsi="Arial" w:cs="Arial"/>
              </w:rPr>
              <w:t xml:space="preserve">rs, </w:t>
            </w:r>
            <w:r w:rsidRPr="000B0AB9">
              <w:rPr>
                <w:rFonts w:ascii="Arial" w:hAnsi="Arial" w:cs="Arial"/>
              </w:rPr>
              <w:t>Grant Thornton</w:t>
            </w:r>
            <w:r w:rsidR="00843DC3" w:rsidRPr="000B0AB9">
              <w:rPr>
                <w:rFonts w:ascii="Arial" w:hAnsi="Arial" w:cs="Arial"/>
              </w:rPr>
              <w:t>,</w:t>
            </w:r>
            <w:r w:rsidRPr="000B0AB9">
              <w:rPr>
                <w:rFonts w:ascii="Arial" w:hAnsi="Arial" w:cs="Arial"/>
              </w:rPr>
              <w:t xml:space="preserve"> for audit.</w:t>
            </w:r>
            <w:r w:rsidR="000D00D1" w:rsidRPr="000B0AB9">
              <w:rPr>
                <w:rFonts w:ascii="Arial" w:hAnsi="Arial" w:cs="Arial"/>
              </w:rPr>
              <w:t xml:space="preserve"> </w:t>
            </w:r>
          </w:p>
        </w:tc>
      </w:tr>
    </w:tbl>
    <w:p w14:paraId="568B992C" w14:textId="77777777" w:rsidR="00B0379D" w:rsidRDefault="00B0379D" w:rsidP="00B0379D">
      <w:pPr>
        <w:pStyle w:val="ListBullet"/>
        <w:numPr>
          <w:ilvl w:val="0"/>
          <w:numId w:val="0"/>
        </w:numPr>
        <w:spacing w:after="120" w:line="240" w:lineRule="auto"/>
        <w:contextualSpacing w:val="0"/>
        <w:jc w:val="both"/>
        <w:rPr>
          <w:rStyle w:val="normaltextrun"/>
          <w:rFonts w:ascii="Arial" w:hAnsi="Arial" w:cs="Arial"/>
        </w:rPr>
      </w:pPr>
    </w:p>
    <w:p w14:paraId="448018E2" w14:textId="77777777" w:rsidR="00B0379D" w:rsidRPr="004C5583" w:rsidRDefault="00E75E6D" w:rsidP="00B0379D">
      <w:pPr>
        <w:spacing w:after="120" w:line="240" w:lineRule="auto"/>
        <w:jc w:val="both"/>
        <w:rPr>
          <w:rStyle w:val="normaltextrun"/>
          <w:rFonts w:ascii="Arial" w:hAnsi="Arial" w:cs="Arial"/>
        </w:rPr>
      </w:pPr>
      <w:r>
        <w:rPr>
          <w:rFonts w:ascii="Arial" w:hAnsi="Arial" w:cs="Arial"/>
        </w:rPr>
        <w:t>For more information about individual performance indicators that support the achievement of these outcomes please see the scorecard.</w:t>
      </w:r>
    </w:p>
    <w:p w14:paraId="01475F29" w14:textId="77777777" w:rsidR="00B0379D" w:rsidRDefault="00B0379D" w:rsidP="00B0379D">
      <w:pPr>
        <w:rPr>
          <w:rStyle w:val="normaltextrun"/>
          <w:rFonts w:ascii="Arial" w:hAnsi="Arial" w:cs="Arial"/>
          <w:b/>
          <w:bCs/>
          <w:color w:val="C85348"/>
        </w:rPr>
      </w:pPr>
    </w:p>
    <w:sectPr w:rsidR="00B0379D" w:rsidSect="00EC2ED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70824" w14:textId="77777777" w:rsidR="00B4083B" w:rsidRDefault="00B4083B">
      <w:pPr>
        <w:spacing w:after="0" w:line="240" w:lineRule="auto"/>
      </w:pPr>
      <w:r>
        <w:separator/>
      </w:r>
    </w:p>
  </w:endnote>
  <w:endnote w:type="continuationSeparator" w:id="0">
    <w:p w14:paraId="2B5C63EC" w14:textId="77777777" w:rsidR="00B4083B" w:rsidRDefault="00B4083B">
      <w:pPr>
        <w:spacing w:after="0" w:line="240" w:lineRule="auto"/>
      </w:pPr>
      <w:r>
        <w:continuationSeparator/>
      </w:r>
    </w:p>
  </w:endnote>
  <w:endnote w:type="continuationNotice" w:id="1">
    <w:p w14:paraId="3D35DFD5" w14:textId="77777777" w:rsidR="00B4083B" w:rsidRDefault="00B40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5744" w14:textId="77777777" w:rsidR="00B0379D" w:rsidRDefault="0018313C">
    <w:pPr>
      <w:pStyle w:val="Footer"/>
      <w:pBdr>
        <w:top w:val="single" w:sz="4" w:space="1" w:color="D9D9D9" w:themeColor="background1" w:themeShade="D9"/>
      </w:pBdr>
      <w:jc w:val="right"/>
    </w:pPr>
    <w:sdt>
      <w:sdtPr>
        <w:id w:val="-1159618160"/>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1658A52C" w14:textId="77777777" w:rsidR="00B0379D" w:rsidRDefault="00B03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A2D55" w14:textId="77777777" w:rsidR="00B0379D" w:rsidRDefault="0018313C">
    <w:pPr>
      <w:pStyle w:val="Footer"/>
      <w:pBdr>
        <w:top w:val="single" w:sz="4" w:space="1" w:color="D9D9D9" w:themeColor="background1" w:themeShade="D9"/>
      </w:pBdr>
      <w:jc w:val="right"/>
    </w:pPr>
    <w:sdt>
      <w:sdtPr>
        <w:id w:val="-1383318986"/>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0C79FC4F" w14:textId="77777777" w:rsidR="00B0379D" w:rsidRDefault="00B037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161E8" w14:textId="77777777" w:rsidR="00B0379D" w:rsidRDefault="0018313C">
    <w:pPr>
      <w:pStyle w:val="Footer"/>
      <w:pBdr>
        <w:top w:val="single" w:sz="4" w:space="1" w:color="D9D9D9" w:themeColor="background1" w:themeShade="D9"/>
      </w:pBdr>
      <w:jc w:val="right"/>
    </w:pPr>
    <w:sdt>
      <w:sdtPr>
        <w:id w:val="-1302224669"/>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2075EAA2" w14:textId="77777777" w:rsidR="00B0379D" w:rsidRDefault="00B037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3D163" w14:textId="77777777" w:rsidR="00B0379D" w:rsidRDefault="0018313C">
    <w:pPr>
      <w:pStyle w:val="Footer"/>
      <w:pBdr>
        <w:top w:val="single" w:sz="4" w:space="1" w:color="D9D9D9" w:themeColor="background1" w:themeShade="D9"/>
      </w:pBdr>
      <w:jc w:val="right"/>
    </w:pPr>
    <w:sdt>
      <w:sdtPr>
        <w:id w:val="2000532605"/>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5024AE56" w14:textId="77777777" w:rsidR="00B0379D" w:rsidRDefault="00B037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41139" w14:textId="77777777" w:rsidR="00B0379D" w:rsidRDefault="0018313C">
    <w:pPr>
      <w:pStyle w:val="Footer"/>
      <w:pBdr>
        <w:top w:val="single" w:sz="4" w:space="1" w:color="D9D9D9" w:themeColor="background1" w:themeShade="D9"/>
      </w:pBdr>
      <w:jc w:val="right"/>
    </w:pPr>
    <w:sdt>
      <w:sdtPr>
        <w:id w:val="1802419618"/>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01E58FE7" w14:textId="77777777" w:rsidR="00B0379D" w:rsidRDefault="00B037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F6C2D" w14:textId="77777777" w:rsidR="00B0379D" w:rsidRDefault="0018313C">
    <w:pPr>
      <w:pStyle w:val="Footer"/>
      <w:pBdr>
        <w:top w:val="single" w:sz="4" w:space="1" w:color="D9D9D9" w:themeColor="background1" w:themeShade="D9"/>
      </w:pBdr>
      <w:jc w:val="right"/>
    </w:pPr>
    <w:sdt>
      <w:sdtPr>
        <w:id w:val="-940221731"/>
        <w:docPartObj>
          <w:docPartGallery w:val="Page Numbers (Bottom of Page)"/>
          <w:docPartUnique/>
        </w:docPartObj>
      </w:sdtPr>
      <w:sdtEndPr>
        <w:rPr>
          <w:color w:val="7F7F7F" w:themeColor="background1" w:themeShade="7F"/>
          <w:spacing w:val="60"/>
        </w:rPr>
      </w:sdtEndPr>
      <w:sdtContent>
        <w:r w:rsidR="00E75E6D">
          <w:fldChar w:fldCharType="begin"/>
        </w:r>
        <w:r w:rsidR="00E75E6D">
          <w:instrText xml:space="preserve"> PAGE   \* MERGEFORMAT </w:instrText>
        </w:r>
        <w:r w:rsidR="00E75E6D">
          <w:fldChar w:fldCharType="separate"/>
        </w:r>
        <w:r w:rsidR="00E75E6D">
          <w:rPr>
            <w:noProof/>
          </w:rPr>
          <w:t>2</w:t>
        </w:r>
        <w:r w:rsidR="00E75E6D">
          <w:rPr>
            <w:noProof/>
          </w:rPr>
          <w:fldChar w:fldCharType="end"/>
        </w:r>
        <w:r w:rsidR="00E75E6D">
          <w:t xml:space="preserve"> | </w:t>
        </w:r>
        <w:r w:rsidR="00E75E6D">
          <w:rPr>
            <w:color w:val="7F7F7F" w:themeColor="background1" w:themeShade="7F"/>
            <w:spacing w:val="60"/>
          </w:rPr>
          <w:t>Page</w:t>
        </w:r>
      </w:sdtContent>
    </w:sdt>
  </w:p>
  <w:p w14:paraId="3495C01B" w14:textId="77777777" w:rsidR="00B0379D" w:rsidRDefault="00B03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EE33C" w14:textId="77777777" w:rsidR="00B4083B" w:rsidRDefault="00B4083B">
      <w:pPr>
        <w:spacing w:after="0" w:line="240" w:lineRule="auto"/>
      </w:pPr>
      <w:r>
        <w:separator/>
      </w:r>
    </w:p>
  </w:footnote>
  <w:footnote w:type="continuationSeparator" w:id="0">
    <w:p w14:paraId="7A094200" w14:textId="77777777" w:rsidR="00B4083B" w:rsidRDefault="00B4083B">
      <w:pPr>
        <w:spacing w:after="0" w:line="240" w:lineRule="auto"/>
      </w:pPr>
      <w:r>
        <w:continuationSeparator/>
      </w:r>
    </w:p>
  </w:footnote>
  <w:footnote w:type="continuationNotice" w:id="1">
    <w:p w14:paraId="438CDA76" w14:textId="77777777" w:rsidR="00B4083B" w:rsidRDefault="00B408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93B6" w14:textId="10C72857" w:rsidR="00B64B09" w:rsidRDefault="00E75E6D">
    <w:pPr>
      <w:pStyle w:val="Header"/>
    </w:pPr>
    <w:r>
      <w:t xml:space="preserve">St Helens Borough Performance Report </w:t>
    </w:r>
    <w:r>
      <w:tab/>
      <w:t xml:space="preserve">- </w:t>
    </w:r>
    <w:r w:rsidR="000F5C41">
      <w:t>Quarter 1, 202</w:t>
    </w:r>
    <w:r w:rsidR="006942C3">
      <w:t>4</w:t>
    </w:r>
    <w:r w:rsidR="00B64B09">
      <w:t>/2</w:t>
    </w:r>
    <w:r w:rsidR="006942C3">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148E" w14:textId="2C52477A" w:rsidR="00B0379D" w:rsidRDefault="00E75E6D">
    <w:pPr>
      <w:pStyle w:val="Header"/>
    </w:pPr>
    <w:r>
      <w:t xml:space="preserve">St Helens Borough Performance Report </w:t>
    </w:r>
    <w:r>
      <w:tab/>
      <w:t xml:space="preserve">- </w:t>
    </w:r>
    <w:r w:rsidR="000F5C41">
      <w:t xml:space="preserve">Quarter 1, </w:t>
    </w:r>
    <w:r w:rsidR="0003254B">
      <w:t>202</w:t>
    </w:r>
    <w:r w:rsidR="00BE7ECD">
      <w:t>4</w:t>
    </w:r>
    <w:r w:rsidR="0003254B">
      <w:t>/2</w:t>
    </w:r>
    <w:r w:rsidR="00BE7ECD">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6FF7" w14:textId="48269C03" w:rsidR="00F363FB" w:rsidRDefault="00E75E6D">
    <w:pPr>
      <w:pStyle w:val="Header"/>
    </w:pPr>
    <w:r>
      <w:t xml:space="preserve">St Helens Borough Performance Report </w:t>
    </w:r>
    <w:r>
      <w:tab/>
      <w:t xml:space="preserve">- </w:t>
    </w:r>
    <w:r w:rsidR="003D2311">
      <w:t>Quarter 1</w:t>
    </w:r>
    <w:r w:rsidR="009E3D88">
      <w:t>,</w:t>
    </w:r>
    <w:r>
      <w:t xml:space="preserve"> 20</w:t>
    </w:r>
    <w:r w:rsidR="009E3D88">
      <w:t>2</w:t>
    </w:r>
    <w:r w:rsidR="00BE7ECD">
      <w:t>4</w:t>
    </w:r>
    <w:r w:rsidR="00F363FB">
      <w:t>/2</w:t>
    </w:r>
    <w:r w:rsidR="00BE7ECD">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41A95" w14:textId="18912F81" w:rsidR="00B0379D" w:rsidRDefault="00E75E6D">
    <w:pPr>
      <w:pStyle w:val="Header"/>
    </w:pPr>
    <w:r>
      <w:t xml:space="preserve">St Helens Borough Performance Report </w:t>
    </w:r>
    <w:r>
      <w:tab/>
      <w:t xml:space="preserve">- </w:t>
    </w:r>
    <w:r w:rsidR="00154495">
      <w:t>Quarter 1, 202</w:t>
    </w:r>
    <w:r w:rsidR="00BE7ECD">
      <w:t>4</w:t>
    </w:r>
    <w:r w:rsidR="0003254B">
      <w:t>/2</w:t>
    </w:r>
    <w:r w:rsidR="00BE7ECD">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68B09" w14:textId="63A2C706" w:rsidR="00B0379D" w:rsidRDefault="00E75E6D">
    <w:pPr>
      <w:pStyle w:val="Header"/>
    </w:pPr>
    <w:r>
      <w:t xml:space="preserve">St Helens Borough Performance Report </w:t>
    </w:r>
    <w:r>
      <w:tab/>
      <w:t xml:space="preserve">- </w:t>
    </w:r>
    <w:r w:rsidR="00154495">
      <w:t>Quarter 1, 202</w:t>
    </w:r>
    <w:r w:rsidR="00BE7ECD">
      <w:t>4</w:t>
    </w:r>
    <w:r w:rsidR="00154495">
      <w:t>/2</w:t>
    </w:r>
    <w:r w:rsidR="00BE7ECD">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1635" w14:textId="4A2FD46C" w:rsidR="00B0379D" w:rsidRDefault="00E75E6D">
    <w:pPr>
      <w:pStyle w:val="Header"/>
    </w:pPr>
    <w:r>
      <w:t xml:space="preserve">St Helens Borough Performance Report </w:t>
    </w:r>
    <w:r>
      <w:tab/>
      <w:t xml:space="preserve">- </w:t>
    </w:r>
    <w:r w:rsidR="00154495">
      <w:t>Quarter 1, 202</w:t>
    </w:r>
    <w:r w:rsidR="006E3B01">
      <w:t>4</w:t>
    </w:r>
    <w:r w:rsidR="00154495">
      <w:t>/2</w:t>
    </w:r>
    <w:r w:rsidR="006E3B01">
      <w:t>5</w:t>
    </w:r>
  </w:p>
</w:hdr>
</file>

<file path=word/intelligence2.xml><?xml version="1.0" encoding="utf-8"?>
<int2:intelligence xmlns:int2="http://schemas.microsoft.com/office/intelligence/2020/intelligence" xmlns:oel="http://schemas.microsoft.com/office/2019/extlst">
  <int2:observations>
    <int2:bookmark int2:bookmarkName="_Int_lfY499Ne" int2:invalidationBookmarkName="" int2:hashCode="VRd/LyDcPFdCnc" int2:id="AxCRFUaI">
      <int2:state int2:value="Rejected" int2:type="AugLoop_Text_Critique"/>
    </int2:bookmark>
    <int2:bookmark int2:bookmarkName="_Int_iy5PutCw" int2:invalidationBookmarkName="" int2:hashCode="WzQtwixHDFy4VY" int2:id="qZ3rwstp">
      <int2:state int2:value="Rejected" int2:type="AugLoop_Text_Critique"/>
    </int2:bookmark>
    <int2:bookmark int2:bookmarkName="_Int_R5qO337k" int2:invalidationBookmarkName="" int2:hashCode="0lXQ0GySJQ8tJA" int2:id="uT1YWG1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AF6B8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6CFF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DEAC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60F3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B42F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BEEA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66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0645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C02E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90C0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02860"/>
    <w:multiLevelType w:val="hybridMultilevel"/>
    <w:tmpl w:val="FFFFFFFF"/>
    <w:lvl w:ilvl="0" w:tplc="0670779C">
      <w:start w:val="1"/>
      <w:numFmt w:val="bullet"/>
      <w:lvlText w:val="·"/>
      <w:lvlJc w:val="left"/>
      <w:pPr>
        <w:ind w:left="720" w:hanging="360"/>
      </w:pPr>
      <w:rPr>
        <w:rFonts w:ascii="Symbol" w:hAnsi="Symbol" w:hint="default"/>
      </w:rPr>
    </w:lvl>
    <w:lvl w:ilvl="1" w:tplc="3C6C4CB0">
      <w:start w:val="1"/>
      <w:numFmt w:val="bullet"/>
      <w:lvlText w:val="o"/>
      <w:lvlJc w:val="left"/>
      <w:pPr>
        <w:ind w:left="1440" w:hanging="360"/>
      </w:pPr>
      <w:rPr>
        <w:rFonts w:ascii="Courier New" w:hAnsi="Courier New" w:hint="default"/>
      </w:rPr>
    </w:lvl>
    <w:lvl w:ilvl="2" w:tplc="8A488576">
      <w:start w:val="1"/>
      <w:numFmt w:val="bullet"/>
      <w:lvlText w:val=""/>
      <w:lvlJc w:val="left"/>
      <w:pPr>
        <w:ind w:left="2160" w:hanging="360"/>
      </w:pPr>
      <w:rPr>
        <w:rFonts w:ascii="Wingdings" w:hAnsi="Wingdings" w:hint="default"/>
      </w:rPr>
    </w:lvl>
    <w:lvl w:ilvl="3" w:tplc="709698A4">
      <w:start w:val="1"/>
      <w:numFmt w:val="bullet"/>
      <w:lvlText w:val=""/>
      <w:lvlJc w:val="left"/>
      <w:pPr>
        <w:ind w:left="2880" w:hanging="360"/>
      </w:pPr>
      <w:rPr>
        <w:rFonts w:ascii="Symbol" w:hAnsi="Symbol" w:hint="default"/>
      </w:rPr>
    </w:lvl>
    <w:lvl w:ilvl="4" w:tplc="719E249E">
      <w:start w:val="1"/>
      <w:numFmt w:val="bullet"/>
      <w:lvlText w:val="o"/>
      <w:lvlJc w:val="left"/>
      <w:pPr>
        <w:ind w:left="3600" w:hanging="360"/>
      </w:pPr>
      <w:rPr>
        <w:rFonts w:ascii="Courier New" w:hAnsi="Courier New" w:hint="default"/>
      </w:rPr>
    </w:lvl>
    <w:lvl w:ilvl="5" w:tplc="149E4B68">
      <w:start w:val="1"/>
      <w:numFmt w:val="bullet"/>
      <w:lvlText w:val=""/>
      <w:lvlJc w:val="left"/>
      <w:pPr>
        <w:ind w:left="4320" w:hanging="360"/>
      </w:pPr>
      <w:rPr>
        <w:rFonts w:ascii="Wingdings" w:hAnsi="Wingdings" w:hint="default"/>
      </w:rPr>
    </w:lvl>
    <w:lvl w:ilvl="6" w:tplc="45FEA2D4">
      <w:start w:val="1"/>
      <w:numFmt w:val="bullet"/>
      <w:lvlText w:val=""/>
      <w:lvlJc w:val="left"/>
      <w:pPr>
        <w:ind w:left="5040" w:hanging="360"/>
      </w:pPr>
      <w:rPr>
        <w:rFonts w:ascii="Symbol" w:hAnsi="Symbol" w:hint="default"/>
      </w:rPr>
    </w:lvl>
    <w:lvl w:ilvl="7" w:tplc="4ADE7D72">
      <w:start w:val="1"/>
      <w:numFmt w:val="bullet"/>
      <w:lvlText w:val="o"/>
      <w:lvlJc w:val="left"/>
      <w:pPr>
        <w:ind w:left="5760" w:hanging="360"/>
      </w:pPr>
      <w:rPr>
        <w:rFonts w:ascii="Courier New" w:hAnsi="Courier New" w:hint="default"/>
      </w:rPr>
    </w:lvl>
    <w:lvl w:ilvl="8" w:tplc="FB8A8DF4">
      <w:start w:val="1"/>
      <w:numFmt w:val="bullet"/>
      <w:lvlText w:val=""/>
      <w:lvlJc w:val="left"/>
      <w:pPr>
        <w:ind w:left="6480" w:hanging="360"/>
      </w:pPr>
      <w:rPr>
        <w:rFonts w:ascii="Wingdings" w:hAnsi="Wingdings" w:hint="default"/>
      </w:rPr>
    </w:lvl>
  </w:abstractNum>
  <w:abstractNum w:abstractNumId="11" w15:restartNumberingAfterBreak="0">
    <w:nsid w:val="03586F5C"/>
    <w:multiLevelType w:val="hybridMultilevel"/>
    <w:tmpl w:val="C47C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5E29A5"/>
    <w:multiLevelType w:val="hybridMultilevel"/>
    <w:tmpl w:val="E8A804F8"/>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05280ADC"/>
    <w:multiLevelType w:val="hybridMultilevel"/>
    <w:tmpl w:val="527CF358"/>
    <w:lvl w:ilvl="0" w:tplc="2D265DCE">
      <w:start w:val="1"/>
      <w:numFmt w:val="bullet"/>
      <w:lvlText w:val=""/>
      <w:lvlJc w:val="left"/>
      <w:pPr>
        <w:ind w:left="720" w:hanging="360"/>
      </w:pPr>
      <w:rPr>
        <w:rFonts w:ascii="Symbol" w:hAnsi="Symbol" w:hint="default"/>
      </w:rPr>
    </w:lvl>
    <w:lvl w:ilvl="1" w:tplc="42063EEA" w:tentative="1">
      <w:start w:val="1"/>
      <w:numFmt w:val="bullet"/>
      <w:lvlText w:val="o"/>
      <w:lvlJc w:val="left"/>
      <w:pPr>
        <w:ind w:left="1440" w:hanging="360"/>
      </w:pPr>
      <w:rPr>
        <w:rFonts w:ascii="Courier New" w:hAnsi="Courier New" w:cs="Courier New" w:hint="default"/>
      </w:rPr>
    </w:lvl>
    <w:lvl w:ilvl="2" w:tplc="048E320C" w:tentative="1">
      <w:start w:val="1"/>
      <w:numFmt w:val="bullet"/>
      <w:lvlText w:val=""/>
      <w:lvlJc w:val="left"/>
      <w:pPr>
        <w:ind w:left="2160" w:hanging="360"/>
      </w:pPr>
      <w:rPr>
        <w:rFonts w:ascii="Wingdings" w:hAnsi="Wingdings" w:hint="default"/>
      </w:rPr>
    </w:lvl>
    <w:lvl w:ilvl="3" w:tplc="41A82762" w:tentative="1">
      <w:start w:val="1"/>
      <w:numFmt w:val="bullet"/>
      <w:lvlText w:val=""/>
      <w:lvlJc w:val="left"/>
      <w:pPr>
        <w:ind w:left="2880" w:hanging="360"/>
      </w:pPr>
      <w:rPr>
        <w:rFonts w:ascii="Symbol" w:hAnsi="Symbol" w:hint="default"/>
      </w:rPr>
    </w:lvl>
    <w:lvl w:ilvl="4" w:tplc="32CC3ABC" w:tentative="1">
      <w:start w:val="1"/>
      <w:numFmt w:val="bullet"/>
      <w:lvlText w:val="o"/>
      <w:lvlJc w:val="left"/>
      <w:pPr>
        <w:ind w:left="3600" w:hanging="360"/>
      </w:pPr>
      <w:rPr>
        <w:rFonts w:ascii="Courier New" w:hAnsi="Courier New" w:cs="Courier New" w:hint="default"/>
      </w:rPr>
    </w:lvl>
    <w:lvl w:ilvl="5" w:tplc="B6961832" w:tentative="1">
      <w:start w:val="1"/>
      <w:numFmt w:val="bullet"/>
      <w:lvlText w:val=""/>
      <w:lvlJc w:val="left"/>
      <w:pPr>
        <w:ind w:left="4320" w:hanging="360"/>
      </w:pPr>
      <w:rPr>
        <w:rFonts w:ascii="Wingdings" w:hAnsi="Wingdings" w:hint="default"/>
      </w:rPr>
    </w:lvl>
    <w:lvl w:ilvl="6" w:tplc="7B98DF6A" w:tentative="1">
      <w:start w:val="1"/>
      <w:numFmt w:val="bullet"/>
      <w:lvlText w:val=""/>
      <w:lvlJc w:val="left"/>
      <w:pPr>
        <w:ind w:left="5040" w:hanging="360"/>
      </w:pPr>
      <w:rPr>
        <w:rFonts w:ascii="Symbol" w:hAnsi="Symbol" w:hint="default"/>
      </w:rPr>
    </w:lvl>
    <w:lvl w:ilvl="7" w:tplc="9CEA61F0" w:tentative="1">
      <w:start w:val="1"/>
      <w:numFmt w:val="bullet"/>
      <w:lvlText w:val="o"/>
      <w:lvlJc w:val="left"/>
      <w:pPr>
        <w:ind w:left="5760" w:hanging="360"/>
      </w:pPr>
      <w:rPr>
        <w:rFonts w:ascii="Courier New" w:hAnsi="Courier New" w:cs="Courier New" w:hint="default"/>
      </w:rPr>
    </w:lvl>
    <w:lvl w:ilvl="8" w:tplc="943087A6" w:tentative="1">
      <w:start w:val="1"/>
      <w:numFmt w:val="bullet"/>
      <w:lvlText w:val=""/>
      <w:lvlJc w:val="left"/>
      <w:pPr>
        <w:ind w:left="6480" w:hanging="360"/>
      </w:pPr>
      <w:rPr>
        <w:rFonts w:ascii="Wingdings" w:hAnsi="Wingdings" w:hint="default"/>
      </w:rPr>
    </w:lvl>
  </w:abstractNum>
  <w:abstractNum w:abstractNumId="14" w15:restartNumberingAfterBreak="0">
    <w:nsid w:val="064A79F6"/>
    <w:multiLevelType w:val="hybridMultilevel"/>
    <w:tmpl w:val="3962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36C059"/>
    <w:multiLevelType w:val="hybridMultilevel"/>
    <w:tmpl w:val="F2FA0F0A"/>
    <w:lvl w:ilvl="0" w:tplc="48E0095C">
      <w:start w:val="1"/>
      <w:numFmt w:val="bullet"/>
      <w:lvlText w:val=""/>
      <w:lvlJc w:val="left"/>
      <w:pPr>
        <w:ind w:left="720" w:hanging="360"/>
      </w:pPr>
      <w:rPr>
        <w:rFonts w:ascii="Symbol" w:hAnsi="Symbol" w:hint="default"/>
      </w:rPr>
    </w:lvl>
    <w:lvl w:ilvl="1" w:tplc="80CEEDDE">
      <w:start w:val="1"/>
      <w:numFmt w:val="bullet"/>
      <w:lvlText w:val="o"/>
      <w:lvlJc w:val="left"/>
      <w:pPr>
        <w:ind w:left="1440" w:hanging="360"/>
      </w:pPr>
      <w:rPr>
        <w:rFonts w:ascii="Courier New" w:hAnsi="Courier New" w:hint="default"/>
      </w:rPr>
    </w:lvl>
    <w:lvl w:ilvl="2" w:tplc="E6C838AC">
      <w:start w:val="1"/>
      <w:numFmt w:val="bullet"/>
      <w:lvlText w:val=""/>
      <w:lvlJc w:val="left"/>
      <w:pPr>
        <w:ind w:left="2160" w:hanging="360"/>
      </w:pPr>
      <w:rPr>
        <w:rFonts w:ascii="Wingdings" w:hAnsi="Wingdings" w:hint="default"/>
      </w:rPr>
    </w:lvl>
    <w:lvl w:ilvl="3" w:tplc="9D429396">
      <w:start w:val="1"/>
      <w:numFmt w:val="bullet"/>
      <w:lvlText w:val=""/>
      <w:lvlJc w:val="left"/>
      <w:pPr>
        <w:ind w:left="2880" w:hanging="360"/>
      </w:pPr>
      <w:rPr>
        <w:rFonts w:ascii="Symbol" w:hAnsi="Symbol" w:hint="default"/>
      </w:rPr>
    </w:lvl>
    <w:lvl w:ilvl="4" w:tplc="5A9A2F98">
      <w:start w:val="1"/>
      <w:numFmt w:val="bullet"/>
      <w:lvlText w:val="o"/>
      <w:lvlJc w:val="left"/>
      <w:pPr>
        <w:ind w:left="3600" w:hanging="360"/>
      </w:pPr>
      <w:rPr>
        <w:rFonts w:ascii="Courier New" w:hAnsi="Courier New" w:hint="default"/>
      </w:rPr>
    </w:lvl>
    <w:lvl w:ilvl="5" w:tplc="2A8455A6">
      <w:start w:val="1"/>
      <w:numFmt w:val="bullet"/>
      <w:lvlText w:val=""/>
      <w:lvlJc w:val="left"/>
      <w:pPr>
        <w:ind w:left="4320" w:hanging="360"/>
      </w:pPr>
      <w:rPr>
        <w:rFonts w:ascii="Wingdings" w:hAnsi="Wingdings" w:hint="default"/>
      </w:rPr>
    </w:lvl>
    <w:lvl w:ilvl="6" w:tplc="13643C82">
      <w:start w:val="1"/>
      <w:numFmt w:val="bullet"/>
      <w:lvlText w:val=""/>
      <w:lvlJc w:val="left"/>
      <w:pPr>
        <w:ind w:left="5040" w:hanging="360"/>
      </w:pPr>
      <w:rPr>
        <w:rFonts w:ascii="Symbol" w:hAnsi="Symbol" w:hint="default"/>
      </w:rPr>
    </w:lvl>
    <w:lvl w:ilvl="7" w:tplc="A82C13D8">
      <w:start w:val="1"/>
      <w:numFmt w:val="bullet"/>
      <w:lvlText w:val="o"/>
      <w:lvlJc w:val="left"/>
      <w:pPr>
        <w:ind w:left="5760" w:hanging="360"/>
      </w:pPr>
      <w:rPr>
        <w:rFonts w:ascii="Courier New" w:hAnsi="Courier New" w:hint="default"/>
      </w:rPr>
    </w:lvl>
    <w:lvl w:ilvl="8" w:tplc="BDF25CAE">
      <w:start w:val="1"/>
      <w:numFmt w:val="bullet"/>
      <w:lvlText w:val=""/>
      <w:lvlJc w:val="left"/>
      <w:pPr>
        <w:ind w:left="6480" w:hanging="360"/>
      </w:pPr>
      <w:rPr>
        <w:rFonts w:ascii="Wingdings" w:hAnsi="Wingdings" w:hint="default"/>
      </w:rPr>
    </w:lvl>
  </w:abstractNum>
  <w:abstractNum w:abstractNumId="16" w15:restartNumberingAfterBreak="0">
    <w:nsid w:val="074D4B22"/>
    <w:multiLevelType w:val="hybridMultilevel"/>
    <w:tmpl w:val="25F466E8"/>
    <w:lvl w:ilvl="0" w:tplc="B212F20E">
      <w:start w:val="1"/>
      <w:numFmt w:val="bullet"/>
      <w:lvlText w:val=""/>
      <w:lvlJc w:val="left"/>
      <w:pPr>
        <w:ind w:left="720" w:hanging="360"/>
      </w:pPr>
      <w:rPr>
        <w:rFonts w:ascii="Symbol" w:hAnsi="Symbol" w:hint="default"/>
      </w:rPr>
    </w:lvl>
    <w:lvl w:ilvl="1" w:tplc="A73063AA">
      <w:start w:val="1"/>
      <w:numFmt w:val="bullet"/>
      <w:lvlText w:val="o"/>
      <w:lvlJc w:val="left"/>
      <w:pPr>
        <w:ind w:left="1440" w:hanging="360"/>
      </w:pPr>
      <w:rPr>
        <w:rFonts w:ascii="Courier New" w:hAnsi="Courier New" w:hint="default"/>
      </w:rPr>
    </w:lvl>
    <w:lvl w:ilvl="2" w:tplc="EBDAA5FA">
      <w:start w:val="1"/>
      <w:numFmt w:val="bullet"/>
      <w:lvlText w:val=""/>
      <w:lvlJc w:val="left"/>
      <w:pPr>
        <w:ind w:left="2160" w:hanging="360"/>
      </w:pPr>
      <w:rPr>
        <w:rFonts w:ascii="Wingdings" w:hAnsi="Wingdings" w:hint="default"/>
      </w:rPr>
    </w:lvl>
    <w:lvl w:ilvl="3" w:tplc="D288491E">
      <w:start w:val="1"/>
      <w:numFmt w:val="bullet"/>
      <w:lvlText w:val=""/>
      <w:lvlJc w:val="left"/>
      <w:pPr>
        <w:ind w:left="2880" w:hanging="360"/>
      </w:pPr>
      <w:rPr>
        <w:rFonts w:ascii="Symbol" w:hAnsi="Symbol" w:hint="default"/>
      </w:rPr>
    </w:lvl>
    <w:lvl w:ilvl="4" w:tplc="6E229DD6">
      <w:start w:val="1"/>
      <w:numFmt w:val="bullet"/>
      <w:lvlText w:val="o"/>
      <w:lvlJc w:val="left"/>
      <w:pPr>
        <w:ind w:left="3600" w:hanging="360"/>
      </w:pPr>
      <w:rPr>
        <w:rFonts w:ascii="Courier New" w:hAnsi="Courier New" w:hint="default"/>
      </w:rPr>
    </w:lvl>
    <w:lvl w:ilvl="5" w:tplc="A044ED80">
      <w:start w:val="1"/>
      <w:numFmt w:val="bullet"/>
      <w:lvlText w:val=""/>
      <w:lvlJc w:val="left"/>
      <w:pPr>
        <w:ind w:left="4320" w:hanging="360"/>
      </w:pPr>
      <w:rPr>
        <w:rFonts w:ascii="Wingdings" w:hAnsi="Wingdings" w:hint="default"/>
      </w:rPr>
    </w:lvl>
    <w:lvl w:ilvl="6" w:tplc="F72259A8">
      <w:start w:val="1"/>
      <w:numFmt w:val="bullet"/>
      <w:lvlText w:val=""/>
      <w:lvlJc w:val="left"/>
      <w:pPr>
        <w:ind w:left="5040" w:hanging="360"/>
      </w:pPr>
      <w:rPr>
        <w:rFonts w:ascii="Symbol" w:hAnsi="Symbol" w:hint="default"/>
      </w:rPr>
    </w:lvl>
    <w:lvl w:ilvl="7" w:tplc="EFCE4B1E">
      <w:start w:val="1"/>
      <w:numFmt w:val="bullet"/>
      <w:lvlText w:val="o"/>
      <w:lvlJc w:val="left"/>
      <w:pPr>
        <w:ind w:left="5760" w:hanging="360"/>
      </w:pPr>
      <w:rPr>
        <w:rFonts w:ascii="Courier New" w:hAnsi="Courier New" w:hint="default"/>
      </w:rPr>
    </w:lvl>
    <w:lvl w:ilvl="8" w:tplc="15B05B18">
      <w:start w:val="1"/>
      <w:numFmt w:val="bullet"/>
      <w:lvlText w:val=""/>
      <w:lvlJc w:val="left"/>
      <w:pPr>
        <w:ind w:left="6480" w:hanging="360"/>
      </w:pPr>
      <w:rPr>
        <w:rFonts w:ascii="Wingdings" w:hAnsi="Wingdings" w:hint="default"/>
      </w:rPr>
    </w:lvl>
  </w:abstractNum>
  <w:abstractNum w:abstractNumId="17" w15:restartNumberingAfterBreak="0">
    <w:nsid w:val="0782355E"/>
    <w:multiLevelType w:val="multilevel"/>
    <w:tmpl w:val="3344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9A04E6"/>
    <w:multiLevelType w:val="hybridMultilevel"/>
    <w:tmpl w:val="E654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96497"/>
    <w:multiLevelType w:val="hybridMultilevel"/>
    <w:tmpl w:val="63228CC8"/>
    <w:lvl w:ilvl="0" w:tplc="85B84CC6">
      <w:start w:val="1"/>
      <w:numFmt w:val="bullet"/>
      <w:lvlText w:val=""/>
      <w:lvlJc w:val="left"/>
      <w:pPr>
        <w:ind w:left="720" w:hanging="360"/>
      </w:pPr>
      <w:rPr>
        <w:rFonts w:ascii="Symbol" w:hAnsi="Symbol" w:hint="default"/>
      </w:rPr>
    </w:lvl>
    <w:lvl w:ilvl="1" w:tplc="A282FBD8">
      <w:start w:val="1"/>
      <w:numFmt w:val="bullet"/>
      <w:lvlText w:val="o"/>
      <w:lvlJc w:val="left"/>
      <w:pPr>
        <w:ind w:left="1440" w:hanging="360"/>
      </w:pPr>
      <w:rPr>
        <w:rFonts w:ascii="Courier New" w:hAnsi="Courier New" w:hint="default"/>
      </w:rPr>
    </w:lvl>
    <w:lvl w:ilvl="2" w:tplc="12F0F41C">
      <w:start w:val="1"/>
      <w:numFmt w:val="bullet"/>
      <w:lvlText w:val=""/>
      <w:lvlJc w:val="left"/>
      <w:pPr>
        <w:ind w:left="2160" w:hanging="360"/>
      </w:pPr>
      <w:rPr>
        <w:rFonts w:ascii="Wingdings" w:hAnsi="Wingdings" w:hint="default"/>
      </w:rPr>
    </w:lvl>
    <w:lvl w:ilvl="3" w:tplc="6AE09EB8">
      <w:start w:val="1"/>
      <w:numFmt w:val="bullet"/>
      <w:lvlText w:val=""/>
      <w:lvlJc w:val="left"/>
      <w:pPr>
        <w:ind w:left="2880" w:hanging="360"/>
      </w:pPr>
      <w:rPr>
        <w:rFonts w:ascii="Symbol" w:hAnsi="Symbol" w:hint="default"/>
      </w:rPr>
    </w:lvl>
    <w:lvl w:ilvl="4" w:tplc="67FCB0F6">
      <w:start w:val="1"/>
      <w:numFmt w:val="bullet"/>
      <w:lvlText w:val="o"/>
      <w:lvlJc w:val="left"/>
      <w:pPr>
        <w:ind w:left="3600" w:hanging="360"/>
      </w:pPr>
      <w:rPr>
        <w:rFonts w:ascii="Courier New" w:hAnsi="Courier New" w:hint="default"/>
      </w:rPr>
    </w:lvl>
    <w:lvl w:ilvl="5" w:tplc="526ECDB4">
      <w:start w:val="1"/>
      <w:numFmt w:val="bullet"/>
      <w:lvlText w:val=""/>
      <w:lvlJc w:val="left"/>
      <w:pPr>
        <w:ind w:left="4320" w:hanging="360"/>
      </w:pPr>
      <w:rPr>
        <w:rFonts w:ascii="Wingdings" w:hAnsi="Wingdings" w:hint="default"/>
      </w:rPr>
    </w:lvl>
    <w:lvl w:ilvl="6" w:tplc="1CD6B4A2">
      <w:start w:val="1"/>
      <w:numFmt w:val="bullet"/>
      <w:lvlText w:val=""/>
      <w:lvlJc w:val="left"/>
      <w:pPr>
        <w:ind w:left="5040" w:hanging="360"/>
      </w:pPr>
      <w:rPr>
        <w:rFonts w:ascii="Symbol" w:hAnsi="Symbol" w:hint="default"/>
      </w:rPr>
    </w:lvl>
    <w:lvl w:ilvl="7" w:tplc="1B1C7A6E">
      <w:start w:val="1"/>
      <w:numFmt w:val="bullet"/>
      <w:lvlText w:val="o"/>
      <w:lvlJc w:val="left"/>
      <w:pPr>
        <w:ind w:left="5760" w:hanging="360"/>
      </w:pPr>
      <w:rPr>
        <w:rFonts w:ascii="Courier New" w:hAnsi="Courier New" w:hint="default"/>
      </w:rPr>
    </w:lvl>
    <w:lvl w:ilvl="8" w:tplc="374E1F24">
      <w:start w:val="1"/>
      <w:numFmt w:val="bullet"/>
      <w:lvlText w:val=""/>
      <w:lvlJc w:val="left"/>
      <w:pPr>
        <w:ind w:left="6480" w:hanging="360"/>
      </w:pPr>
      <w:rPr>
        <w:rFonts w:ascii="Wingdings" w:hAnsi="Wingdings" w:hint="default"/>
      </w:rPr>
    </w:lvl>
  </w:abstractNum>
  <w:abstractNum w:abstractNumId="20" w15:restartNumberingAfterBreak="0">
    <w:nsid w:val="135D3B53"/>
    <w:multiLevelType w:val="hybridMultilevel"/>
    <w:tmpl w:val="10C4857C"/>
    <w:lvl w:ilvl="0" w:tplc="82684DD2">
      <w:start w:val="1"/>
      <w:numFmt w:val="bullet"/>
      <w:lvlText w:val="·"/>
      <w:lvlJc w:val="left"/>
      <w:pPr>
        <w:ind w:left="720" w:hanging="360"/>
      </w:pPr>
      <w:rPr>
        <w:rFonts w:ascii="Symbol" w:hAnsi="Symbol" w:hint="default"/>
      </w:rPr>
    </w:lvl>
    <w:lvl w:ilvl="1" w:tplc="F93AD39C">
      <w:start w:val="1"/>
      <w:numFmt w:val="bullet"/>
      <w:lvlText w:val="o"/>
      <w:lvlJc w:val="left"/>
      <w:pPr>
        <w:ind w:left="1440" w:hanging="360"/>
      </w:pPr>
      <w:rPr>
        <w:rFonts w:ascii="Courier New" w:hAnsi="Courier New" w:hint="default"/>
      </w:rPr>
    </w:lvl>
    <w:lvl w:ilvl="2" w:tplc="B0D8F842">
      <w:start w:val="1"/>
      <w:numFmt w:val="bullet"/>
      <w:lvlText w:val=""/>
      <w:lvlJc w:val="left"/>
      <w:pPr>
        <w:ind w:left="2160" w:hanging="360"/>
      </w:pPr>
      <w:rPr>
        <w:rFonts w:ascii="Wingdings" w:hAnsi="Wingdings" w:hint="default"/>
      </w:rPr>
    </w:lvl>
    <w:lvl w:ilvl="3" w:tplc="BE1A9866">
      <w:start w:val="1"/>
      <w:numFmt w:val="bullet"/>
      <w:lvlText w:val=""/>
      <w:lvlJc w:val="left"/>
      <w:pPr>
        <w:ind w:left="2880" w:hanging="360"/>
      </w:pPr>
      <w:rPr>
        <w:rFonts w:ascii="Symbol" w:hAnsi="Symbol" w:hint="default"/>
      </w:rPr>
    </w:lvl>
    <w:lvl w:ilvl="4" w:tplc="EAF8B8EC">
      <w:start w:val="1"/>
      <w:numFmt w:val="bullet"/>
      <w:lvlText w:val="o"/>
      <w:lvlJc w:val="left"/>
      <w:pPr>
        <w:ind w:left="3600" w:hanging="360"/>
      </w:pPr>
      <w:rPr>
        <w:rFonts w:ascii="Courier New" w:hAnsi="Courier New" w:hint="default"/>
      </w:rPr>
    </w:lvl>
    <w:lvl w:ilvl="5" w:tplc="A44A3302">
      <w:start w:val="1"/>
      <w:numFmt w:val="bullet"/>
      <w:lvlText w:val=""/>
      <w:lvlJc w:val="left"/>
      <w:pPr>
        <w:ind w:left="4320" w:hanging="360"/>
      </w:pPr>
      <w:rPr>
        <w:rFonts w:ascii="Wingdings" w:hAnsi="Wingdings" w:hint="default"/>
      </w:rPr>
    </w:lvl>
    <w:lvl w:ilvl="6" w:tplc="1B2226F2">
      <w:start w:val="1"/>
      <w:numFmt w:val="bullet"/>
      <w:lvlText w:val=""/>
      <w:lvlJc w:val="left"/>
      <w:pPr>
        <w:ind w:left="5040" w:hanging="360"/>
      </w:pPr>
      <w:rPr>
        <w:rFonts w:ascii="Symbol" w:hAnsi="Symbol" w:hint="default"/>
      </w:rPr>
    </w:lvl>
    <w:lvl w:ilvl="7" w:tplc="73B6B030">
      <w:start w:val="1"/>
      <w:numFmt w:val="bullet"/>
      <w:lvlText w:val="o"/>
      <w:lvlJc w:val="left"/>
      <w:pPr>
        <w:ind w:left="5760" w:hanging="360"/>
      </w:pPr>
      <w:rPr>
        <w:rFonts w:ascii="Courier New" w:hAnsi="Courier New" w:hint="default"/>
      </w:rPr>
    </w:lvl>
    <w:lvl w:ilvl="8" w:tplc="D7A0A544">
      <w:start w:val="1"/>
      <w:numFmt w:val="bullet"/>
      <w:lvlText w:val=""/>
      <w:lvlJc w:val="left"/>
      <w:pPr>
        <w:ind w:left="6480" w:hanging="360"/>
      </w:pPr>
      <w:rPr>
        <w:rFonts w:ascii="Wingdings" w:hAnsi="Wingdings" w:hint="default"/>
      </w:rPr>
    </w:lvl>
  </w:abstractNum>
  <w:abstractNum w:abstractNumId="21" w15:restartNumberingAfterBreak="0">
    <w:nsid w:val="1A8E5CE1"/>
    <w:multiLevelType w:val="hybridMultilevel"/>
    <w:tmpl w:val="FD5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4E9D6F"/>
    <w:multiLevelType w:val="hybridMultilevel"/>
    <w:tmpl w:val="FFFFFFFF"/>
    <w:lvl w:ilvl="0" w:tplc="70527DAC">
      <w:start w:val="1"/>
      <w:numFmt w:val="bullet"/>
      <w:lvlText w:val=""/>
      <w:lvlJc w:val="left"/>
      <w:pPr>
        <w:ind w:left="720" w:hanging="360"/>
      </w:pPr>
      <w:rPr>
        <w:rFonts w:ascii="Symbol" w:hAnsi="Symbol" w:hint="default"/>
      </w:rPr>
    </w:lvl>
    <w:lvl w:ilvl="1" w:tplc="A1F4ACE0">
      <w:start w:val="1"/>
      <w:numFmt w:val="bullet"/>
      <w:lvlText w:val="o"/>
      <w:lvlJc w:val="left"/>
      <w:pPr>
        <w:ind w:left="1440" w:hanging="360"/>
      </w:pPr>
      <w:rPr>
        <w:rFonts w:ascii="Courier New" w:hAnsi="Courier New" w:hint="default"/>
      </w:rPr>
    </w:lvl>
    <w:lvl w:ilvl="2" w:tplc="7BA252BC">
      <w:start w:val="1"/>
      <w:numFmt w:val="bullet"/>
      <w:lvlText w:val=""/>
      <w:lvlJc w:val="left"/>
      <w:pPr>
        <w:ind w:left="2160" w:hanging="360"/>
      </w:pPr>
      <w:rPr>
        <w:rFonts w:ascii="Wingdings" w:hAnsi="Wingdings" w:hint="default"/>
      </w:rPr>
    </w:lvl>
    <w:lvl w:ilvl="3" w:tplc="8F0E9C88">
      <w:start w:val="1"/>
      <w:numFmt w:val="bullet"/>
      <w:lvlText w:val=""/>
      <w:lvlJc w:val="left"/>
      <w:pPr>
        <w:ind w:left="2880" w:hanging="360"/>
      </w:pPr>
      <w:rPr>
        <w:rFonts w:ascii="Symbol" w:hAnsi="Symbol" w:hint="default"/>
      </w:rPr>
    </w:lvl>
    <w:lvl w:ilvl="4" w:tplc="B3A2D4EE">
      <w:start w:val="1"/>
      <w:numFmt w:val="bullet"/>
      <w:lvlText w:val="o"/>
      <w:lvlJc w:val="left"/>
      <w:pPr>
        <w:ind w:left="3600" w:hanging="360"/>
      </w:pPr>
      <w:rPr>
        <w:rFonts w:ascii="Courier New" w:hAnsi="Courier New" w:hint="default"/>
      </w:rPr>
    </w:lvl>
    <w:lvl w:ilvl="5" w:tplc="6F242244">
      <w:start w:val="1"/>
      <w:numFmt w:val="bullet"/>
      <w:lvlText w:val=""/>
      <w:lvlJc w:val="left"/>
      <w:pPr>
        <w:ind w:left="4320" w:hanging="360"/>
      </w:pPr>
      <w:rPr>
        <w:rFonts w:ascii="Wingdings" w:hAnsi="Wingdings" w:hint="default"/>
      </w:rPr>
    </w:lvl>
    <w:lvl w:ilvl="6" w:tplc="0C766D16">
      <w:start w:val="1"/>
      <w:numFmt w:val="bullet"/>
      <w:lvlText w:val=""/>
      <w:lvlJc w:val="left"/>
      <w:pPr>
        <w:ind w:left="5040" w:hanging="360"/>
      </w:pPr>
      <w:rPr>
        <w:rFonts w:ascii="Symbol" w:hAnsi="Symbol" w:hint="default"/>
      </w:rPr>
    </w:lvl>
    <w:lvl w:ilvl="7" w:tplc="6E145F30">
      <w:start w:val="1"/>
      <w:numFmt w:val="bullet"/>
      <w:lvlText w:val="o"/>
      <w:lvlJc w:val="left"/>
      <w:pPr>
        <w:ind w:left="5760" w:hanging="360"/>
      </w:pPr>
      <w:rPr>
        <w:rFonts w:ascii="Courier New" w:hAnsi="Courier New" w:hint="default"/>
      </w:rPr>
    </w:lvl>
    <w:lvl w:ilvl="8" w:tplc="1E502FE4">
      <w:start w:val="1"/>
      <w:numFmt w:val="bullet"/>
      <w:lvlText w:val=""/>
      <w:lvlJc w:val="left"/>
      <w:pPr>
        <w:ind w:left="6480" w:hanging="360"/>
      </w:pPr>
      <w:rPr>
        <w:rFonts w:ascii="Wingdings" w:hAnsi="Wingdings" w:hint="default"/>
      </w:rPr>
    </w:lvl>
  </w:abstractNum>
  <w:abstractNum w:abstractNumId="23" w15:restartNumberingAfterBreak="0">
    <w:nsid w:val="1F87360A"/>
    <w:multiLevelType w:val="hybridMultilevel"/>
    <w:tmpl w:val="A0D0D1D8"/>
    <w:lvl w:ilvl="0" w:tplc="F514BD32">
      <w:start w:val="1"/>
      <w:numFmt w:val="bullet"/>
      <w:lvlText w:val=""/>
      <w:lvlJc w:val="left"/>
      <w:pPr>
        <w:ind w:left="720" w:hanging="360"/>
      </w:pPr>
      <w:rPr>
        <w:rFonts w:ascii="Symbol" w:hAnsi="Symbol" w:hint="default"/>
      </w:rPr>
    </w:lvl>
    <w:lvl w:ilvl="1" w:tplc="A4A0001E" w:tentative="1">
      <w:start w:val="1"/>
      <w:numFmt w:val="bullet"/>
      <w:lvlText w:val="o"/>
      <w:lvlJc w:val="left"/>
      <w:pPr>
        <w:ind w:left="1440" w:hanging="360"/>
      </w:pPr>
      <w:rPr>
        <w:rFonts w:ascii="Courier New" w:hAnsi="Courier New" w:cs="Courier New" w:hint="default"/>
      </w:rPr>
    </w:lvl>
    <w:lvl w:ilvl="2" w:tplc="DD384B3C" w:tentative="1">
      <w:start w:val="1"/>
      <w:numFmt w:val="bullet"/>
      <w:lvlText w:val=""/>
      <w:lvlJc w:val="left"/>
      <w:pPr>
        <w:ind w:left="2160" w:hanging="360"/>
      </w:pPr>
      <w:rPr>
        <w:rFonts w:ascii="Wingdings" w:hAnsi="Wingdings" w:hint="default"/>
      </w:rPr>
    </w:lvl>
    <w:lvl w:ilvl="3" w:tplc="C79AD188" w:tentative="1">
      <w:start w:val="1"/>
      <w:numFmt w:val="bullet"/>
      <w:lvlText w:val=""/>
      <w:lvlJc w:val="left"/>
      <w:pPr>
        <w:ind w:left="2880" w:hanging="360"/>
      </w:pPr>
      <w:rPr>
        <w:rFonts w:ascii="Symbol" w:hAnsi="Symbol" w:hint="default"/>
      </w:rPr>
    </w:lvl>
    <w:lvl w:ilvl="4" w:tplc="D2102628" w:tentative="1">
      <w:start w:val="1"/>
      <w:numFmt w:val="bullet"/>
      <w:lvlText w:val="o"/>
      <w:lvlJc w:val="left"/>
      <w:pPr>
        <w:ind w:left="3600" w:hanging="360"/>
      </w:pPr>
      <w:rPr>
        <w:rFonts w:ascii="Courier New" w:hAnsi="Courier New" w:cs="Courier New" w:hint="default"/>
      </w:rPr>
    </w:lvl>
    <w:lvl w:ilvl="5" w:tplc="4C720B6A" w:tentative="1">
      <w:start w:val="1"/>
      <w:numFmt w:val="bullet"/>
      <w:lvlText w:val=""/>
      <w:lvlJc w:val="left"/>
      <w:pPr>
        <w:ind w:left="4320" w:hanging="360"/>
      </w:pPr>
      <w:rPr>
        <w:rFonts w:ascii="Wingdings" w:hAnsi="Wingdings" w:hint="default"/>
      </w:rPr>
    </w:lvl>
    <w:lvl w:ilvl="6" w:tplc="1F66F144" w:tentative="1">
      <w:start w:val="1"/>
      <w:numFmt w:val="bullet"/>
      <w:lvlText w:val=""/>
      <w:lvlJc w:val="left"/>
      <w:pPr>
        <w:ind w:left="5040" w:hanging="360"/>
      </w:pPr>
      <w:rPr>
        <w:rFonts w:ascii="Symbol" w:hAnsi="Symbol" w:hint="default"/>
      </w:rPr>
    </w:lvl>
    <w:lvl w:ilvl="7" w:tplc="3F6C97BC" w:tentative="1">
      <w:start w:val="1"/>
      <w:numFmt w:val="bullet"/>
      <w:lvlText w:val="o"/>
      <w:lvlJc w:val="left"/>
      <w:pPr>
        <w:ind w:left="5760" w:hanging="360"/>
      </w:pPr>
      <w:rPr>
        <w:rFonts w:ascii="Courier New" w:hAnsi="Courier New" w:cs="Courier New" w:hint="default"/>
      </w:rPr>
    </w:lvl>
    <w:lvl w:ilvl="8" w:tplc="83D88A84" w:tentative="1">
      <w:start w:val="1"/>
      <w:numFmt w:val="bullet"/>
      <w:lvlText w:val=""/>
      <w:lvlJc w:val="left"/>
      <w:pPr>
        <w:ind w:left="6480" w:hanging="360"/>
      </w:pPr>
      <w:rPr>
        <w:rFonts w:ascii="Wingdings" w:hAnsi="Wingdings" w:hint="default"/>
      </w:rPr>
    </w:lvl>
  </w:abstractNum>
  <w:abstractNum w:abstractNumId="24" w15:restartNumberingAfterBreak="0">
    <w:nsid w:val="1F925BB7"/>
    <w:multiLevelType w:val="hybridMultilevel"/>
    <w:tmpl w:val="AD0A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2F161C"/>
    <w:multiLevelType w:val="hybridMultilevel"/>
    <w:tmpl w:val="BE5C7D72"/>
    <w:lvl w:ilvl="0" w:tplc="3E0CD360">
      <w:start w:val="1"/>
      <w:numFmt w:val="bullet"/>
      <w:lvlText w:val=""/>
      <w:lvlJc w:val="left"/>
      <w:pPr>
        <w:ind w:left="720" w:hanging="360"/>
      </w:pPr>
      <w:rPr>
        <w:rFonts w:ascii="Symbol" w:hAnsi="Symbol" w:hint="default"/>
      </w:rPr>
    </w:lvl>
    <w:lvl w:ilvl="1" w:tplc="9B6AA022" w:tentative="1">
      <w:start w:val="1"/>
      <w:numFmt w:val="bullet"/>
      <w:lvlText w:val="o"/>
      <w:lvlJc w:val="left"/>
      <w:pPr>
        <w:ind w:left="1440" w:hanging="360"/>
      </w:pPr>
      <w:rPr>
        <w:rFonts w:ascii="Courier New" w:hAnsi="Courier New" w:cs="Courier New" w:hint="default"/>
      </w:rPr>
    </w:lvl>
    <w:lvl w:ilvl="2" w:tplc="A1A01784" w:tentative="1">
      <w:start w:val="1"/>
      <w:numFmt w:val="bullet"/>
      <w:lvlText w:val=""/>
      <w:lvlJc w:val="left"/>
      <w:pPr>
        <w:ind w:left="2160" w:hanging="360"/>
      </w:pPr>
      <w:rPr>
        <w:rFonts w:ascii="Wingdings" w:hAnsi="Wingdings" w:hint="default"/>
      </w:rPr>
    </w:lvl>
    <w:lvl w:ilvl="3" w:tplc="ABB6DB70" w:tentative="1">
      <w:start w:val="1"/>
      <w:numFmt w:val="bullet"/>
      <w:lvlText w:val=""/>
      <w:lvlJc w:val="left"/>
      <w:pPr>
        <w:ind w:left="2880" w:hanging="360"/>
      </w:pPr>
      <w:rPr>
        <w:rFonts w:ascii="Symbol" w:hAnsi="Symbol" w:hint="default"/>
      </w:rPr>
    </w:lvl>
    <w:lvl w:ilvl="4" w:tplc="DB7A683A" w:tentative="1">
      <w:start w:val="1"/>
      <w:numFmt w:val="bullet"/>
      <w:lvlText w:val="o"/>
      <w:lvlJc w:val="left"/>
      <w:pPr>
        <w:ind w:left="3600" w:hanging="360"/>
      </w:pPr>
      <w:rPr>
        <w:rFonts w:ascii="Courier New" w:hAnsi="Courier New" w:cs="Courier New" w:hint="default"/>
      </w:rPr>
    </w:lvl>
    <w:lvl w:ilvl="5" w:tplc="F4143E96" w:tentative="1">
      <w:start w:val="1"/>
      <w:numFmt w:val="bullet"/>
      <w:lvlText w:val=""/>
      <w:lvlJc w:val="left"/>
      <w:pPr>
        <w:ind w:left="4320" w:hanging="360"/>
      </w:pPr>
      <w:rPr>
        <w:rFonts w:ascii="Wingdings" w:hAnsi="Wingdings" w:hint="default"/>
      </w:rPr>
    </w:lvl>
    <w:lvl w:ilvl="6" w:tplc="87B00DE2" w:tentative="1">
      <w:start w:val="1"/>
      <w:numFmt w:val="bullet"/>
      <w:lvlText w:val=""/>
      <w:lvlJc w:val="left"/>
      <w:pPr>
        <w:ind w:left="5040" w:hanging="360"/>
      </w:pPr>
      <w:rPr>
        <w:rFonts w:ascii="Symbol" w:hAnsi="Symbol" w:hint="default"/>
      </w:rPr>
    </w:lvl>
    <w:lvl w:ilvl="7" w:tplc="0D1A0CD4" w:tentative="1">
      <w:start w:val="1"/>
      <w:numFmt w:val="bullet"/>
      <w:lvlText w:val="o"/>
      <w:lvlJc w:val="left"/>
      <w:pPr>
        <w:ind w:left="5760" w:hanging="360"/>
      </w:pPr>
      <w:rPr>
        <w:rFonts w:ascii="Courier New" w:hAnsi="Courier New" w:cs="Courier New" w:hint="default"/>
      </w:rPr>
    </w:lvl>
    <w:lvl w:ilvl="8" w:tplc="8B5CDDD2" w:tentative="1">
      <w:start w:val="1"/>
      <w:numFmt w:val="bullet"/>
      <w:lvlText w:val=""/>
      <w:lvlJc w:val="left"/>
      <w:pPr>
        <w:ind w:left="6480" w:hanging="360"/>
      </w:pPr>
      <w:rPr>
        <w:rFonts w:ascii="Wingdings" w:hAnsi="Wingdings" w:hint="default"/>
      </w:rPr>
    </w:lvl>
  </w:abstractNum>
  <w:abstractNum w:abstractNumId="26" w15:restartNumberingAfterBreak="0">
    <w:nsid w:val="22D45C55"/>
    <w:multiLevelType w:val="hybridMultilevel"/>
    <w:tmpl w:val="9C026072"/>
    <w:lvl w:ilvl="0" w:tplc="62C24BAE">
      <w:start w:val="1"/>
      <w:numFmt w:val="bullet"/>
      <w:lvlText w:val=""/>
      <w:lvlJc w:val="left"/>
      <w:pPr>
        <w:ind w:left="1077" w:hanging="360"/>
      </w:pPr>
      <w:rPr>
        <w:rFonts w:ascii="Symbol" w:hAnsi="Symbol" w:hint="default"/>
      </w:rPr>
    </w:lvl>
    <w:lvl w:ilvl="1" w:tplc="E3586352">
      <w:start w:val="1"/>
      <w:numFmt w:val="bullet"/>
      <w:lvlText w:val="o"/>
      <w:lvlJc w:val="left"/>
      <w:pPr>
        <w:ind w:left="1797" w:hanging="360"/>
      </w:pPr>
      <w:rPr>
        <w:rFonts w:ascii="Courier New" w:hAnsi="Courier New" w:cs="Courier New" w:hint="default"/>
      </w:rPr>
    </w:lvl>
    <w:lvl w:ilvl="2" w:tplc="BD7E2268" w:tentative="1">
      <w:start w:val="1"/>
      <w:numFmt w:val="bullet"/>
      <w:lvlText w:val=""/>
      <w:lvlJc w:val="left"/>
      <w:pPr>
        <w:ind w:left="2517" w:hanging="360"/>
      </w:pPr>
      <w:rPr>
        <w:rFonts w:ascii="Wingdings" w:hAnsi="Wingdings" w:hint="default"/>
      </w:rPr>
    </w:lvl>
    <w:lvl w:ilvl="3" w:tplc="6706BCBE" w:tentative="1">
      <w:start w:val="1"/>
      <w:numFmt w:val="bullet"/>
      <w:lvlText w:val=""/>
      <w:lvlJc w:val="left"/>
      <w:pPr>
        <w:ind w:left="3237" w:hanging="360"/>
      </w:pPr>
      <w:rPr>
        <w:rFonts w:ascii="Symbol" w:hAnsi="Symbol" w:hint="default"/>
      </w:rPr>
    </w:lvl>
    <w:lvl w:ilvl="4" w:tplc="4C8AA07C" w:tentative="1">
      <w:start w:val="1"/>
      <w:numFmt w:val="bullet"/>
      <w:lvlText w:val="o"/>
      <w:lvlJc w:val="left"/>
      <w:pPr>
        <w:ind w:left="3957" w:hanging="360"/>
      </w:pPr>
      <w:rPr>
        <w:rFonts w:ascii="Courier New" w:hAnsi="Courier New" w:cs="Courier New" w:hint="default"/>
      </w:rPr>
    </w:lvl>
    <w:lvl w:ilvl="5" w:tplc="3AF2A1CE" w:tentative="1">
      <w:start w:val="1"/>
      <w:numFmt w:val="bullet"/>
      <w:lvlText w:val=""/>
      <w:lvlJc w:val="left"/>
      <w:pPr>
        <w:ind w:left="4677" w:hanging="360"/>
      </w:pPr>
      <w:rPr>
        <w:rFonts w:ascii="Wingdings" w:hAnsi="Wingdings" w:hint="default"/>
      </w:rPr>
    </w:lvl>
    <w:lvl w:ilvl="6" w:tplc="F62813B2" w:tentative="1">
      <w:start w:val="1"/>
      <w:numFmt w:val="bullet"/>
      <w:lvlText w:val=""/>
      <w:lvlJc w:val="left"/>
      <w:pPr>
        <w:ind w:left="5397" w:hanging="360"/>
      </w:pPr>
      <w:rPr>
        <w:rFonts w:ascii="Symbol" w:hAnsi="Symbol" w:hint="default"/>
      </w:rPr>
    </w:lvl>
    <w:lvl w:ilvl="7" w:tplc="0E2ABE36" w:tentative="1">
      <w:start w:val="1"/>
      <w:numFmt w:val="bullet"/>
      <w:lvlText w:val="o"/>
      <w:lvlJc w:val="left"/>
      <w:pPr>
        <w:ind w:left="6117" w:hanging="360"/>
      </w:pPr>
      <w:rPr>
        <w:rFonts w:ascii="Courier New" w:hAnsi="Courier New" w:cs="Courier New" w:hint="default"/>
      </w:rPr>
    </w:lvl>
    <w:lvl w:ilvl="8" w:tplc="D2489832" w:tentative="1">
      <w:start w:val="1"/>
      <w:numFmt w:val="bullet"/>
      <w:lvlText w:val=""/>
      <w:lvlJc w:val="left"/>
      <w:pPr>
        <w:ind w:left="6837" w:hanging="360"/>
      </w:pPr>
      <w:rPr>
        <w:rFonts w:ascii="Wingdings" w:hAnsi="Wingdings" w:hint="default"/>
      </w:rPr>
    </w:lvl>
  </w:abstractNum>
  <w:abstractNum w:abstractNumId="27" w15:restartNumberingAfterBreak="0">
    <w:nsid w:val="23DB4D4F"/>
    <w:multiLevelType w:val="hybridMultilevel"/>
    <w:tmpl w:val="0D5844B0"/>
    <w:lvl w:ilvl="0" w:tplc="9C8AD0A2">
      <w:start w:val="1"/>
      <w:numFmt w:val="bullet"/>
      <w:lvlText w:val=""/>
      <w:lvlJc w:val="left"/>
      <w:pPr>
        <w:ind w:left="720" w:hanging="360"/>
      </w:pPr>
      <w:rPr>
        <w:rFonts w:ascii="Symbol" w:hAnsi="Symbol" w:hint="default"/>
        <w:color w:val="auto"/>
      </w:rPr>
    </w:lvl>
    <w:lvl w:ilvl="1" w:tplc="91E2F2FE" w:tentative="1">
      <w:start w:val="1"/>
      <w:numFmt w:val="bullet"/>
      <w:lvlText w:val="o"/>
      <w:lvlJc w:val="left"/>
      <w:pPr>
        <w:ind w:left="1440" w:hanging="360"/>
      </w:pPr>
      <w:rPr>
        <w:rFonts w:ascii="Courier New" w:hAnsi="Courier New" w:cs="Courier New" w:hint="default"/>
      </w:rPr>
    </w:lvl>
    <w:lvl w:ilvl="2" w:tplc="84B0BF96" w:tentative="1">
      <w:start w:val="1"/>
      <w:numFmt w:val="bullet"/>
      <w:lvlText w:val=""/>
      <w:lvlJc w:val="left"/>
      <w:pPr>
        <w:ind w:left="2160" w:hanging="360"/>
      </w:pPr>
      <w:rPr>
        <w:rFonts w:ascii="Wingdings" w:hAnsi="Wingdings" w:hint="default"/>
      </w:rPr>
    </w:lvl>
    <w:lvl w:ilvl="3" w:tplc="542C86E0" w:tentative="1">
      <w:start w:val="1"/>
      <w:numFmt w:val="bullet"/>
      <w:lvlText w:val=""/>
      <w:lvlJc w:val="left"/>
      <w:pPr>
        <w:ind w:left="2880" w:hanging="360"/>
      </w:pPr>
      <w:rPr>
        <w:rFonts w:ascii="Symbol" w:hAnsi="Symbol" w:hint="default"/>
      </w:rPr>
    </w:lvl>
    <w:lvl w:ilvl="4" w:tplc="E6784788" w:tentative="1">
      <w:start w:val="1"/>
      <w:numFmt w:val="bullet"/>
      <w:lvlText w:val="o"/>
      <w:lvlJc w:val="left"/>
      <w:pPr>
        <w:ind w:left="3600" w:hanging="360"/>
      </w:pPr>
      <w:rPr>
        <w:rFonts w:ascii="Courier New" w:hAnsi="Courier New" w:cs="Courier New" w:hint="default"/>
      </w:rPr>
    </w:lvl>
    <w:lvl w:ilvl="5" w:tplc="7E4481D0" w:tentative="1">
      <w:start w:val="1"/>
      <w:numFmt w:val="bullet"/>
      <w:lvlText w:val=""/>
      <w:lvlJc w:val="left"/>
      <w:pPr>
        <w:ind w:left="4320" w:hanging="360"/>
      </w:pPr>
      <w:rPr>
        <w:rFonts w:ascii="Wingdings" w:hAnsi="Wingdings" w:hint="default"/>
      </w:rPr>
    </w:lvl>
    <w:lvl w:ilvl="6" w:tplc="775ECCD8" w:tentative="1">
      <w:start w:val="1"/>
      <w:numFmt w:val="bullet"/>
      <w:lvlText w:val=""/>
      <w:lvlJc w:val="left"/>
      <w:pPr>
        <w:ind w:left="5040" w:hanging="360"/>
      </w:pPr>
      <w:rPr>
        <w:rFonts w:ascii="Symbol" w:hAnsi="Symbol" w:hint="default"/>
      </w:rPr>
    </w:lvl>
    <w:lvl w:ilvl="7" w:tplc="FF10B644" w:tentative="1">
      <w:start w:val="1"/>
      <w:numFmt w:val="bullet"/>
      <w:lvlText w:val="o"/>
      <w:lvlJc w:val="left"/>
      <w:pPr>
        <w:ind w:left="5760" w:hanging="360"/>
      </w:pPr>
      <w:rPr>
        <w:rFonts w:ascii="Courier New" w:hAnsi="Courier New" w:cs="Courier New" w:hint="default"/>
      </w:rPr>
    </w:lvl>
    <w:lvl w:ilvl="8" w:tplc="C63CA714" w:tentative="1">
      <w:start w:val="1"/>
      <w:numFmt w:val="bullet"/>
      <w:lvlText w:val=""/>
      <w:lvlJc w:val="left"/>
      <w:pPr>
        <w:ind w:left="6480" w:hanging="360"/>
      </w:pPr>
      <w:rPr>
        <w:rFonts w:ascii="Wingdings" w:hAnsi="Wingdings" w:hint="default"/>
      </w:rPr>
    </w:lvl>
  </w:abstractNum>
  <w:abstractNum w:abstractNumId="28" w15:restartNumberingAfterBreak="0">
    <w:nsid w:val="23DCBBE3"/>
    <w:multiLevelType w:val="hybridMultilevel"/>
    <w:tmpl w:val="FFFFFFFF"/>
    <w:lvl w:ilvl="0" w:tplc="ED020B7E">
      <w:start w:val="1"/>
      <w:numFmt w:val="bullet"/>
      <w:lvlText w:val=""/>
      <w:lvlJc w:val="left"/>
      <w:pPr>
        <w:ind w:left="720" w:hanging="360"/>
      </w:pPr>
      <w:rPr>
        <w:rFonts w:ascii="Symbol" w:hAnsi="Symbol" w:hint="default"/>
      </w:rPr>
    </w:lvl>
    <w:lvl w:ilvl="1" w:tplc="4B543470">
      <w:start w:val="1"/>
      <w:numFmt w:val="bullet"/>
      <w:lvlText w:val="o"/>
      <w:lvlJc w:val="left"/>
      <w:pPr>
        <w:ind w:left="1440" w:hanging="360"/>
      </w:pPr>
      <w:rPr>
        <w:rFonts w:ascii="Courier New" w:hAnsi="Courier New" w:hint="default"/>
      </w:rPr>
    </w:lvl>
    <w:lvl w:ilvl="2" w:tplc="11BEE442">
      <w:start w:val="1"/>
      <w:numFmt w:val="bullet"/>
      <w:lvlText w:val=""/>
      <w:lvlJc w:val="left"/>
      <w:pPr>
        <w:ind w:left="2160" w:hanging="360"/>
      </w:pPr>
      <w:rPr>
        <w:rFonts w:ascii="Wingdings" w:hAnsi="Wingdings" w:hint="default"/>
      </w:rPr>
    </w:lvl>
    <w:lvl w:ilvl="3" w:tplc="49FC9E0A">
      <w:start w:val="1"/>
      <w:numFmt w:val="bullet"/>
      <w:lvlText w:val=""/>
      <w:lvlJc w:val="left"/>
      <w:pPr>
        <w:ind w:left="2880" w:hanging="360"/>
      </w:pPr>
      <w:rPr>
        <w:rFonts w:ascii="Symbol" w:hAnsi="Symbol" w:hint="default"/>
      </w:rPr>
    </w:lvl>
    <w:lvl w:ilvl="4" w:tplc="6C22D78C">
      <w:start w:val="1"/>
      <w:numFmt w:val="bullet"/>
      <w:lvlText w:val="o"/>
      <w:lvlJc w:val="left"/>
      <w:pPr>
        <w:ind w:left="3600" w:hanging="360"/>
      </w:pPr>
      <w:rPr>
        <w:rFonts w:ascii="Courier New" w:hAnsi="Courier New" w:hint="default"/>
      </w:rPr>
    </w:lvl>
    <w:lvl w:ilvl="5" w:tplc="C1C63F88">
      <w:start w:val="1"/>
      <w:numFmt w:val="bullet"/>
      <w:lvlText w:val=""/>
      <w:lvlJc w:val="left"/>
      <w:pPr>
        <w:ind w:left="4320" w:hanging="360"/>
      </w:pPr>
      <w:rPr>
        <w:rFonts w:ascii="Wingdings" w:hAnsi="Wingdings" w:hint="default"/>
      </w:rPr>
    </w:lvl>
    <w:lvl w:ilvl="6" w:tplc="B6321B5C">
      <w:start w:val="1"/>
      <w:numFmt w:val="bullet"/>
      <w:lvlText w:val=""/>
      <w:lvlJc w:val="left"/>
      <w:pPr>
        <w:ind w:left="5040" w:hanging="360"/>
      </w:pPr>
      <w:rPr>
        <w:rFonts w:ascii="Symbol" w:hAnsi="Symbol" w:hint="default"/>
      </w:rPr>
    </w:lvl>
    <w:lvl w:ilvl="7" w:tplc="F40E6E6A">
      <w:start w:val="1"/>
      <w:numFmt w:val="bullet"/>
      <w:lvlText w:val="o"/>
      <w:lvlJc w:val="left"/>
      <w:pPr>
        <w:ind w:left="5760" w:hanging="360"/>
      </w:pPr>
      <w:rPr>
        <w:rFonts w:ascii="Courier New" w:hAnsi="Courier New" w:hint="default"/>
      </w:rPr>
    </w:lvl>
    <w:lvl w:ilvl="8" w:tplc="5DF4C5C0">
      <w:start w:val="1"/>
      <w:numFmt w:val="bullet"/>
      <w:lvlText w:val=""/>
      <w:lvlJc w:val="left"/>
      <w:pPr>
        <w:ind w:left="6480" w:hanging="360"/>
      </w:pPr>
      <w:rPr>
        <w:rFonts w:ascii="Wingdings" w:hAnsi="Wingdings" w:hint="default"/>
      </w:rPr>
    </w:lvl>
  </w:abstractNum>
  <w:abstractNum w:abstractNumId="29" w15:restartNumberingAfterBreak="0">
    <w:nsid w:val="256C47B6"/>
    <w:multiLevelType w:val="multilevel"/>
    <w:tmpl w:val="87A4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9B2B96"/>
    <w:multiLevelType w:val="multilevel"/>
    <w:tmpl w:val="93D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2161A4"/>
    <w:multiLevelType w:val="hybridMultilevel"/>
    <w:tmpl w:val="FFFFFFFF"/>
    <w:lvl w:ilvl="0" w:tplc="FCC00866">
      <w:start w:val="1"/>
      <w:numFmt w:val="bullet"/>
      <w:lvlText w:val=""/>
      <w:lvlJc w:val="left"/>
      <w:pPr>
        <w:ind w:left="720" w:hanging="360"/>
      </w:pPr>
      <w:rPr>
        <w:rFonts w:ascii="Symbol" w:hAnsi="Symbol" w:hint="default"/>
      </w:rPr>
    </w:lvl>
    <w:lvl w:ilvl="1" w:tplc="7696F740">
      <w:start w:val="1"/>
      <w:numFmt w:val="bullet"/>
      <w:lvlText w:val="o"/>
      <w:lvlJc w:val="left"/>
      <w:pPr>
        <w:ind w:left="1440" w:hanging="360"/>
      </w:pPr>
      <w:rPr>
        <w:rFonts w:ascii="Courier New" w:hAnsi="Courier New" w:hint="default"/>
      </w:rPr>
    </w:lvl>
    <w:lvl w:ilvl="2" w:tplc="1B784D08">
      <w:start w:val="1"/>
      <w:numFmt w:val="bullet"/>
      <w:lvlText w:val=""/>
      <w:lvlJc w:val="left"/>
      <w:pPr>
        <w:ind w:left="2160" w:hanging="360"/>
      </w:pPr>
      <w:rPr>
        <w:rFonts w:ascii="Wingdings" w:hAnsi="Wingdings" w:hint="default"/>
      </w:rPr>
    </w:lvl>
    <w:lvl w:ilvl="3" w:tplc="A934B762">
      <w:start w:val="1"/>
      <w:numFmt w:val="bullet"/>
      <w:lvlText w:val=""/>
      <w:lvlJc w:val="left"/>
      <w:pPr>
        <w:ind w:left="2880" w:hanging="360"/>
      </w:pPr>
      <w:rPr>
        <w:rFonts w:ascii="Symbol" w:hAnsi="Symbol" w:hint="default"/>
      </w:rPr>
    </w:lvl>
    <w:lvl w:ilvl="4" w:tplc="B9CECB86">
      <w:start w:val="1"/>
      <w:numFmt w:val="bullet"/>
      <w:lvlText w:val="o"/>
      <w:lvlJc w:val="left"/>
      <w:pPr>
        <w:ind w:left="3600" w:hanging="360"/>
      </w:pPr>
      <w:rPr>
        <w:rFonts w:ascii="Courier New" w:hAnsi="Courier New" w:hint="default"/>
      </w:rPr>
    </w:lvl>
    <w:lvl w:ilvl="5" w:tplc="4AB2DD2C">
      <w:start w:val="1"/>
      <w:numFmt w:val="bullet"/>
      <w:lvlText w:val=""/>
      <w:lvlJc w:val="left"/>
      <w:pPr>
        <w:ind w:left="4320" w:hanging="360"/>
      </w:pPr>
      <w:rPr>
        <w:rFonts w:ascii="Wingdings" w:hAnsi="Wingdings" w:hint="default"/>
      </w:rPr>
    </w:lvl>
    <w:lvl w:ilvl="6" w:tplc="952E76A4">
      <w:start w:val="1"/>
      <w:numFmt w:val="bullet"/>
      <w:lvlText w:val=""/>
      <w:lvlJc w:val="left"/>
      <w:pPr>
        <w:ind w:left="5040" w:hanging="360"/>
      </w:pPr>
      <w:rPr>
        <w:rFonts w:ascii="Symbol" w:hAnsi="Symbol" w:hint="default"/>
      </w:rPr>
    </w:lvl>
    <w:lvl w:ilvl="7" w:tplc="0F4A0F90">
      <w:start w:val="1"/>
      <w:numFmt w:val="bullet"/>
      <w:lvlText w:val="o"/>
      <w:lvlJc w:val="left"/>
      <w:pPr>
        <w:ind w:left="5760" w:hanging="360"/>
      </w:pPr>
      <w:rPr>
        <w:rFonts w:ascii="Courier New" w:hAnsi="Courier New" w:hint="default"/>
      </w:rPr>
    </w:lvl>
    <w:lvl w:ilvl="8" w:tplc="7A9E5BAE">
      <w:start w:val="1"/>
      <w:numFmt w:val="bullet"/>
      <w:lvlText w:val=""/>
      <w:lvlJc w:val="left"/>
      <w:pPr>
        <w:ind w:left="6480" w:hanging="360"/>
      </w:pPr>
      <w:rPr>
        <w:rFonts w:ascii="Wingdings" w:hAnsi="Wingdings" w:hint="default"/>
      </w:rPr>
    </w:lvl>
  </w:abstractNum>
  <w:abstractNum w:abstractNumId="32" w15:restartNumberingAfterBreak="0">
    <w:nsid w:val="310014CE"/>
    <w:multiLevelType w:val="hybridMultilevel"/>
    <w:tmpl w:val="B2866066"/>
    <w:lvl w:ilvl="0" w:tplc="297CE8EA">
      <w:start w:val="1"/>
      <w:numFmt w:val="bullet"/>
      <w:lvlText w:val=""/>
      <w:lvlJc w:val="left"/>
      <w:pPr>
        <w:tabs>
          <w:tab w:val="num" w:pos="720"/>
        </w:tabs>
        <w:ind w:left="720" w:hanging="360"/>
      </w:pPr>
      <w:rPr>
        <w:rFonts w:ascii="Symbol" w:hAnsi="Symbol" w:hint="default"/>
        <w:sz w:val="20"/>
      </w:rPr>
    </w:lvl>
    <w:lvl w:ilvl="1" w:tplc="F0881B12" w:tentative="1">
      <w:start w:val="1"/>
      <w:numFmt w:val="bullet"/>
      <w:lvlText w:val="o"/>
      <w:lvlJc w:val="left"/>
      <w:pPr>
        <w:tabs>
          <w:tab w:val="num" w:pos="1440"/>
        </w:tabs>
        <w:ind w:left="1440" w:hanging="360"/>
      </w:pPr>
      <w:rPr>
        <w:rFonts w:ascii="Courier New" w:hAnsi="Courier New" w:hint="default"/>
        <w:sz w:val="20"/>
      </w:rPr>
    </w:lvl>
    <w:lvl w:ilvl="2" w:tplc="0040DF48" w:tentative="1">
      <w:start w:val="1"/>
      <w:numFmt w:val="bullet"/>
      <w:lvlText w:val=""/>
      <w:lvlJc w:val="left"/>
      <w:pPr>
        <w:tabs>
          <w:tab w:val="num" w:pos="2160"/>
        </w:tabs>
        <w:ind w:left="2160" w:hanging="360"/>
      </w:pPr>
      <w:rPr>
        <w:rFonts w:ascii="Wingdings" w:hAnsi="Wingdings" w:hint="default"/>
        <w:sz w:val="20"/>
      </w:rPr>
    </w:lvl>
    <w:lvl w:ilvl="3" w:tplc="8E084868" w:tentative="1">
      <w:start w:val="1"/>
      <w:numFmt w:val="bullet"/>
      <w:lvlText w:val=""/>
      <w:lvlJc w:val="left"/>
      <w:pPr>
        <w:tabs>
          <w:tab w:val="num" w:pos="2880"/>
        </w:tabs>
        <w:ind w:left="2880" w:hanging="360"/>
      </w:pPr>
      <w:rPr>
        <w:rFonts w:ascii="Wingdings" w:hAnsi="Wingdings" w:hint="default"/>
        <w:sz w:val="20"/>
      </w:rPr>
    </w:lvl>
    <w:lvl w:ilvl="4" w:tplc="39F4A6BE" w:tentative="1">
      <w:start w:val="1"/>
      <w:numFmt w:val="bullet"/>
      <w:lvlText w:val=""/>
      <w:lvlJc w:val="left"/>
      <w:pPr>
        <w:tabs>
          <w:tab w:val="num" w:pos="3600"/>
        </w:tabs>
        <w:ind w:left="3600" w:hanging="360"/>
      </w:pPr>
      <w:rPr>
        <w:rFonts w:ascii="Wingdings" w:hAnsi="Wingdings" w:hint="default"/>
        <w:sz w:val="20"/>
      </w:rPr>
    </w:lvl>
    <w:lvl w:ilvl="5" w:tplc="4F18C624" w:tentative="1">
      <w:start w:val="1"/>
      <w:numFmt w:val="bullet"/>
      <w:lvlText w:val=""/>
      <w:lvlJc w:val="left"/>
      <w:pPr>
        <w:tabs>
          <w:tab w:val="num" w:pos="4320"/>
        </w:tabs>
        <w:ind w:left="4320" w:hanging="360"/>
      </w:pPr>
      <w:rPr>
        <w:rFonts w:ascii="Wingdings" w:hAnsi="Wingdings" w:hint="default"/>
        <w:sz w:val="20"/>
      </w:rPr>
    </w:lvl>
    <w:lvl w:ilvl="6" w:tplc="00B47052" w:tentative="1">
      <w:start w:val="1"/>
      <w:numFmt w:val="bullet"/>
      <w:lvlText w:val=""/>
      <w:lvlJc w:val="left"/>
      <w:pPr>
        <w:tabs>
          <w:tab w:val="num" w:pos="5040"/>
        </w:tabs>
        <w:ind w:left="5040" w:hanging="360"/>
      </w:pPr>
      <w:rPr>
        <w:rFonts w:ascii="Wingdings" w:hAnsi="Wingdings" w:hint="default"/>
        <w:sz w:val="20"/>
      </w:rPr>
    </w:lvl>
    <w:lvl w:ilvl="7" w:tplc="58540934" w:tentative="1">
      <w:start w:val="1"/>
      <w:numFmt w:val="bullet"/>
      <w:lvlText w:val=""/>
      <w:lvlJc w:val="left"/>
      <w:pPr>
        <w:tabs>
          <w:tab w:val="num" w:pos="5760"/>
        </w:tabs>
        <w:ind w:left="5760" w:hanging="360"/>
      </w:pPr>
      <w:rPr>
        <w:rFonts w:ascii="Wingdings" w:hAnsi="Wingdings" w:hint="default"/>
        <w:sz w:val="20"/>
      </w:rPr>
    </w:lvl>
    <w:lvl w:ilvl="8" w:tplc="6C4E47E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C278BC"/>
    <w:multiLevelType w:val="hybridMultilevel"/>
    <w:tmpl w:val="0994F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367603"/>
    <w:multiLevelType w:val="multilevel"/>
    <w:tmpl w:val="2A0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884129"/>
    <w:multiLevelType w:val="hybridMultilevel"/>
    <w:tmpl w:val="8F9CFBFA"/>
    <w:lvl w:ilvl="0" w:tplc="70D2813E">
      <w:start w:val="1"/>
      <w:numFmt w:val="bullet"/>
      <w:lvlText w:val=""/>
      <w:lvlJc w:val="left"/>
      <w:pPr>
        <w:ind w:left="720" w:hanging="360"/>
      </w:pPr>
      <w:rPr>
        <w:rFonts w:ascii="Symbol" w:hAnsi="Symbol" w:hint="default"/>
      </w:rPr>
    </w:lvl>
    <w:lvl w:ilvl="1" w:tplc="BB6EFE14" w:tentative="1">
      <w:start w:val="1"/>
      <w:numFmt w:val="bullet"/>
      <w:lvlText w:val="o"/>
      <w:lvlJc w:val="left"/>
      <w:pPr>
        <w:ind w:left="1440" w:hanging="360"/>
      </w:pPr>
      <w:rPr>
        <w:rFonts w:ascii="Courier New" w:hAnsi="Courier New" w:cs="Courier New" w:hint="default"/>
      </w:rPr>
    </w:lvl>
    <w:lvl w:ilvl="2" w:tplc="C7AA6038" w:tentative="1">
      <w:start w:val="1"/>
      <w:numFmt w:val="bullet"/>
      <w:lvlText w:val=""/>
      <w:lvlJc w:val="left"/>
      <w:pPr>
        <w:ind w:left="2160" w:hanging="360"/>
      </w:pPr>
      <w:rPr>
        <w:rFonts w:ascii="Wingdings" w:hAnsi="Wingdings" w:hint="default"/>
      </w:rPr>
    </w:lvl>
    <w:lvl w:ilvl="3" w:tplc="A1C6CB92" w:tentative="1">
      <w:start w:val="1"/>
      <w:numFmt w:val="bullet"/>
      <w:lvlText w:val=""/>
      <w:lvlJc w:val="left"/>
      <w:pPr>
        <w:ind w:left="2880" w:hanging="360"/>
      </w:pPr>
      <w:rPr>
        <w:rFonts w:ascii="Symbol" w:hAnsi="Symbol" w:hint="default"/>
      </w:rPr>
    </w:lvl>
    <w:lvl w:ilvl="4" w:tplc="1A185A3C" w:tentative="1">
      <w:start w:val="1"/>
      <w:numFmt w:val="bullet"/>
      <w:lvlText w:val="o"/>
      <w:lvlJc w:val="left"/>
      <w:pPr>
        <w:ind w:left="3600" w:hanging="360"/>
      </w:pPr>
      <w:rPr>
        <w:rFonts w:ascii="Courier New" w:hAnsi="Courier New" w:cs="Courier New" w:hint="default"/>
      </w:rPr>
    </w:lvl>
    <w:lvl w:ilvl="5" w:tplc="091A7FDA" w:tentative="1">
      <w:start w:val="1"/>
      <w:numFmt w:val="bullet"/>
      <w:lvlText w:val=""/>
      <w:lvlJc w:val="left"/>
      <w:pPr>
        <w:ind w:left="4320" w:hanging="360"/>
      </w:pPr>
      <w:rPr>
        <w:rFonts w:ascii="Wingdings" w:hAnsi="Wingdings" w:hint="default"/>
      </w:rPr>
    </w:lvl>
    <w:lvl w:ilvl="6" w:tplc="736EC994" w:tentative="1">
      <w:start w:val="1"/>
      <w:numFmt w:val="bullet"/>
      <w:lvlText w:val=""/>
      <w:lvlJc w:val="left"/>
      <w:pPr>
        <w:ind w:left="5040" w:hanging="360"/>
      </w:pPr>
      <w:rPr>
        <w:rFonts w:ascii="Symbol" w:hAnsi="Symbol" w:hint="default"/>
      </w:rPr>
    </w:lvl>
    <w:lvl w:ilvl="7" w:tplc="C090ECC8" w:tentative="1">
      <w:start w:val="1"/>
      <w:numFmt w:val="bullet"/>
      <w:lvlText w:val="o"/>
      <w:lvlJc w:val="left"/>
      <w:pPr>
        <w:ind w:left="5760" w:hanging="360"/>
      </w:pPr>
      <w:rPr>
        <w:rFonts w:ascii="Courier New" w:hAnsi="Courier New" w:cs="Courier New" w:hint="default"/>
      </w:rPr>
    </w:lvl>
    <w:lvl w:ilvl="8" w:tplc="5C1CFEEA" w:tentative="1">
      <w:start w:val="1"/>
      <w:numFmt w:val="bullet"/>
      <w:lvlText w:val=""/>
      <w:lvlJc w:val="left"/>
      <w:pPr>
        <w:ind w:left="6480" w:hanging="360"/>
      </w:pPr>
      <w:rPr>
        <w:rFonts w:ascii="Wingdings" w:hAnsi="Wingdings" w:hint="default"/>
      </w:rPr>
    </w:lvl>
  </w:abstractNum>
  <w:abstractNum w:abstractNumId="36" w15:restartNumberingAfterBreak="0">
    <w:nsid w:val="3B296235"/>
    <w:multiLevelType w:val="hybridMultilevel"/>
    <w:tmpl w:val="CD664CDC"/>
    <w:lvl w:ilvl="0" w:tplc="F906F2FE">
      <w:start w:val="1"/>
      <w:numFmt w:val="bullet"/>
      <w:lvlText w:val=""/>
      <w:lvlJc w:val="left"/>
      <w:pPr>
        <w:ind w:left="720" w:hanging="360"/>
      </w:pPr>
      <w:rPr>
        <w:rFonts w:ascii="Symbol" w:hAnsi="Symbol" w:hint="default"/>
      </w:rPr>
    </w:lvl>
    <w:lvl w:ilvl="1" w:tplc="BAE8E0A8">
      <w:start w:val="1"/>
      <w:numFmt w:val="bullet"/>
      <w:lvlText w:val="o"/>
      <w:lvlJc w:val="left"/>
      <w:pPr>
        <w:ind w:left="1440" w:hanging="360"/>
      </w:pPr>
      <w:rPr>
        <w:rFonts w:ascii="Courier New" w:hAnsi="Courier New" w:hint="default"/>
      </w:rPr>
    </w:lvl>
    <w:lvl w:ilvl="2" w:tplc="5276019A">
      <w:start w:val="1"/>
      <w:numFmt w:val="bullet"/>
      <w:lvlText w:val=""/>
      <w:lvlJc w:val="left"/>
      <w:pPr>
        <w:ind w:left="2160" w:hanging="360"/>
      </w:pPr>
      <w:rPr>
        <w:rFonts w:ascii="Wingdings" w:hAnsi="Wingdings" w:hint="default"/>
      </w:rPr>
    </w:lvl>
    <w:lvl w:ilvl="3" w:tplc="BBB8F4F4">
      <w:start w:val="1"/>
      <w:numFmt w:val="bullet"/>
      <w:lvlText w:val=""/>
      <w:lvlJc w:val="left"/>
      <w:pPr>
        <w:ind w:left="2880" w:hanging="360"/>
      </w:pPr>
      <w:rPr>
        <w:rFonts w:ascii="Symbol" w:hAnsi="Symbol" w:hint="default"/>
      </w:rPr>
    </w:lvl>
    <w:lvl w:ilvl="4" w:tplc="D4BE1126">
      <w:start w:val="1"/>
      <w:numFmt w:val="bullet"/>
      <w:lvlText w:val="o"/>
      <w:lvlJc w:val="left"/>
      <w:pPr>
        <w:ind w:left="3600" w:hanging="360"/>
      </w:pPr>
      <w:rPr>
        <w:rFonts w:ascii="Courier New" w:hAnsi="Courier New" w:hint="default"/>
      </w:rPr>
    </w:lvl>
    <w:lvl w:ilvl="5" w:tplc="5D4A5990">
      <w:start w:val="1"/>
      <w:numFmt w:val="bullet"/>
      <w:lvlText w:val=""/>
      <w:lvlJc w:val="left"/>
      <w:pPr>
        <w:ind w:left="4320" w:hanging="360"/>
      </w:pPr>
      <w:rPr>
        <w:rFonts w:ascii="Wingdings" w:hAnsi="Wingdings" w:hint="default"/>
      </w:rPr>
    </w:lvl>
    <w:lvl w:ilvl="6" w:tplc="4F0E367A">
      <w:start w:val="1"/>
      <w:numFmt w:val="bullet"/>
      <w:lvlText w:val=""/>
      <w:lvlJc w:val="left"/>
      <w:pPr>
        <w:ind w:left="5040" w:hanging="360"/>
      </w:pPr>
      <w:rPr>
        <w:rFonts w:ascii="Symbol" w:hAnsi="Symbol" w:hint="default"/>
      </w:rPr>
    </w:lvl>
    <w:lvl w:ilvl="7" w:tplc="64B268A8">
      <w:start w:val="1"/>
      <w:numFmt w:val="bullet"/>
      <w:lvlText w:val="o"/>
      <w:lvlJc w:val="left"/>
      <w:pPr>
        <w:ind w:left="5760" w:hanging="360"/>
      </w:pPr>
      <w:rPr>
        <w:rFonts w:ascii="Courier New" w:hAnsi="Courier New" w:hint="default"/>
      </w:rPr>
    </w:lvl>
    <w:lvl w:ilvl="8" w:tplc="5F84B8EC">
      <w:start w:val="1"/>
      <w:numFmt w:val="bullet"/>
      <w:lvlText w:val=""/>
      <w:lvlJc w:val="left"/>
      <w:pPr>
        <w:ind w:left="6480" w:hanging="360"/>
      </w:pPr>
      <w:rPr>
        <w:rFonts w:ascii="Wingdings" w:hAnsi="Wingdings" w:hint="default"/>
      </w:rPr>
    </w:lvl>
  </w:abstractNum>
  <w:abstractNum w:abstractNumId="37" w15:restartNumberingAfterBreak="0">
    <w:nsid w:val="40EF5B60"/>
    <w:multiLevelType w:val="hybridMultilevel"/>
    <w:tmpl w:val="CF16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CF2AC5"/>
    <w:multiLevelType w:val="hybridMultilevel"/>
    <w:tmpl w:val="26480050"/>
    <w:lvl w:ilvl="0" w:tplc="030410D4">
      <w:start w:val="1"/>
      <w:numFmt w:val="bullet"/>
      <w:lvlText w:val=""/>
      <w:lvlJc w:val="left"/>
      <w:pPr>
        <w:ind w:left="720" w:hanging="360"/>
      </w:pPr>
      <w:rPr>
        <w:rFonts w:ascii="Symbol" w:hAnsi="Symbol" w:hint="default"/>
      </w:rPr>
    </w:lvl>
    <w:lvl w:ilvl="1" w:tplc="DCE011A8">
      <w:start w:val="1"/>
      <w:numFmt w:val="bullet"/>
      <w:lvlText w:val="o"/>
      <w:lvlJc w:val="left"/>
      <w:pPr>
        <w:ind w:left="1440" w:hanging="360"/>
      </w:pPr>
      <w:rPr>
        <w:rFonts w:ascii="Courier New" w:hAnsi="Courier New" w:hint="default"/>
      </w:rPr>
    </w:lvl>
    <w:lvl w:ilvl="2" w:tplc="D178A1A8">
      <w:start w:val="1"/>
      <w:numFmt w:val="bullet"/>
      <w:lvlText w:val=""/>
      <w:lvlJc w:val="left"/>
      <w:pPr>
        <w:ind w:left="2160" w:hanging="360"/>
      </w:pPr>
      <w:rPr>
        <w:rFonts w:ascii="Wingdings" w:hAnsi="Wingdings" w:hint="default"/>
      </w:rPr>
    </w:lvl>
    <w:lvl w:ilvl="3" w:tplc="268E756E">
      <w:start w:val="1"/>
      <w:numFmt w:val="bullet"/>
      <w:lvlText w:val=""/>
      <w:lvlJc w:val="left"/>
      <w:pPr>
        <w:ind w:left="2880" w:hanging="360"/>
      </w:pPr>
      <w:rPr>
        <w:rFonts w:ascii="Symbol" w:hAnsi="Symbol" w:hint="default"/>
      </w:rPr>
    </w:lvl>
    <w:lvl w:ilvl="4" w:tplc="83C4739A">
      <w:start w:val="1"/>
      <w:numFmt w:val="bullet"/>
      <w:lvlText w:val="o"/>
      <w:lvlJc w:val="left"/>
      <w:pPr>
        <w:ind w:left="3600" w:hanging="360"/>
      </w:pPr>
      <w:rPr>
        <w:rFonts w:ascii="Courier New" w:hAnsi="Courier New" w:hint="default"/>
      </w:rPr>
    </w:lvl>
    <w:lvl w:ilvl="5" w:tplc="48D8F9E4">
      <w:start w:val="1"/>
      <w:numFmt w:val="bullet"/>
      <w:lvlText w:val=""/>
      <w:lvlJc w:val="left"/>
      <w:pPr>
        <w:ind w:left="4320" w:hanging="360"/>
      </w:pPr>
      <w:rPr>
        <w:rFonts w:ascii="Wingdings" w:hAnsi="Wingdings" w:hint="default"/>
      </w:rPr>
    </w:lvl>
    <w:lvl w:ilvl="6" w:tplc="300E022C">
      <w:start w:val="1"/>
      <w:numFmt w:val="bullet"/>
      <w:lvlText w:val=""/>
      <w:lvlJc w:val="left"/>
      <w:pPr>
        <w:ind w:left="5040" w:hanging="360"/>
      </w:pPr>
      <w:rPr>
        <w:rFonts w:ascii="Symbol" w:hAnsi="Symbol" w:hint="default"/>
      </w:rPr>
    </w:lvl>
    <w:lvl w:ilvl="7" w:tplc="C37CE2CC">
      <w:start w:val="1"/>
      <w:numFmt w:val="bullet"/>
      <w:lvlText w:val="o"/>
      <w:lvlJc w:val="left"/>
      <w:pPr>
        <w:ind w:left="5760" w:hanging="360"/>
      </w:pPr>
      <w:rPr>
        <w:rFonts w:ascii="Courier New" w:hAnsi="Courier New" w:hint="default"/>
      </w:rPr>
    </w:lvl>
    <w:lvl w:ilvl="8" w:tplc="454269DA">
      <w:start w:val="1"/>
      <w:numFmt w:val="bullet"/>
      <w:lvlText w:val=""/>
      <w:lvlJc w:val="left"/>
      <w:pPr>
        <w:ind w:left="6480" w:hanging="360"/>
      </w:pPr>
      <w:rPr>
        <w:rFonts w:ascii="Wingdings" w:hAnsi="Wingdings" w:hint="default"/>
      </w:rPr>
    </w:lvl>
  </w:abstractNum>
  <w:abstractNum w:abstractNumId="39" w15:restartNumberingAfterBreak="0">
    <w:nsid w:val="47E54F7F"/>
    <w:multiLevelType w:val="hybridMultilevel"/>
    <w:tmpl w:val="EAD8ED12"/>
    <w:lvl w:ilvl="0" w:tplc="29C4AAFA">
      <w:start w:val="1"/>
      <w:numFmt w:val="bullet"/>
      <w:lvlText w:val=""/>
      <w:lvlJc w:val="left"/>
      <w:pPr>
        <w:ind w:left="720" w:hanging="360"/>
      </w:pPr>
      <w:rPr>
        <w:rFonts w:ascii="Symbol" w:hAnsi="Symbol" w:hint="default"/>
      </w:rPr>
    </w:lvl>
    <w:lvl w:ilvl="1" w:tplc="B170CB90">
      <w:start w:val="1"/>
      <w:numFmt w:val="bullet"/>
      <w:lvlText w:val="o"/>
      <w:lvlJc w:val="left"/>
      <w:pPr>
        <w:ind w:left="1440" w:hanging="360"/>
      </w:pPr>
      <w:rPr>
        <w:rFonts w:ascii="Courier New" w:hAnsi="Courier New" w:hint="default"/>
      </w:rPr>
    </w:lvl>
    <w:lvl w:ilvl="2" w:tplc="0EDA073C">
      <w:start w:val="1"/>
      <w:numFmt w:val="bullet"/>
      <w:lvlText w:val=""/>
      <w:lvlJc w:val="left"/>
      <w:pPr>
        <w:ind w:left="2160" w:hanging="360"/>
      </w:pPr>
      <w:rPr>
        <w:rFonts w:ascii="Wingdings" w:hAnsi="Wingdings" w:hint="default"/>
      </w:rPr>
    </w:lvl>
    <w:lvl w:ilvl="3" w:tplc="C8D071F2">
      <w:start w:val="1"/>
      <w:numFmt w:val="bullet"/>
      <w:lvlText w:val=""/>
      <w:lvlJc w:val="left"/>
      <w:pPr>
        <w:ind w:left="2880" w:hanging="360"/>
      </w:pPr>
      <w:rPr>
        <w:rFonts w:ascii="Symbol" w:hAnsi="Symbol" w:hint="default"/>
      </w:rPr>
    </w:lvl>
    <w:lvl w:ilvl="4" w:tplc="B5585F78">
      <w:start w:val="1"/>
      <w:numFmt w:val="bullet"/>
      <w:lvlText w:val="o"/>
      <w:lvlJc w:val="left"/>
      <w:pPr>
        <w:ind w:left="3600" w:hanging="360"/>
      </w:pPr>
      <w:rPr>
        <w:rFonts w:ascii="Courier New" w:hAnsi="Courier New" w:hint="default"/>
      </w:rPr>
    </w:lvl>
    <w:lvl w:ilvl="5" w:tplc="E02ED4E6">
      <w:start w:val="1"/>
      <w:numFmt w:val="bullet"/>
      <w:lvlText w:val=""/>
      <w:lvlJc w:val="left"/>
      <w:pPr>
        <w:ind w:left="4320" w:hanging="360"/>
      </w:pPr>
      <w:rPr>
        <w:rFonts w:ascii="Wingdings" w:hAnsi="Wingdings" w:hint="default"/>
      </w:rPr>
    </w:lvl>
    <w:lvl w:ilvl="6" w:tplc="3D622342">
      <w:start w:val="1"/>
      <w:numFmt w:val="bullet"/>
      <w:lvlText w:val=""/>
      <w:lvlJc w:val="left"/>
      <w:pPr>
        <w:ind w:left="5040" w:hanging="360"/>
      </w:pPr>
      <w:rPr>
        <w:rFonts w:ascii="Symbol" w:hAnsi="Symbol" w:hint="default"/>
      </w:rPr>
    </w:lvl>
    <w:lvl w:ilvl="7" w:tplc="F574EBC6">
      <w:start w:val="1"/>
      <w:numFmt w:val="bullet"/>
      <w:lvlText w:val="o"/>
      <w:lvlJc w:val="left"/>
      <w:pPr>
        <w:ind w:left="5760" w:hanging="360"/>
      </w:pPr>
      <w:rPr>
        <w:rFonts w:ascii="Courier New" w:hAnsi="Courier New" w:hint="default"/>
      </w:rPr>
    </w:lvl>
    <w:lvl w:ilvl="8" w:tplc="8F6E1CC2">
      <w:start w:val="1"/>
      <w:numFmt w:val="bullet"/>
      <w:lvlText w:val=""/>
      <w:lvlJc w:val="left"/>
      <w:pPr>
        <w:ind w:left="6480" w:hanging="360"/>
      </w:pPr>
      <w:rPr>
        <w:rFonts w:ascii="Wingdings" w:hAnsi="Wingdings" w:hint="default"/>
      </w:rPr>
    </w:lvl>
  </w:abstractNum>
  <w:abstractNum w:abstractNumId="40" w15:restartNumberingAfterBreak="0">
    <w:nsid w:val="4AFF60AD"/>
    <w:multiLevelType w:val="hybridMultilevel"/>
    <w:tmpl w:val="377C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AC0F8F"/>
    <w:multiLevelType w:val="hybridMultilevel"/>
    <w:tmpl w:val="03EA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C402E9"/>
    <w:multiLevelType w:val="hybridMultilevel"/>
    <w:tmpl w:val="FFFFFFFF"/>
    <w:lvl w:ilvl="0" w:tplc="0DE682EE">
      <w:start w:val="1"/>
      <w:numFmt w:val="bullet"/>
      <w:lvlText w:val=""/>
      <w:lvlJc w:val="left"/>
      <w:pPr>
        <w:ind w:left="720" w:hanging="360"/>
      </w:pPr>
      <w:rPr>
        <w:rFonts w:ascii="Symbol" w:hAnsi="Symbol" w:hint="default"/>
      </w:rPr>
    </w:lvl>
    <w:lvl w:ilvl="1" w:tplc="46C6927A">
      <w:start w:val="1"/>
      <w:numFmt w:val="bullet"/>
      <w:lvlText w:val="o"/>
      <w:lvlJc w:val="left"/>
      <w:pPr>
        <w:ind w:left="1440" w:hanging="360"/>
      </w:pPr>
      <w:rPr>
        <w:rFonts w:ascii="Courier New" w:hAnsi="Courier New" w:hint="default"/>
      </w:rPr>
    </w:lvl>
    <w:lvl w:ilvl="2" w:tplc="F8768CFA">
      <w:start w:val="1"/>
      <w:numFmt w:val="bullet"/>
      <w:lvlText w:val=""/>
      <w:lvlJc w:val="left"/>
      <w:pPr>
        <w:ind w:left="2160" w:hanging="360"/>
      </w:pPr>
      <w:rPr>
        <w:rFonts w:ascii="Wingdings" w:hAnsi="Wingdings" w:hint="default"/>
      </w:rPr>
    </w:lvl>
    <w:lvl w:ilvl="3" w:tplc="F25C3D84">
      <w:start w:val="1"/>
      <w:numFmt w:val="bullet"/>
      <w:lvlText w:val=""/>
      <w:lvlJc w:val="left"/>
      <w:pPr>
        <w:ind w:left="2880" w:hanging="360"/>
      </w:pPr>
      <w:rPr>
        <w:rFonts w:ascii="Symbol" w:hAnsi="Symbol" w:hint="default"/>
      </w:rPr>
    </w:lvl>
    <w:lvl w:ilvl="4" w:tplc="5C0817D4">
      <w:start w:val="1"/>
      <w:numFmt w:val="bullet"/>
      <w:lvlText w:val="o"/>
      <w:lvlJc w:val="left"/>
      <w:pPr>
        <w:ind w:left="3600" w:hanging="360"/>
      </w:pPr>
      <w:rPr>
        <w:rFonts w:ascii="Courier New" w:hAnsi="Courier New" w:hint="default"/>
      </w:rPr>
    </w:lvl>
    <w:lvl w:ilvl="5" w:tplc="86DC3858">
      <w:start w:val="1"/>
      <w:numFmt w:val="bullet"/>
      <w:lvlText w:val=""/>
      <w:lvlJc w:val="left"/>
      <w:pPr>
        <w:ind w:left="4320" w:hanging="360"/>
      </w:pPr>
      <w:rPr>
        <w:rFonts w:ascii="Wingdings" w:hAnsi="Wingdings" w:hint="default"/>
      </w:rPr>
    </w:lvl>
    <w:lvl w:ilvl="6" w:tplc="D52EBF6A">
      <w:start w:val="1"/>
      <w:numFmt w:val="bullet"/>
      <w:lvlText w:val=""/>
      <w:lvlJc w:val="left"/>
      <w:pPr>
        <w:ind w:left="5040" w:hanging="360"/>
      </w:pPr>
      <w:rPr>
        <w:rFonts w:ascii="Symbol" w:hAnsi="Symbol" w:hint="default"/>
      </w:rPr>
    </w:lvl>
    <w:lvl w:ilvl="7" w:tplc="F630343A">
      <w:start w:val="1"/>
      <w:numFmt w:val="bullet"/>
      <w:lvlText w:val="o"/>
      <w:lvlJc w:val="left"/>
      <w:pPr>
        <w:ind w:left="5760" w:hanging="360"/>
      </w:pPr>
      <w:rPr>
        <w:rFonts w:ascii="Courier New" w:hAnsi="Courier New" w:hint="default"/>
      </w:rPr>
    </w:lvl>
    <w:lvl w:ilvl="8" w:tplc="18606BC8">
      <w:start w:val="1"/>
      <w:numFmt w:val="bullet"/>
      <w:lvlText w:val=""/>
      <w:lvlJc w:val="left"/>
      <w:pPr>
        <w:ind w:left="6480" w:hanging="360"/>
      </w:pPr>
      <w:rPr>
        <w:rFonts w:ascii="Wingdings" w:hAnsi="Wingdings" w:hint="default"/>
      </w:rPr>
    </w:lvl>
  </w:abstractNum>
  <w:abstractNum w:abstractNumId="43" w15:restartNumberingAfterBreak="0">
    <w:nsid w:val="56BC43E4"/>
    <w:multiLevelType w:val="hybridMultilevel"/>
    <w:tmpl w:val="56849636"/>
    <w:lvl w:ilvl="0" w:tplc="5C50E2AE">
      <w:start w:val="1"/>
      <w:numFmt w:val="decimal"/>
      <w:lvlText w:val="%1."/>
      <w:lvlJc w:val="left"/>
      <w:pPr>
        <w:ind w:left="644" w:hanging="360"/>
      </w:pPr>
      <w:rPr>
        <w:rFonts w:ascii="Arial" w:eastAsiaTheme="minorHAnsi" w:hAnsi="Arial" w:cs="Arial"/>
        <w:b/>
        <w:color w:val="000000" w:themeColor="text1"/>
      </w:rPr>
    </w:lvl>
    <w:lvl w:ilvl="1" w:tplc="D598DA3E" w:tentative="1">
      <w:start w:val="1"/>
      <w:numFmt w:val="lowerLetter"/>
      <w:lvlText w:val="%2."/>
      <w:lvlJc w:val="left"/>
      <w:pPr>
        <w:ind w:left="1364" w:hanging="360"/>
      </w:pPr>
    </w:lvl>
    <w:lvl w:ilvl="2" w:tplc="36421164" w:tentative="1">
      <w:start w:val="1"/>
      <w:numFmt w:val="lowerRoman"/>
      <w:lvlText w:val="%3."/>
      <w:lvlJc w:val="right"/>
      <w:pPr>
        <w:ind w:left="2084" w:hanging="180"/>
      </w:pPr>
    </w:lvl>
    <w:lvl w:ilvl="3" w:tplc="B0A8C2EA" w:tentative="1">
      <w:start w:val="1"/>
      <w:numFmt w:val="decimal"/>
      <w:lvlText w:val="%4."/>
      <w:lvlJc w:val="left"/>
      <w:pPr>
        <w:ind w:left="2804" w:hanging="360"/>
      </w:pPr>
    </w:lvl>
    <w:lvl w:ilvl="4" w:tplc="FE78F974" w:tentative="1">
      <w:start w:val="1"/>
      <w:numFmt w:val="lowerLetter"/>
      <w:lvlText w:val="%5."/>
      <w:lvlJc w:val="left"/>
      <w:pPr>
        <w:ind w:left="3524" w:hanging="360"/>
      </w:pPr>
    </w:lvl>
    <w:lvl w:ilvl="5" w:tplc="74EE4F50" w:tentative="1">
      <w:start w:val="1"/>
      <w:numFmt w:val="lowerRoman"/>
      <w:lvlText w:val="%6."/>
      <w:lvlJc w:val="right"/>
      <w:pPr>
        <w:ind w:left="4244" w:hanging="180"/>
      </w:pPr>
    </w:lvl>
    <w:lvl w:ilvl="6" w:tplc="215E7F8C" w:tentative="1">
      <w:start w:val="1"/>
      <w:numFmt w:val="decimal"/>
      <w:lvlText w:val="%7."/>
      <w:lvlJc w:val="left"/>
      <w:pPr>
        <w:ind w:left="4964" w:hanging="360"/>
      </w:pPr>
    </w:lvl>
    <w:lvl w:ilvl="7" w:tplc="AE0225BE" w:tentative="1">
      <w:start w:val="1"/>
      <w:numFmt w:val="lowerLetter"/>
      <w:lvlText w:val="%8."/>
      <w:lvlJc w:val="left"/>
      <w:pPr>
        <w:ind w:left="5684" w:hanging="360"/>
      </w:pPr>
    </w:lvl>
    <w:lvl w:ilvl="8" w:tplc="43DA81D2" w:tentative="1">
      <w:start w:val="1"/>
      <w:numFmt w:val="lowerRoman"/>
      <w:lvlText w:val="%9."/>
      <w:lvlJc w:val="right"/>
      <w:pPr>
        <w:ind w:left="6404" w:hanging="180"/>
      </w:pPr>
    </w:lvl>
  </w:abstractNum>
  <w:abstractNum w:abstractNumId="44" w15:restartNumberingAfterBreak="0">
    <w:nsid w:val="576338B0"/>
    <w:multiLevelType w:val="hybridMultilevel"/>
    <w:tmpl w:val="FC12C69E"/>
    <w:lvl w:ilvl="0" w:tplc="D6CE2C18">
      <w:start w:val="1"/>
      <w:numFmt w:val="bullet"/>
      <w:lvlText w:val=""/>
      <w:lvlJc w:val="left"/>
      <w:pPr>
        <w:ind w:left="720" w:hanging="360"/>
      </w:pPr>
      <w:rPr>
        <w:rFonts w:ascii="Symbol" w:hAnsi="Symbol" w:hint="default"/>
      </w:rPr>
    </w:lvl>
    <w:lvl w:ilvl="1" w:tplc="0268C392">
      <w:start w:val="1"/>
      <w:numFmt w:val="bullet"/>
      <w:lvlText w:val="o"/>
      <w:lvlJc w:val="left"/>
      <w:pPr>
        <w:ind w:left="1440" w:hanging="360"/>
      </w:pPr>
      <w:rPr>
        <w:rFonts w:ascii="Courier New" w:hAnsi="Courier New" w:hint="default"/>
      </w:rPr>
    </w:lvl>
    <w:lvl w:ilvl="2" w:tplc="2918D68A">
      <w:start w:val="1"/>
      <w:numFmt w:val="bullet"/>
      <w:lvlText w:val=""/>
      <w:lvlJc w:val="left"/>
      <w:pPr>
        <w:ind w:left="2160" w:hanging="360"/>
      </w:pPr>
      <w:rPr>
        <w:rFonts w:ascii="Wingdings" w:hAnsi="Wingdings" w:hint="default"/>
      </w:rPr>
    </w:lvl>
    <w:lvl w:ilvl="3" w:tplc="035AE506">
      <w:start w:val="1"/>
      <w:numFmt w:val="bullet"/>
      <w:lvlText w:val=""/>
      <w:lvlJc w:val="left"/>
      <w:pPr>
        <w:ind w:left="2880" w:hanging="360"/>
      </w:pPr>
      <w:rPr>
        <w:rFonts w:ascii="Symbol" w:hAnsi="Symbol" w:hint="default"/>
      </w:rPr>
    </w:lvl>
    <w:lvl w:ilvl="4" w:tplc="9C1C4D7E">
      <w:start w:val="1"/>
      <w:numFmt w:val="bullet"/>
      <w:lvlText w:val="o"/>
      <w:lvlJc w:val="left"/>
      <w:pPr>
        <w:ind w:left="3600" w:hanging="360"/>
      </w:pPr>
      <w:rPr>
        <w:rFonts w:ascii="Courier New" w:hAnsi="Courier New" w:hint="default"/>
      </w:rPr>
    </w:lvl>
    <w:lvl w:ilvl="5" w:tplc="4A44661E">
      <w:start w:val="1"/>
      <w:numFmt w:val="bullet"/>
      <w:lvlText w:val=""/>
      <w:lvlJc w:val="left"/>
      <w:pPr>
        <w:ind w:left="4320" w:hanging="360"/>
      </w:pPr>
      <w:rPr>
        <w:rFonts w:ascii="Wingdings" w:hAnsi="Wingdings" w:hint="default"/>
      </w:rPr>
    </w:lvl>
    <w:lvl w:ilvl="6" w:tplc="F626BB1A">
      <w:start w:val="1"/>
      <w:numFmt w:val="bullet"/>
      <w:lvlText w:val=""/>
      <w:lvlJc w:val="left"/>
      <w:pPr>
        <w:ind w:left="5040" w:hanging="360"/>
      </w:pPr>
      <w:rPr>
        <w:rFonts w:ascii="Symbol" w:hAnsi="Symbol" w:hint="default"/>
      </w:rPr>
    </w:lvl>
    <w:lvl w:ilvl="7" w:tplc="7E644CEC">
      <w:start w:val="1"/>
      <w:numFmt w:val="bullet"/>
      <w:lvlText w:val="o"/>
      <w:lvlJc w:val="left"/>
      <w:pPr>
        <w:ind w:left="5760" w:hanging="360"/>
      </w:pPr>
      <w:rPr>
        <w:rFonts w:ascii="Courier New" w:hAnsi="Courier New" w:hint="default"/>
      </w:rPr>
    </w:lvl>
    <w:lvl w:ilvl="8" w:tplc="7526CBCE">
      <w:start w:val="1"/>
      <w:numFmt w:val="bullet"/>
      <w:lvlText w:val=""/>
      <w:lvlJc w:val="left"/>
      <w:pPr>
        <w:ind w:left="6480" w:hanging="360"/>
      </w:pPr>
      <w:rPr>
        <w:rFonts w:ascii="Wingdings" w:hAnsi="Wingdings" w:hint="default"/>
      </w:rPr>
    </w:lvl>
  </w:abstractNum>
  <w:abstractNum w:abstractNumId="45" w15:restartNumberingAfterBreak="0">
    <w:nsid w:val="5BDB2CB0"/>
    <w:multiLevelType w:val="hybridMultilevel"/>
    <w:tmpl w:val="21980D9C"/>
    <w:lvl w:ilvl="0" w:tplc="71D094B0">
      <w:start w:val="1"/>
      <w:numFmt w:val="bullet"/>
      <w:lvlText w:val=""/>
      <w:lvlJc w:val="left"/>
      <w:pPr>
        <w:ind w:left="720" w:hanging="360"/>
      </w:pPr>
      <w:rPr>
        <w:rFonts w:ascii="Symbol" w:hAnsi="Symbol" w:hint="default"/>
      </w:rPr>
    </w:lvl>
    <w:lvl w:ilvl="1" w:tplc="A26EC100" w:tentative="1">
      <w:start w:val="1"/>
      <w:numFmt w:val="bullet"/>
      <w:lvlText w:val="o"/>
      <w:lvlJc w:val="left"/>
      <w:pPr>
        <w:ind w:left="1440" w:hanging="360"/>
      </w:pPr>
      <w:rPr>
        <w:rFonts w:ascii="Courier New" w:hAnsi="Courier New" w:cs="Courier New" w:hint="default"/>
      </w:rPr>
    </w:lvl>
    <w:lvl w:ilvl="2" w:tplc="CDCA5EA0" w:tentative="1">
      <w:start w:val="1"/>
      <w:numFmt w:val="bullet"/>
      <w:lvlText w:val=""/>
      <w:lvlJc w:val="left"/>
      <w:pPr>
        <w:ind w:left="2160" w:hanging="360"/>
      </w:pPr>
      <w:rPr>
        <w:rFonts w:ascii="Wingdings" w:hAnsi="Wingdings" w:hint="default"/>
      </w:rPr>
    </w:lvl>
    <w:lvl w:ilvl="3" w:tplc="B1E05224" w:tentative="1">
      <w:start w:val="1"/>
      <w:numFmt w:val="bullet"/>
      <w:lvlText w:val=""/>
      <w:lvlJc w:val="left"/>
      <w:pPr>
        <w:ind w:left="2880" w:hanging="360"/>
      </w:pPr>
      <w:rPr>
        <w:rFonts w:ascii="Symbol" w:hAnsi="Symbol" w:hint="default"/>
      </w:rPr>
    </w:lvl>
    <w:lvl w:ilvl="4" w:tplc="7E145356" w:tentative="1">
      <w:start w:val="1"/>
      <w:numFmt w:val="bullet"/>
      <w:lvlText w:val="o"/>
      <w:lvlJc w:val="left"/>
      <w:pPr>
        <w:ind w:left="3600" w:hanging="360"/>
      </w:pPr>
      <w:rPr>
        <w:rFonts w:ascii="Courier New" w:hAnsi="Courier New" w:cs="Courier New" w:hint="default"/>
      </w:rPr>
    </w:lvl>
    <w:lvl w:ilvl="5" w:tplc="5E045E1E" w:tentative="1">
      <w:start w:val="1"/>
      <w:numFmt w:val="bullet"/>
      <w:lvlText w:val=""/>
      <w:lvlJc w:val="left"/>
      <w:pPr>
        <w:ind w:left="4320" w:hanging="360"/>
      </w:pPr>
      <w:rPr>
        <w:rFonts w:ascii="Wingdings" w:hAnsi="Wingdings" w:hint="default"/>
      </w:rPr>
    </w:lvl>
    <w:lvl w:ilvl="6" w:tplc="358EF6A4" w:tentative="1">
      <w:start w:val="1"/>
      <w:numFmt w:val="bullet"/>
      <w:lvlText w:val=""/>
      <w:lvlJc w:val="left"/>
      <w:pPr>
        <w:ind w:left="5040" w:hanging="360"/>
      </w:pPr>
      <w:rPr>
        <w:rFonts w:ascii="Symbol" w:hAnsi="Symbol" w:hint="default"/>
      </w:rPr>
    </w:lvl>
    <w:lvl w:ilvl="7" w:tplc="8EA86026" w:tentative="1">
      <w:start w:val="1"/>
      <w:numFmt w:val="bullet"/>
      <w:lvlText w:val="o"/>
      <w:lvlJc w:val="left"/>
      <w:pPr>
        <w:ind w:left="5760" w:hanging="360"/>
      </w:pPr>
      <w:rPr>
        <w:rFonts w:ascii="Courier New" w:hAnsi="Courier New" w:cs="Courier New" w:hint="default"/>
      </w:rPr>
    </w:lvl>
    <w:lvl w:ilvl="8" w:tplc="FDB6E5F4" w:tentative="1">
      <w:start w:val="1"/>
      <w:numFmt w:val="bullet"/>
      <w:lvlText w:val=""/>
      <w:lvlJc w:val="left"/>
      <w:pPr>
        <w:ind w:left="6480" w:hanging="360"/>
      </w:pPr>
      <w:rPr>
        <w:rFonts w:ascii="Wingdings" w:hAnsi="Wingdings" w:hint="default"/>
      </w:rPr>
    </w:lvl>
  </w:abstractNum>
  <w:abstractNum w:abstractNumId="46" w15:restartNumberingAfterBreak="0">
    <w:nsid w:val="5EA944EF"/>
    <w:multiLevelType w:val="hybridMultilevel"/>
    <w:tmpl w:val="A556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323DA9"/>
    <w:multiLevelType w:val="hybridMultilevel"/>
    <w:tmpl w:val="82962DC2"/>
    <w:lvl w:ilvl="0" w:tplc="6E5C2204">
      <w:start w:val="1"/>
      <w:numFmt w:val="bullet"/>
      <w:lvlText w:val=""/>
      <w:lvlJc w:val="left"/>
      <w:pPr>
        <w:ind w:left="1145" w:hanging="360"/>
      </w:pPr>
      <w:rPr>
        <w:rFonts w:ascii="Symbol" w:hAnsi="Symbol" w:hint="default"/>
      </w:rPr>
    </w:lvl>
    <w:lvl w:ilvl="1" w:tplc="7A6E50CA" w:tentative="1">
      <w:start w:val="1"/>
      <w:numFmt w:val="bullet"/>
      <w:lvlText w:val="o"/>
      <w:lvlJc w:val="left"/>
      <w:pPr>
        <w:ind w:left="1865" w:hanging="360"/>
      </w:pPr>
      <w:rPr>
        <w:rFonts w:ascii="Courier New" w:hAnsi="Courier New" w:cs="Courier New" w:hint="default"/>
      </w:rPr>
    </w:lvl>
    <w:lvl w:ilvl="2" w:tplc="C5A831D4" w:tentative="1">
      <w:start w:val="1"/>
      <w:numFmt w:val="bullet"/>
      <w:lvlText w:val=""/>
      <w:lvlJc w:val="left"/>
      <w:pPr>
        <w:ind w:left="2585" w:hanging="360"/>
      </w:pPr>
      <w:rPr>
        <w:rFonts w:ascii="Wingdings" w:hAnsi="Wingdings" w:hint="default"/>
      </w:rPr>
    </w:lvl>
    <w:lvl w:ilvl="3" w:tplc="F54880BE" w:tentative="1">
      <w:start w:val="1"/>
      <w:numFmt w:val="bullet"/>
      <w:lvlText w:val=""/>
      <w:lvlJc w:val="left"/>
      <w:pPr>
        <w:ind w:left="3305" w:hanging="360"/>
      </w:pPr>
      <w:rPr>
        <w:rFonts w:ascii="Symbol" w:hAnsi="Symbol" w:hint="default"/>
      </w:rPr>
    </w:lvl>
    <w:lvl w:ilvl="4" w:tplc="604EFD4C" w:tentative="1">
      <w:start w:val="1"/>
      <w:numFmt w:val="bullet"/>
      <w:lvlText w:val="o"/>
      <w:lvlJc w:val="left"/>
      <w:pPr>
        <w:ind w:left="4025" w:hanging="360"/>
      </w:pPr>
      <w:rPr>
        <w:rFonts w:ascii="Courier New" w:hAnsi="Courier New" w:cs="Courier New" w:hint="default"/>
      </w:rPr>
    </w:lvl>
    <w:lvl w:ilvl="5" w:tplc="080E747C" w:tentative="1">
      <w:start w:val="1"/>
      <w:numFmt w:val="bullet"/>
      <w:lvlText w:val=""/>
      <w:lvlJc w:val="left"/>
      <w:pPr>
        <w:ind w:left="4745" w:hanging="360"/>
      </w:pPr>
      <w:rPr>
        <w:rFonts w:ascii="Wingdings" w:hAnsi="Wingdings" w:hint="default"/>
      </w:rPr>
    </w:lvl>
    <w:lvl w:ilvl="6" w:tplc="4AE833CC" w:tentative="1">
      <w:start w:val="1"/>
      <w:numFmt w:val="bullet"/>
      <w:lvlText w:val=""/>
      <w:lvlJc w:val="left"/>
      <w:pPr>
        <w:ind w:left="5465" w:hanging="360"/>
      </w:pPr>
      <w:rPr>
        <w:rFonts w:ascii="Symbol" w:hAnsi="Symbol" w:hint="default"/>
      </w:rPr>
    </w:lvl>
    <w:lvl w:ilvl="7" w:tplc="5F0CB31A" w:tentative="1">
      <w:start w:val="1"/>
      <w:numFmt w:val="bullet"/>
      <w:lvlText w:val="o"/>
      <w:lvlJc w:val="left"/>
      <w:pPr>
        <w:ind w:left="6185" w:hanging="360"/>
      </w:pPr>
      <w:rPr>
        <w:rFonts w:ascii="Courier New" w:hAnsi="Courier New" w:cs="Courier New" w:hint="default"/>
      </w:rPr>
    </w:lvl>
    <w:lvl w:ilvl="8" w:tplc="785CCAC0" w:tentative="1">
      <w:start w:val="1"/>
      <w:numFmt w:val="bullet"/>
      <w:lvlText w:val=""/>
      <w:lvlJc w:val="left"/>
      <w:pPr>
        <w:ind w:left="6905" w:hanging="360"/>
      </w:pPr>
      <w:rPr>
        <w:rFonts w:ascii="Wingdings" w:hAnsi="Wingdings" w:hint="default"/>
      </w:rPr>
    </w:lvl>
  </w:abstractNum>
  <w:abstractNum w:abstractNumId="48" w15:restartNumberingAfterBreak="0">
    <w:nsid w:val="6687B51E"/>
    <w:multiLevelType w:val="hybridMultilevel"/>
    <w:tmpl w:val="2E3ACDCC"/>
    <w:lvl w:ilvl="0" w:tplc="9846200A">
      <w:start w:val="1"/>
      <w:numFmt w:val="bullet"/>
      <w:lvlText w:val="·"/>
      <w:lvlJc w:val="left"/>
      <w:pPr>
        <w:ind w:left="720" w:hanging="360"/>
      </w:pPr>
      <w:rPr>
        <w:rFonts w:ascii="Symbol" w:hAnsi="Symbol" w:hint="default"/>
      </w:rPr>
    </w:lvl>
    <w:lvl w:ilvl="1" w:tplc="8AA6A27E">
      <w:start w:val="1"/>
      <w:numFmt w:val="bullet"/>
      <w:lvlText w:val="o"/>
      <w:lvlJc w:val="left"/>
      <w:pPr>
        <w:ind w:left="1440" w:hanging="360"/>
      </w:pPr>
      <w:rPr>
        <w:rFonts w:ascii="Courier New" w:hAnsi="Courier New" w:hint="default"/>
      </w:rPr>
    </w:lvl>
    <w:lvl w:ilvl="2" w:tplc="698EDC9E">
      <w:start w:val="1"/>
      <w:numFmt w:val="bullet"/>
      <w:lvlText w:val=""/>
      <w:lvlJc w:val="left"/>
      <w:pPr>
        <w:ind w:left="2160" w:hanging="360"/>
      </w:pPr>
      <w:rPr>
        <w:rFonts w:ascii="Wingdings" w:hAnsi="Wingdings" w:hint="default"/>
      </w:rPr>
    </w:lvl>
    <w:lvl w:ilvl="3" w:tplc="1F16E704">
      <w:start w:val="1"/>
      <w:numFmt w:val="bullet"/>
      <w:lvlText w:val=""/>
      <w:lvlJc w:val="left"/>
      <w:pPr>
        <w:ind w:left="2880" w:hanging="360"/>
      </w:pPr>
      <w:rPr>
        <w:rFonts w:ascii="Symbol" w:hAnsi="Symbol" w:hint="default"/>
      </w:rPr>
    </w:lvl>
    <w:lvl w:ilvl="4" w:tplc="11AEB9EA">
      <w:start w:val="1"/>
      <w:numFmt w:val="bullet"/>
      <w:lvlText w:val="o"/>
      <w:lvlJc w:val="left"/>
      <w:pPr>
        <w:ind w:left="3600" w:hanging="360"/>
      </w:pPr>
      <w:rPr>
        <w:rFonts w:ascii="Courier New" w:hAnsi="Courier New" w:hint="default"/>
      </w:rPr>
    </w:lvl>
    <w:lvl w:ilvl="5" w:tplc="C28610D6">
      <w:start w:val="1"/>
      <w:numFmt w:val="bullet"/>
      <w:lvlText w:val=""/>
      <w:lvlJc w:val="left"/>
      <w:pPr>
        <w:ind w:left="4320" w:hanging="360"/>
      </w:pPr>
      <w:rPr>
        <w:rFonts w:ascii="Wingdings" w:hAnsi="Wingdings" w:hint="default"/>
      </w:rPr>
    </w:lvl>
    <w:lvl w:ilvl="6" w:tplc="21E82344">
      <w:start w:val="1"/>
      <w:numFmt w:val="bullet"/>
      <w:lvlText w:val=""/>
      <w:lvlJc w:val="left"/>
      <w:pPr>
        <w:ind w:left="5040" w:hanging="360"/>
      </w:pPr>
      <w:rPr>
        <w:rFonts w:ascii="Symbol" w:hAnsi="Symbol" w:hint="default"/>
      </w:rPr>
    </w:lvl>
    <w:lvl w:ilvl="7" w:tplc="6448832E">
      <w:start w:val="1"/>
      <w:numFmt w:val="bullet"/>
      <w:lvlText w:val="o"/>
      <w:lvlJc w:val="left"/>
      <w:pPr>
        <w:ind w:left="5760" w:hanging="360"/>
      </w:pPr>
      <w:rPr>
        <w:rFonts w:ascii="Courier New" w:hAnsi="Courier New" w:hint="default"/>
      </w:rPr>
    </w:lvl>
    <w:lvl w:ilvl="8" w:tplc="233C3658">
      <w:start w:val="1"/>
      <w:numFmt w:val="bullet"/>
      <w:lvlText w:val=""/>
      <w:lvlJc w:val="left"/>
      <w:pPr>
        <w:ind w:left="6480" w:hanging="360"/>
      </w:pPr>
      <w:rPr>
        <w:rFonts w:ascii="Wingdings" w:hAnsi="Wingdings" w:hint="default"/>
      </w:rPr>
    </w:lvl>
  </w:abstractNum>
  <w:abstractNum w:abstractNumId="49" w15:restartNumberingAfterBreak="0">
    <w:nsid w:val="6DE36127"/>
    <w:multiLevelType w:val="hybridMultilevel"/>
    <w:tmpl w:val="A782CE40"/>
    <w:lvl w:ilvl="0" w:tplc="B650BEF0">
      <w:start w:val="1"/>
      <w:numFmt w:val="bullet"/>
      <w:lvlText w:val=""/>
      <w:lvlJc w:val="left"/>
      <w:pPr>
        <w:ind w:left="720" w:hanging="360"/>
      </w:pPr>
      <w:rPr>
        <w:rFonts w:ascii="Symbol" w:hAnsi="Symbol" w:hint="default"/>
      </w:rPr>
    </w:lvl>
    <w:lvl w:ilvl="1" w:tplc="B224BC02">
      <w:start w:val="1"/>
      <w:numFmt w:val="bullet"/>
      <w:lvlText w:val="o"/>
      <w:lvlJc w:val="left"/>
      <w:pPr>
        <w:ind w:left="1440" w:hanging="360"/>
      </w:pPr>
      <w:rPr>
        <w:rFonts w:ascii="Courier New" w:hAnsi="Courier New" w:hint="default"/>
      </w:rPr>
    </w:lvl>
    <w:lvl w:ilvl="2" w:tplc="34C49A5C">
      <w:start w:val="1"/>
      <w:numFmt w:val="bullet"/>
      <w:lvlText w:val=""/>
      <w:lvlJc w:val="left"/>
      <w:pPr>
        <w:ind w:left="2160" w:hanging="360"/>
      </w:pPr>
      <w:rPr>
        <w:rFonts w:ascii="Wingdings" w:hAnsi="Wingdings" w:hint="default"/>
      </w:rPr>
    </w:lvl>
    <w:lvl w:ilvl="3" w:tplc="4E24450A">
      <w:start w:val="1"/>
      <w:numFmt w:val="bullet"/>
      <w:lvlText w:val=""/>
      <w:lvlJc w:val="left"/>
      <w:pPr>
        <w:ind w:left="2880" w:hanging="360"/>
      </w:pPr>
      <w:rPr>
        <w:rFonts w:ascii="Symbol" w:hAnsi="Symbol" w:hint="default"/>
      </w:rPr>
    </w:lvl>
    <w:lvl w:ilvl="4" w:tplc="0DD85B56">
      <w:start w:val="1"/>
      <w:numFmt w:val="bullet"/>
      <w:lvlText w:val="o"/>
      <w:lvlJc w:val="left"/>
      <w:pPr>
        <w:ind w:left="3600" w:hanging="360"/>
      </w:pPr>
      <w:rPr>
        <w:rFonts w:ascii="Courier New" w:hAnsi="Courier New" w:hint="default"/>
      </w:rPr>
    </w:lvl>
    <w:lvl w:ilvl="5" w:tplc="6ED41D1C">
      <w:start w:val="1"/>
      <w:numFmt w:val="bullet"/>
      <w:lvlText w:val=""/>
      <w:lvlJc w:val="left"/>
      <w:pPr>
        <w:ind w:left="4320" w:hanging="360"/>
      </w:pPr>
      <w:rPr>
        <w:rFonts w:ascii="Wingdings" w:hAnsi="Wingdings" w:hint="default"/>
      </w:rPr>
    </w:lvl>
    <w:lvl w:ilvl="6" w:tplc="433CE624">
      <w:start w:val="1"/>
      <w:numFmt w:val="bullet"/>
      <w:lvlText w:val=""/>
      <w:lvlJc w:val="left"/>
      <w:pPr>
        <w:ind w:left="5040" w:hanging="360"/>
      </w:pPr>
      <w:rPr>
        <w:rFonts w:ascii="Symbol" w:hAnsi="Symbol" w:hint="default"/>
      </w:rPr>
    </w:lvl>
    <w:lvl w:ilvl="7" w:tplc="8A7C2892">
      <w:start w:val="1"/>
      <w:numFmt w:val="bullet"/>
      <w:lvlText w:val="o"/>
      <w:lvlJc w:val="left"/>
      <w:pPr>
        <w:ind w:left="5760" w:hanging="360"/>
      </w:pPr>
      <w:rPr>
        <w:rFonts w:ascii="Courier New" w:hAnsi="Courier New" w:hint="default"/>
      </w:rPr>
    </w:lvl>
    <w:lvl w:ilvl="8" w:tplc="E29ABE2C">
      <w:start w:val="1"/>
      <w:numFmt w:val="bullet"/>
      <w:lvlText w:val=""/>
      <w:lvlJc w:val="left"/>
      <w:pPr>
        <w:ind w:left="6480" w:hanging="360"/>
      </w:pPr>
      <w:rPr>
        <w:rFonts w:ascii="Wingdings" w:hAnsi="Wingdings" w:hint="default"/>
      </w:rPr>
    </w:lvl>
  </w:abstractNum>
  <w:abstractNum w:abstractNumId="50" w15:restartNumberingAfterBreak="0">
    <w:nsid w:val="71A401D4"/>
    <w:multiLevelType w:val="hybridMultilevel"/>
    <w:tmpl w:val="A0FEC668"/>
    <w:lvl w:ilvl="0" w:tplc="76366802">
      <w:start w:val="1"/>
      <w:numFmt w:val="bullet"/>
      <w:lvlText w:val=""/>
      <w:lvlJc w:val="left"/>
      <w:pPr>
        <w:ind w:left="720" w:hanging="360"/>
      </w:pPr>
      <w:rPr>
        <w:rFonts w:ascii="Symbol" w:hAnsi="Symbol" w:hint="default"/>
      </w:rPr>
    </w:lvl>
    <w:lvl w:ilvl="1" w:tplc="6BA05B7E">
      <w:start w:val="1"/>
      <w:numFmt w:val="bullet"/>
      <w:lvlText w:val="o"/>
      <w:lvlJc w:val="left"/>
      <w:pPr>
        <w:ind w:left="1440" w:hanging="360"/>
      </w:pPr>
      <w:rPr>
        <w:rFonts w:ascii="Courier New" w:hAnsi="Courier New" w:hint="default"/>
      </w:rPr>
    </w:lvl>
    <w:lvl w:ilvl="2" w:tplc="6D5CF756">
      <w:start w:val="1"/>
      <w:numFmt w:val="bullet"/>
      <w:lvlText w:val=""/>
      <w:lvlJc w:val="left"/>
      <w:pPr>
        <w:ind w:left="2160" w:hanging="360"/>
      </w:pPr>
      <w:rPr>
        <w:rFonts w:ascii="Wingdings" w:hAnsi="Wingdings" w:hint="default"/>
      </w:rPr>
    </w:lvl>
    <w:lvl w:ilvl="3" w:tplc="24EA6DFE">
      <w:start w:val="1"/>
      <w:numFmt w:val="bullet"/>
      <w:lvlText w:val=""/>
      <w:lvlJc w:val="left"/>
      <w:pPr>
        <w:ind w:left="2880" w:hanging="360"/>
      </w:pPr>
      <w:rPr>
        <w:rFonts w:ascii="Symbol" w:hAnsi="Symbol" w:hint="default"/>
      </w:rPr>
    </w:lvl>
    <w:lvl w:ilvl="4" w:tplc="3F2A88FA">
      <w:start w:val="1"/>
      <w:numFmt w:val="bullet"/>
      <w:lvlText w:val="o"/>
      <w:lvlJc w:val="left"/>
      <w:pPr>
        <w:ind w:left="3600" w:hanging="360"/>
      </w:pPr>
      <w:rPr>
        <w:rFonts w:ascii="Courier New" w:hAnsi="Courier New" w:hint="default"/>
      </w:rPr>
    </w:lvl>
    <w:lvl w:ilvl="5" w:tplc="4D58B3B8">
      <w:start w:val="1"/>
      <w:numFmt w:val="bullet"/>
      <w:lvlText w:val=""/>
      <w:lvlJc w:val="left"/>
      <w:pPr>
        <w:ind w:left="4320" w:hanging="360"/>
      </w:pPr>
      <w:rPr>
        <w:rFonts w:ascii="Wingdings" w:hAnsi="Wingdings" w:hint="default"/>
      </w:rPr>
    </w:lvl>
    <w:lvl w:ilvl="6" w:tplc="5202887E">
      <w:start w:val="1"/>
      <w:numFmt w:val="bullet"/>
      <w:lvlText w:val=""/>
      <w:lvlJc w:val="left"/>
      <w:pPr>
        <w:ind w:left="5040" w:hanging="360"/>
      </w:pPr>
      <w:rPr>
        <w:rFonts w:ascii="Symbol" w:hAnsi="Symbol" w:hint="default"/>
      </w:rPr>
    </w:lvl>
    <w:lvl w:ilvl="7" w:tplc="BB60C908">
      <w:start w:val="1"/>
      <w:numFmt w:val="bullet"/>
      <w:lvlText w:val="o"/>
      <w:lvlJc w:val="left"/>
      <w:pPr>
        <w:ind w:left="5760" w:hanging="360"/>
      </w:pPr>
      <w:rPr>
        <w:rFonts w:ascii="Courier New" w:hAnsi="Courier New" w:hint="default"/>
      </w:rPr>
    </w:lvl>
    <w:lvl w:ilvl="8" w:tplc="E84AF4CC">
      <w:start w:val="1"/>
      <w:numFmt w:val="bullet"/>
      <w:lvlText w:val=""/>
      <w:lvlJc w:val="left"/>
      <w:pPr>
        <w:ind w:left="6480" w:hanging="360"/>
      </w:pPr>
      <w:rPr>
        <w:rFonts w:ascii="Wingdings" w:hAnsi="Wingdings" w:hint="default"/>
      </w:rPr>
    </w:lvl>
  </w:abstractNum>
  <w:abstractNum w:abstractNumId="51" w15:restartNumberingAfterBreak="0">
    <w:nsid w:val="727F3A80"/>
    <w:multiLevelType w:val="hybridMultilevel"/>
    <w:tmpl w:val="EFB808D0"/>
    <w:lvl w:ilvl="0" w:tplc="D5966DD2">
      <w:start w:val="1"/>
      <w:numFmt w:val="bullet"/>
      <w:lvlText w:val=""/>
      <w:lvlJc w:val="left"/>
      <w:pPr>
        <w:ind w:left="720" w:hanging="360"/>
      </w:pPr>
      <w:rPr>
        <w:rFonts w:ascii="Symbol" w:hAnsi="Symbol" w:hint="default"/>
      </w:rPr>
    </w:lvl>
    <w:lvl w:ilvl="1" w:tplc="90D4A812">
      <w:start w:val="1"/>
      <w:numFmt w:val="bullet"/>
      <w:lvlText w:val="o"/>
      <w:lvlJc w:val="left"/>
      <w:pPr>
        <w:ind w:left="1440" w:hanging="360"/>
      </w:pPr>
      <w:rPr>
        <w:rFonts w:ascii="Courier New" w:hAnsi="Courier New" w:hint="default"/>
      </w:rPr>
    </w:lvl>
    <w:lvl w:ilvl="2" w:tplc="23B8B560">
      <w:start w:val="1"/>
      <w:numFmt w:val="bullet"/>
      <w:lvlText w:val=""/>
      <w:lvlJc w:val="left"/>
      <w:pPr>
        <w:ind w:left="2160" w:hanging="360"/>
      </w:pPr>
      <w:rPr>
        <w:rFonts w:ascii="Wingdings" w:hAnsi="Wingdings" w:hint="default"/>
      </w:rPr>
    </w:lvl>
    <w:lvl w:ilvl="3" w:tplc="AEA0D96C">
      <w:start w:val="1"/>
      <w:numFmt w:val="bullet"/>
      <w:lvlText w:val=""/>
      <w:lvlJc w:val="left"/>
      <w:pPr>
        <w:ind w:left="2880" w:hanging="360"/>
      </w:pPr>
      <w:rPr>
        <w:rFonts w:ascii="Symbol" w:hAnsi="Symbol" w:hint="default"/>
      </w:rPr>
    </w:lvl>
    <w:lvl w:ilvl="4" w:tplc="7C7AD338">
      <w:start w:val="1"/>
      <w:numFmt w:val="bullet"/>
      <w:lvlText w:val="o"/>
      <w:lvlJc w:val="left"/>
      <w:pPr>
        <w:ind w:left="3600" w:hanging="360"/>
      </w:pPr>
      <w:rPr>
        <w:rFonts w:ascii="Courier New" w:hAnsi="Courier New" w:hint="default"/>
      </w:rPr>
    </w:lvl>
    <w:lvl w:ilvl="5" w:tplc="B09CFCBC">
      <w:start w:val="1"/>
      <w:numFmt w:val="bullet"/>
      <w:lvlText w:val=""/>
      <w:lvlJc w:val="left"/>
      <w:pPr>
        <w:ind w:left="4320" w:hanging="360"/>
      </w:pPr>
      <w:rPr>
        <w:rFonts w:ascii="Wingdings" w:hAnsi="Wingdings" w:hint="default"/>
      </w:rPr>
    </w:lvl>
    <w:lvl w:ilvl="6" w:tplc="6CBCE89E">
      <w:start w:val="1"/>
      <w:numFmt w:val="bullet"/>
      <w:lvlText w:val=""/>
      <w:lvlJc w:val="left"/>
      <w:pPr>
        <w:ind w:left="5040" w:hanging="360"/>
      </w:pPr>
      <w:rPr>
        <w:rFonts w:ascii="Symbol" w:hAnsi="Symbol" w:hint="default"/>
      </w:rPr>
    </w:lvl>
    <w:lvl w:ilvl="7" w:tplc="9E7476CA">
      <w:start w:val="1"/>
      <w:numFmt w:val="bullet"/>
      <w:lvlText w:val="o"/>
      <w:lvlJc w:val="left"/>
      <w:pPr>
        <w:ind w:left="5760" w:hanging="360"/>
      </w:pPr>
      <w:rPr>
        <w:rFonts w:ascii="Courier New" w:hAnsi="Courier New" w:hint="default"/>
      </w:rPr>
    </w:lvl>
    <w:lvl w:ilvl="8" w:tplc="919A5660">
      <w:start w:val="1"/>
      <w:numFmt w:val="bullet"/>
      <w:lvlText w:val=""/>
      <w:lvlJc w:val="left"/>
      <w:pPr>
        <w:ind w:left="6480" w:hanging="360"/>
      </w:pPr>
      <w:rPr>
        <w:rFonts w:ascii="Wingdings" w:hAnsi="Wingdings" w:hint="default"/>
      </w:rPr>
    </w:lvl>
  </w:abstractNum>
  <w:abstractNum w:abstractNumId="52" w15:restartNumberingAfterBreak="0">
    <w:nsid w:val="74DE2F43"/>
    <w:multiLevelType w:val="hybridMultilevel"/>
    <w:tmpl w:val="C112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EE0BEA"/>
    <w:multiLevelType w:val="hybridMultilevel"/>
    <w:tmpl w:val="7A5CB468"/>
    <w:lvl w:ilvl="0" w:tplc="E98888AA">
      <w:start w:val="1"/>
      <w:numFmt w:val="bullet"/>
      <w:lvlText w:val=""/>
      <w:lvlJc w:val="left"/>
      <w:pPr>
        <w:ind w:left="720" w:hanging="360"/>
      </w:pPr>
      <w:rPr>
        <w:rFonts w:ascii="Symbol" w:hAnsi="Symbol" w:hint="default"/>
      </w:rPr>
    </w:lvl>
    <w:lvl w:ilvl="1" w:tplc="666A8DAE">
      <w:start w:val="1"/>
      <w:numFmt w:val="bullet"/>
      <w:lvlText w:val="o"/>
      <w:lvlJc w:val="left"/>
      <w:pPr>
        <w:ind w:left="1440" w:hanging="360"/>
      </w:pPr>
      <w:rPr>
        <w:rFonts w:ascii="Courier New" w:hAnsi="Courier New" w:hint="default"/>
      </w:rPr>
    </w:lvl>
    <w:lvl w:ilvl="2" w:tplc="EE92131C">
      <w:start w:val="1"/>
      <w:numFmt w:val="bullet"/>
      <w:lvlText w:val=""/>
      <w:lvlJc w:val="left"/>
      <w:pPr>
        <w:ind w:left="2160" w:hanging="360"/>
      </w:pPr>
      <w:rPr>
        <w:rFonts w:ascii="Wingdings" w:hAnsi="Wingdings" w:hint="default"/>
      </w:rPr>
    </w:lvl>
    <w:lvl w:ilvl="3" w:tplc="61128336">
      <w:start w:val="1"/>
      <w:numFmt w:val="bullet"/>
      <w:lvlText w:val=""/>
      <w:lvlJc w:val="left"/>
      <w:pPr>
        <w:ind w:left="2880" w:hanging="360"/>
      </w:pPr>
      <w:rPr>
        <w:rFonts w:ascii="Symbol" w:hAnsi="Symbol" w:hint="default"/>
      </w:rPr>
    </w:lvl>
    <w:lvl w:ilvl="4" w:tplc="400EB0BA">
      <w:start w:val="1"/>
      <w:numFmt w:val="bullet"/>
      <w:lvlText w:val="o"/>
      <w:lvlJc w:val="left"/>
      <w:pPr>
        <w:ind w:left="3600" w:hanging="360"/>
      </w:pPr>
      <w:rPr>
        <w:rFonts w:ascii="Courier New" w:hAnsi="Courier New" w:hint="default"/>
      </w:rPr>
    </w:lvl>
    <w:lvl w:ilvl="5" w:tplc="7884F29A">
      <w:start w:val="1"/>
      <w:numFmt w:val="bullet"/>
      <w:lvlText w:val=""/>
      <w:lvlJc w:val="left"/>
      <w:pPr>
        <w:ind w:left="4320" w:hanging="360"/>
      </w:pPr>
      <w:rPr>
        <w:rFonts w:ascii="Wingdings" w:hAnsi="Wingdings" w:hint="default"/>
      </w:rPr>
    </w:lvl>
    <w:lvl w:ilvl="6" w:tplc="9F6EA95A">
      <w:start w:val="1"/>
      <w:numFmt w:val="bullet"/>
      <w:lvlText w:val=""/>
      <w:lvlJc w:val="left"/>
      <w:pPr>
        <w:ind w:left="5040" w:hanging="360"/>
      </w:pPr>
      <w:rPr>
        <w:rFonts w:ascii="Symbol" w:hAnsi="Symbol" w:hint="default"/>
      </w:rPr>
    </w:lvl>
    <w:lvl w:ilvl="7" w:tplc="81C043B0">
      <w:start w:val="1"/>
      <w:numFmt w:val="bullet"/>
      <w:lvlText w:val="o"/>
      <w:lvlJc w:val="left"/>
      <w:pPr>
        <w:ind w:left="5760" w:hanging="360"/>
      </w:pPr>
      <w:rPr>
        <w:rFonts w:ascii="Courier New" w:hAnsi="Courier New" w:hint="default"/>
      </w:rPr>
    </w:lvl>
    <w:lvl w:ilvl="8" w:tplc="44304EAA">
      <w:start w:val="1"/>
      <w:numFmt w:val="bullet"/>
      <w:lvlText w:val=""/>
      <w:lvlJc w:val="left"/>
      <w:pPr>
        <w:ind w:left="6480" w:hanging="360"/>
      </w:pPr>
      <w:rPr>
        <w:rFonts w:ascii="Wingdings" w:hAnsi="Wingdings" w:hint="default"/>
      </w:rPr>
    </w:lvl>
  </w:abstractNum>
  <w:abstractNum w:abstractNumId="54" w15:restartNumberingAfterBreak="0">
    <w:nsid w:val="77CF1C04"/>
    <w:multiLevelType w:val="hybridMultilevel"/>
    <w:tmpl w:val="1B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A65175"/>
    <w:multiLevelType w:val="hybridMultilevel"/>
    <w:tmpl w:val="7C32321C"/>
    <w:lvl w:ilvl="0" w:tplc="F57C480A">
      <w:start w:val="1"/>
      <w:numFmt w:val="bullet"/>
      <w:lvlText w:val=""/>
      <w:lvlJc w:val="left"/>
      <w:pPr>
        <w:ind w:left="720" w:hanging="360"/>
      </w:pPr>
      <w:rPr>
        <w:rFonts w:ascii="Symbol" w:hAnsi="Symbol" w:hint="default"/>
      </w:rPr>
    </w:lvl>
    <w:lvl w:ilvl="1" w:tplc="3F78546E">
      <w:start w:val="1"/>
      <w:numFmt w:val="bullet"/>
      <w:lvlText w:val="o"/>
      <w:lvlJc w:val="left"/>
      <w:pPr>
        <w:ind w:left="1440" w:hanging="360"/>
      </w:pPr>
      <w:rPr>
        <w:rFonts w:ascii="Courier New" w:hAnsi="Courier New" w:hint="default"/>
      </w:rPr>
    </w:lvl>
    <w:lvl w:ilvl="2" w:tplc="6DE2FEB2">
      <w:start w:val="1"/>
      <w:numFmt w:val="bullet"/>
      <w:lvlText w:val=""/>
      <w:lvlJc w:val="left"/>
      <w:pPr>
        <w:ind w:left="2160" w:hanging="360"/>
      </w:pPr>
      <w:rPr>
        <w:rFonts w:ascii="Wingdings" w:hAnsi="Wingdings" w:hint="default"/>
      </w:rPr>
    </w:lvl>
    <w:lvl w:ilvl="3" w:tplc="78C819AA">
      <w:start w:val="1"/>
      <w:numFmt w:val="bullet"/>
      <w:lvlText w:val=""/>
      <w:lvlJc w:val="left"/>
      <w:pPr>
        <w:ind w:left="2880" w:hanging="360"/>
      </w:pPr>
      <w:rPr>
        <w:rFonts w:ascii="Symbol" w:hAnsi="Symbol" w:hint="default"/>
      </w:rPr>
    </w:lvl>
    <w:lvl w:ilvl="4" w:tplc="E004A1D4">
      <w:start w:val="1"/>
      <w:numFmt w:val="bullet"/>
      <w:lvlText w:val="o"/>
      <w:lvlJc w:val="left"/>
      <w:pPr>
        <w:ind w:left="3600" w:hanging="360"/>
      </w:pPr>
      <w:rPr>
        <w:rFonts w:ascii="Courier New" w:hAnsi="Courier New" w:hint="default"/>
      </w:rPr>
    </w:lvl>
    <w:lvl w:ilvl="5" w:tplc="B9E40900">
      <w:start w:val="1"/>
      <w:numFmt w:val="bullet"/>
      <w:lvlText w:val=""/>
      <w:lvlJc w:val="left"/>
      <w:pPr>
        <w:ind w:left="4320" w:hanging="360"/>
      </w:pPr>
      <w:rPr>
        <w:rFonts w:ascii="Wingdings" w:hAnsi="Wingdings" w:hint="default"/>
      </w:rPr>
    </w:lvl>
    <w:lvl w:ilvl="6" w:tplc="BDD081BA">
      <w:start w:val="1"/>
      <w:numFmt w:val="bullet"/>
      <w:lvlText w:val=""/>
      <w:lvlJc w:val="left"/>
      <w:pPr>
        <w:ind w:left="5040" w:hanging="360"/>
      </w:pPr>
      <w:rPr>
        <w:rFonts w:ascii="Symbol" w:hAnsi="Symbol" w:hint="default"/>
      </w:rPr>
    </w:lvl>
    <w:lvl w:ilvl="7" w:tplc="5EE00B06">
      <w:start w:val="1"/>
      <w:numFmt w:val="bullet"/>
      <w:lvlText w:val="o"/>
      <w:lvlJc w:val="left"/>
      <w:pPr>
        <w:ind w:left="5760" w:hanging="360"/>
      </w:pPr>
      <w:rPr>
        <w:rFonts w:ascii="Courier New" w:hAnsi="Courier New" w:hint="default"/>
      </w:rPr>
    </w:lvl>
    <w:lvl w:ilvl="8" w:tplc="3AF88A08">
      <w:start w:val="1"/>
      <w:numFmt w:val="bullet"/>
      <w:lvlText w:val=""/>
      <w:lvlJc w:val="left"/>
      <w:pPr>
        <w:ind w:left="6480" w:hanging="360"/>
      </w:pPr>
      <w:rPr>
        <w:rFonts w:ascii="Wingdings" w:hAnsi="Wingdings" w:hint="default"/>
      </w:rPr>
    </w:lvl>
  </w:abstractNum>
  <w:abstractNum w:abstractNumId="56" w15:restartNumberingAfterBreak="0">
    <w:nsid w:val="79AB5754"/>
    <w:multiLevelType w:val="hybridMultilevel"/>
    <w:tmpl w:val="36642A4E"/>
    <w:lvl w:ilvl="0" w:tplc="F68CFFD2">
      <w:start w:val="1"/>
      <w:numFmt w:val="bullet"/>
      <w:lvlText w:val=""/>
      <w:lvlJc w:val="left"/>
      <w:pPr>
        <w:ind w:left="720" w:hanging="360"/>
      </w:pPr>
      <w:rPr>
        <w:rFonts w:ascii="Symbol" w:hAnsi="Symbol" w:hint="default"/>
      </w:rPr>
    </w:lvl>
    <w:lvl w:ilvl="1" w:tplc="CD248562" w:tentative="1">
      <w:start w:val="1"/>
      <w:numFmt w:val="bullet"/>
      <w:lvlText w:val="o"/>
      <w:lvlJc w:val="left"/>
      <w:pPr>
        <w:ind w:left="1440" w:hanging="360"/>
      </w:pPr>
      <w:rPr>
        <w:rFonts w:ascii="Courier New" w:hAnsi="Courier New" w:cs="Courier New" w:hint="default"/>
      </w:rPr>
    </w:lvl>
    <w:lvl w:ilvl="2" w:tplc="74229D52" w:tentative="1">
      <w:start w:val="1"/>
      <w:numFmt w:val="bullet"/>
      <w:lvlText w:val=""/>
      <w:lvlJc w:val="left"/>
      <w:pPr>
        <w:ind w:left="2160" w:hanging="360"/>
      </w:pPr>
      <w:rPr>
        <w:rFonts w:ascii="Wingdings" w:hAnsi="Wingdings" w:hint="default"/>
      </w:rPr>
    </w:lvl>
    <w:lvl w:ilvl="3" w:tplc="C422F50C" w:tentative="1">
      <w:start w:val="1"/>
      <w:numFmt w:val="bullet"/>
      <w:lvlText w:val=""/>
      <w:lvlJc w:val="left"/>
      <w:pPr>
        <w:ind w:left="2880" w:hanging="360"/>
      </w:pPr>
      <w:rPr>
        <w:rFonts w:ascii="Symbol" w:hAnsi="Symbol" w:hint="default"/>
      </w:rPr>
    </w:lvl>
    <w:lvl w:ilvl="4" w:tplc="5E8EFD00" w:tentative="1">
      <w:start w:val="1"/>
      <w:numFmt w:val="bullet"/>
      <w:lvlText w:val="o"/>
      <w:lvlJc w:val="left"/>
      <w:pPr>
        <w:ind w:left="3600" w:hanging="360"/>
      </w:pPr>
      <w:rPr>
        <w:rFonts w:ascii="Courier New" w:hAnsi="Courier New" w:cs="Courier New" w:hint="default"/>
      </w:rPr>
    </w:lvl>
    <w:lvl w:ilvl="5" w:tplc="9BACAA1A" w:tentative="1">
      <w:start w:val="1"/>
      <w:numFmt w:val="bullet"/>
      <w:lvlText w:val=""/>
      <w:lvlJc w:val="left"/>
      <w:pPr>
        <w:ind w:left="4320" w:hanging="360"/>
      </w:pPr>
      <w:rPr>
        <w:rFonts w:ascii="Wingdings" w:hAnsi="Wingdings" w:hint="default"/>
      </w:rPr>
    </w:lvl>
    <w:lvl w:ilvl="6" w:tplc="333AC21A" w:tentative="1">
      <w:start w:val="1"/>
      <w:numFmt w:val="bullet"/>
      <w:lvlText w:val=""/>
      <w:lvlJc w:val="left"/>
      <w:pPr>
        <w:ind w:left="5040" w:hanging="360"/>
      </w:pPr>
      <w:rPr>
        <w:rFonts w:ascii="Symbol" w:hAnsi="Symbol" w:hint="default"/>
      </w:rPr>
    </w:lvl>
    <w:lvl w:ilvl="7" w:tplc="D77400EC" w:tentative="1">
      <w:start w:val="1"/>
      <w:numFmt w:val="bullet"/>
      <w:lvlText w:val="o"/>
      <w:lvlJc w:val="left"/>
      <w:pPr>
        <w:ind w:left="5760" w:hanging="360"/>
      </w:pPr>
      <w:rPr>
        <w:rFonts w:ascii="Courier New" w:hAnsi="Courier New" w:cs="Courier New" w:hint="default"/>
      </w:rPr>
    </w:lvl>
    <w:lvl w:ilvl="8" w:tplc="A68AAE94" w:tentative="1">
      <w:start w:val="1"/>
      <w:numFmt w:val="bullet"/>
      <w:lvlText w:val=""/>
      <w:lvlJc w:val="left"/>
      <w:pPr>
        <w:ind w:left="6480" w:hanging="360"/>
      </w:pPr>
      <w:rPr>
        <w:rFonts w:ascii="Wingdings" w:hAnsi="Wingdings" w:hint="default"/>
      </w:rPr>
    </w:lvl>
  </w:abstractNum>
  <w:num w:numId="1" w16cid:durableId="982349760">
    <w:abstractNumId w:val="15"/>
  </w:num>
  <w:num w:numId="2" w16cid:durableId="639116619">
    <w:abstractNumId w:val="51"/>
  </w:num>
  <w:num w:numId="3" w16cid:durableId="1794472769">
    <w:abstractNumId w:val="53"/>
  </w:num>
  <w:num w:numId="4" w16cid:durableId="899248696">
    <w:abstractNumId w:val="19"/>
  </w:num>
  <w:num w:numId="5" w16cid:durableId="784349533">
    <w:abstractNumId w:val="55"/>
  </w:num>
  <w:num w:numId="6" w16cid:durableId="642656062">
    <w:abstractNumId w:val="50"/>
  </w:num>
  <w:num w:numId="7" w16cid:durableId="613052353">
    <w:abstractNumId w:val="49"/>
  </w:num>
  <w:num w:numId="8" w16cid:durableId="67310430">
    <w:abstractNumId w:val="38"/>
  </w:num>
  <w:num w:numId="9" w16cid:durableId="611547910">
    <w:abstractNumId w:val="36"/>
  </w:num>
  <w:num w:numId="10" w16cid:durableId="1959677898">
    <w:abstractNumId w:val="16"/>
  </w:num>
  <w:num w:numId="11" w16cid:durableId="39595297">
    <w:abstractNumId w:val="44"/>
  </w:num>
  <w:num w:numId="12" w16cid:durableId="1943028891">
    <w:abstractNumId w:val="35"/>
  </w:num>
  <w:num w:numId="13" w16cid:durableId="716248389">
    <w:abstractNumId w:val="25"/>
  </w:num>
  <w:num w:numId="14" w16cid:durableId="770512475">
    <w:abstractNumId w:val="27"/>
  </w:num>
  <w:num w:numId="15" w16cid:durableId="1489781969">
    <w:abstractNumId w:val="45"/>
  </w:num>
  <w:num w:numId="16" w16cid:durableId="1344092499">
    <w:abstractNumId w:val="43"/>
  </w:num>
  <w:num w:numId="17" w16cid:durableId="1791166455">
    <w:abstractNumId w:val="34"/>
  </w:num>
  <w:num w:numId="18" w16cid:durableId="1274290437">
    <w:abstractNumId w:val="30"/>
  </w:num>
  <w:num w:numId="19" w16cid:durableId="74203584">
    <w:abstractNumId w:val="17"/>
  </w:num>
  <w:num w:numId="20" w16cid:durableId="931232653">
    <w:abstractNumId w:val="29"/>
  </w:num>
  <w:num w:numId="21" w16cid:durableId="914515874">
    <w:abstractNumId w:val="56"/>
  </w:num>
  <w:num w:numId="22" w16cid:durableId="1858303773">
    <w:abstractNumId w:val="47"/>
  </w:num>
  <w:num w:numId="23" w16cid:durableId="1441685469">
    <w:abstractNumId w:val="23"/>
  </w:num>
  <w:num w:numId="24" w16cid:durableId="1532189106">
    <w:abstractNumId w:val="26"/>
  </w:num>
  <w:num w:numId="25" w16cid:durableId="862476360">
    <w:abstractNumId w:val="9"/>
  </w:num>
  <w:num w:numId="26" w16cid:durableId="1282031721">
    <w:abstractNumId w:val="13"/>
  </w:num>
  <w:num w:numId="27" w16cid:durableId="979581161">
    <w:abstractNumId w:val="39"/>
  </w:num>
  <w:num w:numId="28" w16cid:durableId="1848057221">
    <w:abstractNumId w:val="41"/>
  </w:num>
  <w:num w:numId="29" w16cid:durableId="2022049577">
    <w:abstractNumId w:val="46"/>
  </w:num>
  <w:num w:numId="30" w16cid:durableId="840006029">
    <w:abstractNumId w:val="22"/>
  </w:num>
  <w:num w:numId="31" w16cid:durableId="35936025">
    <w:abstractNumId w:val="28"/>
  </w:num>
  <w:num w:numId="32" w16cid:durableId="1648590243">
    <w:abstractNumId w:val="37"/>
  </w:num>
  <w:num w:numId="33" w16cid:durableId="1702315663">
    <w:abstractNumId w:val="21"/>
  </w:num>
  <w:num w:numId="34" w16cid:durableId="1106851936">
    <w:abstractNumId w:val="11"/>
  </w:num>
  <w:num w:numId="35" w16cid:durableId="1654020348">
    <w:abstractNumId w:val="32"/>
  </w:num>
  <w:num w:numId="36" w16cid:durableId="940262478">
    <w:abstractNumId w:val="10"/>
  </w:num>
  <w:num w:numId="37" w16cid:durableId="2139446005">
    <w:abstractNumId w:val="12"/>
  </w:num>
  <w:num w:numId="38" w16cid:durableId="71590953">
    <w:abstractNumId w:val="31"/>
  </w:num>
  <w:num w:numId="39" w16cid:durableId="1653867619">
    <w:abstractNumId w:val="54"/>
  </w:num>
  <w:num w:numId="40" w16cid:durableId="667369008">
    <w:abstractNumId w:val="18"/>
  </w:num>
  <w:num w:numId="41" w16cid:durableId="1504470055">
    <w:abstractNumId w:val="52"/>
  </w:num>
  <w:num w:numId="42" w16cid:durableId="97525334">
    <w:abstractNumId w:val="7"/>
  </w:num>
  <w:num w:numId="43" w16cid:durableId="953056912">
    <w:abstractNumId w:val="6"/>
  </w:num>
  <w:num w:numId="44" w16cid:durableId="541675940">
    <w:abstractNumId w:val="5"/>
  </w:num>
  <w:num w:numId="45" w16cid:durableId="1256787951">
    <w:abstractNumId w:val="4"/>
  </w:num>
  <w:num w:numId="46" w16cid:durableId="1477917613">
    <w:abstractNumId w:val="8"/>
  </w:num>
  <w:num w:numId="47" w16cid:durableId="2140561203">
    <w:abstractNumId w:val="3"/>
  </w:num>
  <w:num w:numId="48" w16cid:durableId="1902061482">
    <w:abstractNumId w:val="2"/>
  </w:num>
  <w:num w:numId="49" w16cid:durableId="914625967">
    <w:abstractNumId w:val="1"/>
  </w:num>
  <w:num w:numId="50" w16cid:durableId="377319182">
    <w:abstractNumId w:val="0"/>
  </w:num>
  <w:num w:numId="51" w16cid:durableId="1571502891">
    <w:abstractNumId w:val="20"/>
  </w:num>
  <w:num w:numId="52" w16cid:durableId="424767462">
    <w:abstractNumId w:val="48"/>
  </w:num>
  <w:num w:numId="53" w16cid:durableId="1218853499">
    <w:abstractNumId w:val="42"/>
  </w:num>
  <w:num w:numId="54" w16cid:durableId="1534031976">
    <w:abstractNumId w:val="14"/>
  </w:num>
  <w:num w:numId="55" w16cid:durableId="1634098527">
    <w:abstractNumId w:val="40"/>
  </w:num>
  <w:num w:numId="56" w16cid:durableId="165558356">
    <w:abstractNumId w:val="24"/>
  </w:num>
  <w:num w:numId="57" w16cid:durableId="763917027">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zMjGwMLcwtDCzNDNX0lEKTi0uzszPAymwrAUAvrRSVSwAAAA="/>
  </w:docVars>
  <w:rsids>
    <w:rsidRoot w:val="00970157"/>
    <w:rsid w:val="00000015"/>
    <w:rsid w:val="000004D7"/>
    <w:rsid w:val="00000897"/>
    <w:rsid w:val="00000D9D"/>
    <w:rsid w:val="00000F08"/>
    <w:rsid w:val="00000F92"/>
    <w:rsid w:val="000010B6"/>
    <w:rsid w:val="000014C5"/>
    <w:rsid w:val="0000157A"/>
    <w:rsid w:val="00001677"/>
    <w:rsid w:val="0000174A"/>
    <w:rsid w:val="0000175F"/>
    <w:rsid w:val="00001A20"/>
    <w:rsid w:val="00001A3D"/>
    <w:rsid w:val="00001BCE"/>
    <w:rsid w:val="000022DB"/>
    <w:rsid w:val="000025DA"/>
    <w:rsid w:val="00002700"/>
    <w:rsid w:val="00002738"/>
    <w:rsid w:val="0000275B"/>
    <w:rsid w:val="00002A53"/>
    <w:rsid w:val="00002BF0"/>
    <w:rsid w:val="00002F51"/>
    <w:rsid w:val="000030C4"/>
    <w:rsid w:val="000031E6"/>
    <w:rsid w:val="00003235"/>
    <w:rsid w:val="00003260"/>
    <w:rsid w:val="00003377"/>
    <w:rsid w:val="000036C2"/>
    <w:rsid w:val="0000392D"/>
    <w:rsid w:val="00003C80"/>
    <w:rsid w:val="00003EA0"/>
    <w:rsid w:val="00004190"/>
    <w:rsid w:val="000045EE"/>
    <w:rsid w:val="000046E8"/>
    <w:rsid w:val="000048F7"/>
    <w:rsid w:val="000049BF"/>
    <w:rsid w:val="00004AB6"/>
    <w:rsid w:val="00004C6E"/>
    <w:rsid w:val="00004C99"/>
    <w:rsid w:val="00004D40"/>
    <w:rsid w:val="00004FA7"/>
    <w:rsid w:val="00004FFA"/>
    <w:rsid w:val="000050E1"/>
    <w:rsid w:val="0000550A"/>
    <w:rsid w:val="0000568F"/>
    <w:rsid w:val="00005893"/>
    <w:rsid w:val="000059CC"/>
    <w:rsid w:val="00005A50"/>
    <w:rsid w:val="00005E6E"/>
    <w:rsid w:val="00005F30"/>
    <w:rsid w:val="00005FAE"/>
    <w:rsid w:val="0000626D"/>
    <w:rsid w:val="0000643D"/>
    <w:rsid w:val="00006B0D"/>
    <w:rsid w:val="00006ED6"/>
    <w:rsid w:val="00007073"/>
    <w:rsid w:val="000074E0"/>
    <w:rsid w:val="000074F0"/>
    <w:rsid w:val="0000750D"/>
    <w:rsid w:val="000076E5"/>
    <w:rsid w:val="0000794C"/>
    <w:rsid w:val="000079FE"/>
    <w:rsid w:val="00007DA7"/>
    <w:rsid w:val="00007E67"/>
    <w:rsid w:val="00007F14"/>
    <w:rsid w:val="000106FB"/>
    <w:rsid w:val="0001084B"/>
    <w:rsid w:val="00010D91"/>
    <w:rsid w:val="00010DD1"/>
    <w:rsid w:val="00010E24"/>
    <w:rsid w:val="00010FA5"/>
    <w:rsid w:val="00011203"/>
    <w:rsid w:val="000118AB"/>
    <w:rsid w:val="00011A77"/>
    <w:rsid w:val="00011AC2"/>
    <w:rsid w:val="00011D42"/>
    <w:rsid w:val="00011EAB"/>
    <w:rsid w:val="00012100"/>
    <w:rsid w:val="00012368"/>
    <w:rsid w:val="00012473"/>
    <w:rsid w:val="000128AE"/>
    <w:rsid w:val="00012A5B"/>
    <w:rsid w:val="00012F2E"/>
    <w:rsid w:val="00013121"/>
    <w:rsid w:val="0001354D"/>
    <w:rsid w:val="00013594"/>
    <w:rsid w:val="0001384B"/>
    <w:rsid w:val="00013858"/>
    <w:rsid w:val="0001387D"/>
    <w:rsid w:val="00013B21"/>
    <w:rsid w:val="000140FA"/>
    <w:rsid w:val="000141FB"/>
    <w:rsid w:val="0001460B"/>
    <w:rsid w:val="00014F23"/>
    <w:rsid w:val="00014F38"/>
    <w:rsid w:val="00014F46"/>
    <w:rsid w:val="000150D4"/>
    <w:rsid w:val="00015288"/>
    <w:rsid w:val="0001588D"/>
    <w:rsid w:val="00015D7A"/>
    <w:rsid w:val="00015EE1"/>
    <w:rsid w:val="00015FFE"/>
    <w:rsid w:val="0001602D"/>
    <w:rsid w:val="00016816"/>
    <w:rsid w:val="00016A42"/>
    <w:rsid w:val="00016AFA"/>
    <w:rsid w:val="0001716F"/>
    <w:rsid w:val="00017333"/>
    <w:rsid w:val="00017576"/>
    <w:rsid w:val="000175B4"/>
    <w:rsid w:val="00017784"/>
    <w:rsid w:val="00017919"/>
    <w:rsid w:val="00017FF1"/>
    <w:rsid w:val="00020112"/>
    <w:rsid w:val="00020157"/>
    <w:rsid w:val="00020202"/>
    <w:rsid w:val="00020AA6"/>
    <w:rsid w:val="00020D0C"/>
    <w:rsid w:val="00020EC6"/>
    <w:rsid w:val="00020EF4"/>
    <w:rsid w:val="00020FE1"/>
    <w:rsid w:val="00021617"/>
    <w:rsid w:val="000216E6"/>
    <w:rsid w:val="00021B22"/>
    <w:rsid w:val="00022010"/>
    <w:rsid w:val="000223D9"/>
    <w:rsid w:val="00022953"/>
    <w:rsid w:val="00022A7F"/>
    <w:rsid w:val="00022C54"/>
    <w:rsid w:val="00022C73"/>
    <w:rsid w:val="00023A64"/>
    <w:rsid w:val="00023CDF"/>
    <w:rsid w:val="00023D62"/>
    <w:rsid w:val="00023DE0"/>
    <w:rsid w:val="00023FD0"/>
    <w:rsid w:val="00023FDD"/>
    <w:rsid w:val="000241EA"/>
    <w:rsid w:val="00024227"/>
    <w:rsid w:val="000246D0"/>
    <w:rsid w:val="000248FC"/>
    <w:rsid w:val="00024962"/>
    <w:rsid w:val="00024E9C"/>
    <w:rsid w:val="00025846"/>
    <w:rsid w:val="00025876"/>
    <w:rsid w:val="000258DC"/>
    <w:rsid w:val="00025B1C"/>
    <w:rsid w:val="00025B9A"/>
    <w:rsid w:val="00026416"/>
    <w:rsid w:val="000268D1"/>
    <w:rsid w:val="000269A3"/>
    <w:rsid w:val="00026AA4"/>
    <w:rsid w:val="00026DDC"/>
    <w:rsid w:val="000274DA"/>
    <w:rsid w:val="00027621"/>
    <w:rsid w:val="00027690"/>
    <w:rsid w:val="00027D14"/>
    <w:rsid w:val="00027D9B"/>
    <w:rsid w:val="00027EE6"/>
    <w:rsid w:val="00030058"/>
    <w:rsid w:val="00030631"/>
    <w:rsid w:val="00030BEB"/>
    <w:rsid w:val="00030BF3"/>
    <w:rsid w:val="00030C0C"/>
    <w:rsid w:val="00031098"/>
    <w:rsid w:val="0003119B"/>
    <w:rsid w:val="000314A1"/>
    <w:rsid w:val="00031528"/>
    <w:rsid w:val="00031575"/>
    <w:rsid w:val="00031576"/>
    <w:rsid w:val="000316D9"/>
    <w:rsid w:val="000317D3"/>
    <w:rsid w:val="00031946"/>
    <w:rsid w:val="00031ACF"/>
    <w:rsid w:val="00031C2C"/>
    <w:rsid w:val="00031EB6"/>
    <w:rsid w:val="000321DE"/>
    <w:rsid w:val="0003247B"/>
    <w:rsid w:val="0003254B"/>
    <w:rsid w:val="0003272B"/>
    <w:rsid w:val="0003279B"/>
    <w:rsid w:val="00032891"/>
    <w:rsid w:val="000332B0"/>
    <w:rsid w:val="000333A0"/>
    <w:rsid w:val="00033430"/>
    <w:rsid w:val="00033886"/>
    <w:rsid w:val="00033953"/>
    <w:rsid w:val="00033E10"/>
    <w:rsid w:val="00033F48"/>
    <w:rsid w:val="00034A21"/>
    <w:rsid w:val="00034AFB"/>
    <w:rsid w:val="00034C10"/>
    <w:rsid w:val="00034C80"/>
    <w:rsid w:val="00034D43"/>
    <w:rsid w:val="00035012"/>
    <w:rsid w:val="000351F8"/>
    <w:rsid w:val="00035283"/>
    <w:rsid w:val="000352BE"/>
    <w:rsid w:val="000352C7"/>
    <w:rsid w:val="000354F3"/>
    <w:rsid w:val="0003585A"/>
    <w:rsid w:val="00035A17"/>
    <w:rsid w:val="00035D8B"/>
    <w:rsid w:val="00035DB8"/>
    <w:rsid w:val="0003607F"/>
    <w:rsid w:val="00036775"/>
    <w:rsid w:val="000367D2"/>
    <w:rsid w:val="00036B8D"/>
    <w:rsid w:val="00036C65"/>
    <w:rsid w:val="00036D5F"/>
    <w:rsid w:val="00036E0D"/>
    <w:rsid w:val="00037057"/>
    <w:rsid w:val="00037811"/>
    <w:rsid w:val="0003787A"/>
    <w:rsid w:val="000378F4"/>
    <w:rsid w:val="00037BB3"/>
    <w:rsid w:val="00040024"/>
    <w:rsid w:val="000400EE"/>
    <w:rsid w:val="00040261"/>
    <w:rsid w:val="00040746"/>
    <w:rsid w:val="00040A60"/>
    <w:rsid w:val="00040BCD"/>
    <w:rsid w:val="0004100D"/>
    <w:rsid w:val="00041040"/>
    <w:rsid w:val="000411EE"/>
    <w:rsid w:val="000412F4"/>
    <w:rsid w:val="0004130E"/>
    <w:rsid w:val="00041662"/>
    <w:rsid w:val="0004191B"/>
    <w:rsid w:val="00041AAD"/>
    <w:rsid w:val="00041B51"/>
    <w:rsid w:val="00041CD3"/>
    <w:rsid w:val="00041DE0"/>
    <w:rsid w:val="00042240"/>
    <w:rsid w:val="00042337"/>
    <w:rsid w:val="00042419"/>
    <w:rsid w:val="0004270E"/>
    <w:rsid w:val="00042C41"/>
    <w:rsid w:val="00042E09"/>
    <w:rsid w:val="00043116"/>
    <w:rsid w:val="000435FE"/>
    <w:rsid w:val="00043843"/>
    <w:rsid w:val="00043AF9"/>
    <w:rsid w:val="00043B1C"/>
    <w:rsid w:val="00044265"/>
    <w:rsid w:val="000442CD"/>
    <w:rsid w:val="00044362"/>
    <w:rsid w:val="00044821"/>
    <w:rsid w:val="000449E1"/>
    <w:rsid w:val="00044E07"/>
    <w:rsid w:val="00044E92"/>
    <w:rsid w:val="000451BC"/>
    <w:rsid w:val="000453B6"/>
    <w:rsid w:val="000454E8"/>
    <w:rsid w:val="00045B8C"/>
    <w:rsid w:val="000463DE"/>
    <w:rsid w:val="000465B8"/>
    <w:rsid w:val="00046CFE"/>
    <w:rsid w:val="0004707B"/>
    <w:rsid w:val="000471FB"/>
    <w:rsid w:val="0004730D"/>
    <w:rsid w:val="0004752A"/>
    <w:rsid w:val="00047987"/>
    <w:rsid w:val="00047ABF"/>
    <w:rsid w:val="00047CDA"/>
    <w:rsid w:val="00047DDF"/>
    <w:rsid w:val="00047F96"/>
    <w:rsid w:val="0005014D"/>
    <w:rsid w:val="0005031C"/>
    <w:rsid w:val="00050424"/>
    <w:rsid w:val="00050915"/>
    <w:rsid w:val="00050AD0"/>
    <w:rsid w:val="00050DBD"/>
    <w:rsid w:val="00050EF1"/>
    <w:rsid w:val="000511B8"/>
    <w:rsid w:val="0005147B"/>
    <w:rsid w:val="00051FE7"/>
    <w:rsid w:val="000521C3"/>
    <w:rsid w:val="000521D6"/>
    <w:rsid w:val="000527B7"/>
    <w:rsid w:val="00052AF3"/>
    <w:rsid w:val="00052D4C"/>
    <w:rsid w:val="0005378E"/>
    <w:rsid w:val="00053A85"/>
    <w:rsid w:val="00053B13"/>
    <w:rsid w:val="00053E33"/>
    <w:rsid w:val="0005487F"/>
    <w:rsid w:val="000548B6"/>
    <w:rsid w:val="00054A48"/>
    <w:rsid w:val="0005505F"/>
    <w:rsid w:val="000550BE"/>
    <w:rsid w:val="000552D7"/>
    <w:rsid w:val="000553FC"/>
    <w:rsid w:val="000558A3"/>
    <w:rsid w:val="00055C1F"/>
    <w:rsid w:val="00056031"/>
    <w:rsid w:val="000561ED"/>
    <w:rsid w:val="000561F8"/>
    <w:rsid w:val="000563D3"/>
    <w:rsid w:val="00056F1B"/>
    <w:rsid w:val="00057426"/>
    <w:rsid w:val="0005775C"/>
    <w:rsid w:val="00057BD4"/>
    <w:rsid w:val="00057C43"/>
    <w:rsid w:val="00057FF3"/>
    <w:rsid w:val="0006089D"/>
    <w:rsid w:val="00060AE3"/>
    <w:rsid w:val="00060D23"/>
    <w:rsid w:val="00060DE2"/>
    <w:rsid w:val="00061377"/>
    <w:rsid w:val="00061A17"/>
    <w:rsid w:val="00061BAC"/>
    <w:rsid w:val="000622F1"/>
    <w:rsid w:val="000623A4"/>
    <w:rsid w:val="0006248E"/>
    <w:rsid w:val="0006260C"/>
    <w:rsid w:val="00062B68"/>
    <w:rsid w:val="000630E1"/>
    <w:rsid w:val="0006314B"/>
    <w:rsid w:val="00063448"/>
    <w:rsid w:val="00063798"/>
    <w:rsid w:val="00063A6C"/>
    <w:rsid w:val="00063B70"/>
    <w:rsid w:val="000642C6"/>
    <w:rsid w:val="0006456F"/>
    <w:rsid w:val="00064A14"/>
    <w:rsid w:val="00064A86"/>
    <w:rsid w:val="00064AD6"/>
    <w:rsid w:val="00065223"/>
    <w:rsid w:val="0006525B"/>
    <w:rsid w:val="000652F8"/>
    <w:rsid w:val="000657AA"/>
    <w:rsid w:val="00065D53"/>
    <w:rsid w:val="0006637A"/>
    <w:rsid w:val="00066515"/>
    <w:rsid w:val="000666F7"/>
    <w:rsid w:val="00066B79"/>
    <w:rsid w:val="00066CDD"/>
    <w:rsid w:val="00066D3E"/>
    <w:rsid w:val="00066D85"/>
    <w:rsid w:val="000671E0"/>
    <w:rsid w:val="000671F3"/>
    <w:rsid w:val="00067333"/>
    <w:rsid w:val="000673DF"/>
    <w:rsid w:val="00067D95"/>
    <w:rsid w:val="00067FC1"/>
    <w:rsid w:val="00070762"/>
    <w:rsid w:val="000708D7"/>
    <w:rsid w:val="000708FE"/>
    <w:rsid w:val="0007113F"/>
    <w:rsid w:val="000713D4"/>
    <w:rsid w:val="000715B0"/>
    <w:rsid w:val="00071792"/>
    <w:rsid w:val="000718CD"/>
    <w:rsid w:val="0007193F"/>
    <w:rsid w:val="00071951"/>
    <w:rsid w:val="00071D7D"/>
    <w:rsid w:val="00072008"/>
    <w:rsid w:val="0007211E"/>
    <w:rsid w:val="0007215A"/>
    <w:rsid w:val="0007295D"/>
    <w:rsid w:val="00072A25"/>
    <w:rsid w:val="00072AC3"/>
    <w:rsid w:val="00072AEB"/>
    <w:rsid w:val="00072B14"/>
    <w:rsid w:val="00073303"/>
    <w:rsid w:val="00073487"/>
    <w:rsid w:val="00073550"/>
    <w:rsid w:val="0007371C"/>
    <w:rsid w:val="000738E8"/>
    <w:rsid w:val="00073957"/>
    <w:rsid w:val="00073A17"/>
    <w:rsid w:val="00073E1E"/>
    <w:rsid w:val="00073E4C"/>
    <w:rsid w:val="00074186"/>
    <w:rsid w:val="00074285"/>
    <w:rsid w:val="0007440F"/>
    <w:rsid w:val="0007488A"/>
    <w:rsid w:val="00074ACC"/>
    <w:rsid w:val="00074C10"/>
    <w:rsid w:val="00074F96"/>
    <w:rsid w:val="00075193"/>
    <w:rsid w:val="000752C2"/>
    <w:rsid w:val="000754B2"/>
    <w:rsid w:val="00075652"/>
    <w:rsid w:val="000757FF"/>
    <w:rsid w:val="00075B11"/>
    <w:rsid w:val="00075E19"/>
    <w:rsid w:val="000761F8"/>
    <w:rsid w:val="00076C4E"/>
    <w:rsid w:val="000772A2"/>
    <w:rsid w:val="0007739C"/>
    <w:rsid w:val="000774BA"/>
    <w:rsid w:val="0007786D"/>
    <w:rsid w:val="00077A7B"/>
    <w:rsid w:val="00077A89"/>
    <w:rsid w:val="00077C92"/>
    <w:rsid w:val="00077CF3"/>
    <w:rsid w:val="00077DEA"/>
    <w:rsid w:val="0008002C"/>
    <w:rsid w:val="00080099"/>
    <w:rsid w:val="000801A8"/>
    <w:rsid w:val="000803C2"/>
    <w:rsid w:val="00080A4E"/>
    <w:rsid w:val="00080ACD"/>
    <w:rsid w:val="00080D64"/>
    <w:rsid w:val="00080D74"/>
    <w:rsid w:val="00080E03"/>
    <w:rsid w:val="00080EBD"/>
    <w:rsid w:val="00081043"/>
    <w:rsid w:val="0008182F"/>
    <w:rsid w:val="00081940"/>
    <w:rsid w:val="00081B06"/>
    <w:rsid w:val="00081DDD"/>
    <w:rsid w:val="00081E6C"/>
    <w:rsid w:val="0008270F"/>
    <w:rsid w:val="0008289E"/>
    <w:rsid w:val="00082960"/>
    <w:rsid w:val="00082994"/>
    <w:rsid w:val="00082A39"/>
    <w:rsid w:val="00082FBB"/>
    <w:rsid w:val="00083008"/>
    <w:rsid w:val="0008336F"/>
    <w:rsid w:val="000836FD"/>
    <w:rsid w:val="000839BE"/>
    <w:rsid w:val="00083D0B"/>
    <w:rsid w:val="000845EC"/>
    <w:rsid w:val="00084735"/>
    <w:rsid w:val="000847C6"/>
    <w:rsid w:val="0008492E"/>
    <w:rsid w:val="00084CC8"/>
    <w:rsid w:val="00084DC2"/>
    <w:rsid w:val="0008514A"/>
    <w:rsid w:val="00085682"/>
    <w:rsid w:val="000856D1"/>
    <w:rsid w:val="000859F0"/>
    <w:rsid w:val="00085AA1"/>
    <w:rsid w:val="00085E2D"/>
    <w:rsid w:val="00085F1A"/>
    <w:rsid w:val="000861C7"/>
    <w:rsid w:val="000863B7"/>
    <w:rsid w:val="000869E3"/>
    <w:rsid w:val="00086A62"/>
    <w:rsid w:val="00086B89"/>
    <w:rsid w:val="00086D3B"/>
    <w:rsid w:val="00086D7F"/>
    <w:rsid w:val="00086DAF"/>
    <w:rsid w:val="00086F03"/>
    <w:rsid w:val="00087186"/>
    <w:rsid w:val="00087362"/>
    <w:rsid w:val="000877E2"/>
    <w:rsid w:val="0008785A"/>
    <w:rsid w:val="00087AFE"/>
    <w:rsid w:val="00087B4B"/>
    <w:rsid w:val="00087C4B"/>
    <w:rsid w:val="00087DFF"/>
    <w:rsid w:val="000902E5"/>
    <w:rsid w:val="00090A5E"/>
    <w:rsid w:val="00090FA2"/>
    <w:rsid w:val="00091110"/>
    <w:rsid w:val="00091185"/>
    <w:rsid w:val="000911C9"/>
    <w:rsid w:val="000917B3"/>
    <w:rsid w:val="0009191C"/>
    <w:rsid w:val="00091AA6"/>
    <w:rsid w:val="00091CB8"/>
    <w:rsid w:val="00091F50"/>
    <w:rsid w:val="00092729"/>
    <w:rsid w:val="000927FA"/>
    <w:rsid w:val="00092957"/>
    <w:rsid w:val="00092A44"/>
    <w:rsid w:val="00092B42"/>
    <w:rsid w:val="00092D74"/>
    <w:rsid w:val="00092DAD"/>
    <w:rsid w:val="0009327E"/>
    <w:rsid w:val="00093757"/>
    <w:rsid w:val="00093946"/>
    <w:rsid w:val="00093FE9"/>
    <w:rsid w:val="00094294"/>
    <w:rsid w:val="00094640"/>
    <w:rsid w:val="00094A61"/>
    <w:rsid w:val="00094C54"/>
    <w:rsid w:val="00094FA8"/>
    <w:rsid w:val="00095200"/>
    <w:rsid w:val="0009580C"/>
    <w:rsid w:val="000958A4"/>
    <w:rsid w:val="000959F1"/>
    <w:rsid w:val="00095A77"/>
    <w:rsid w:val="00095F93"/>
    <w:rsid w:val="00096373"/>
    <w:rsid w:val="00096518"/>
    <w:rsid w:val="00096BA9"/>
    <w:rsid w:val="00096C1F"/>
    <w:rsid w:val="00096DA6"/>
    <w:rsid w:val="00096E3E"/>
    <w:rsid w:val="0009721B"/>
    <w:rsid w:val="000A0201"/>
    <w:rsid w:val="000A0374"/>
    <w:rsid w:val="000A04F1"/>
    <w:rsid w:val="000A05D8"/>
    <w:rsid w:val="000A085B"/>
    <w:rsid w:val="000A08AC"/>
    <w:rsid w:val="000A0AB4"/>
    <w:rsid w:val="000A0BD9"/>
    <w:rsid w:val="000A0CEE"/>
    <w:rsid w:val="000A0D24"/>
    <w:rsid w:val="000A0DBE"/>
    <w:rsid w:val="000A0F9A"/>
    <w:rsid w:val="000A1199"/>
    <w:rsid w:val="000A1364"/>
    <w:rsid w:val="000A138E"/>
    <w:rsid w:val="000A1902"/>
    <w:rsid w:val="000A1ECA"/>
    <w:rsid w:val="000A219D"/>
    <w:rsid w:val="000A2661"/>
    <w:rsid w:val="000A321E"/>
    <w:rsid w:val="000A33E2"/>
    <w:rsid w:val="000A392E"/>
    <w:rsid w:val="000A39F7"/>
    <w:rsid w:val="000A3CFB"/>
    <w:rsid w:val="000A425C"/>
    <w:rsid w:val="000A4474"/>
    <w:rsid w:val="000A4AA4"/>
    <w:rsid w:val="000A4D10"/>
    <w:rsid w:val="000A4F5E"/>
    <w:rsid w:val="000A50E2"/>
    <w:rsid w:val="000A51A7"/>
    <w:rsid w:val="000A5244"/>
    <w:rsid w:val="000A54BD"/>
    <w:rsid w:val="000A55F4"/>
    <w:rsid w:val="000A5682"/>
    <w:rsid w:val="000A56B6"/>
    <w:rsid w:val="000A5858"/>
    <w:rsid w:val="000A5CC7"/>
    <w:rsid w:val="000A5F8A"/>
    <w:rsid w:val="000A64C5"/>
    <w:rsid w:val="000A6A48"/>
    <w:rsid w:val="000A6CA4"/>
    <w:rsid w:val="000A6F83"/>
    <w:rsid w:val="000A70F4"/>
    <w:rsid w:val="000A7707"/>
    <w:rsid w:val="000A777D"/>
    <w:rsid w:val="000A7B26"/>
    <w:rsid w:val="000A7C2D"/>
    <w:rsid w:val="000A7EAD"/>
    <w:rsid w:val="000B02CF"/>
    <w:rsid w:val="000B06DE"/>
    <w:rsid w:val="000B08BE"/>
    <w:rsid w:val="000B0AB9"/>
    <w:rsid w:val="000B0C11"/>
    <w:rsid w:val="000B1180"/>
    <w:rsid w:val="000B14D7"/>
    <w:rsid w:val="000B2102"/>
    <w:rsid w:val="000B2213"/>
    <w:rsid w:val="000B228F"/>
    <w:rsid w:val="000B2552"/>
    <w:rsid w:val="000B2635"/>
    <w:rsid w:val="000B2B4D"/>
    <w:rsid w:val="000B2DCC"/>
    <w:rsid w:val="000B2F06"/>
    <w:rsid w:val="000B3017"/>
    <w:rsid w:val="000B30EC"/>
    <w:rsid w:val="000B365D"/>
    <w:rsid w:val="000B3BA4"/>
    <w:rsid w:val="000B3F25"/>
    <w:rsid w:val="000B49DC"/>
    <w:rsid w:val="000B4B65"/>
    <w:rsid w:val="000B5023"/>
    <w:rsid w:val="000B537E"/>
    <w:rsid w:val="000B5A64"/>
    <w:rsid w:val="000B5B06"/>
    <w:rsid w:val="000B5C1A"/>
    <w:rsid w:val="000B5D60"/>
    <w:rsid w:val="000B5EB9"/>
    <w:rsid w:val="000B5F40"/>
    <w:rsid w:val="000B6716"/>
    <w:rsid w:val="000B697D"/>
    <w:rsid w:val="000B6B18"/>
    <w:rsid w:val="000B6C5F"/>
    <w:rsid w:val="000B6F77"/>
    <w:rsid w:val="000B730A"/>
    <w:rsid w:val="000B75D2"/>
    <w:rsid w:val="000B7679"/>
    <w:rsid w:val="000B790D"/>
    <w:rsid w:val="000B7987"/>
    <w:rsid w:val="000B7D8E"/>
    <w:rsid w:val="000B7F6A"/>
    <w:rsid w:val="000C0F51"/>
    <w:rsid w:val="000C14C9"/>
    <w:rsid w:val="000C1717"/>
    <w:rsid w:val="000C1EFD"/>
    <w:rsid w:val="000C2310"/>
    <w:rsid w:val="000C2405"/>
    <w:rsid w:val="000C27CE"/>
    <w:rsid w:val="000C2B45"/>
    <w:rsid w:val="000C2BC9"/>
    <w:rsid w:val="000C2F14"/>
    <w:rsid w:val="000C3890"/>
    <w:rsid w:val="000C38F7"/>
    <w:rsid w:val="000C3944"/>
    <w:rsid w:val="000C39F7"/>
    <w:rsid w:val="000C3B2A"/>
    <w:rsid w:val="000C3B6D"/>
    <w:rsid w:val="000C3CDD"/>
    <w:rsid w:val="000C4226"/>
    <w:rsid w:val="000C49E0"/>
    <w:rsid w:val="000C4A77"/>
    <w:rsid w:val="000C4ED3"/>
    <w:rsid w:val="000C4FF9"/>
    <w:rsid w:val="000C5142"/>
    <w:rsid w:val="000C532B"/>
    <w:rsid w:val="000C53A0"/>
    <w:rsid w:val="000C5620"/>
    <w:rsid w:val="000C5662"/>
    <w:rsid w:val="000C581E"/>
    <w:rsid w:val="000C58CD"/>
    <w:rsid w:val="000C609E"/>
    <w:rsid w:val="000C61AD"/>
    <w:rsid w:val="000C6360"/>
    <w:rsid w:val="000C63C3"/>
    <w:rsid w:val="000C6513"/>
    <w:rsid w:val="000C6B8D"/>
    <w:rsid w:val="000C6E3D"/>
    <w:rsid w:val="000C6E58"/>
    <w:rsid w:val="000C6ECA"/>
    <w:rsid w:val="000C7154"/>
    <w:rsid w:val="000C71BA"/>
    <w:rsid w:val="000C7317"/>
    <w:rsid w:val="000C776E"/>
    <w:rsid w:val="000C7B2D"/>
    <w:rsid w:val="000C7D95"/>
    <w:rsid w:val="000C7E97"/>
    <w:rsid w:val="000D00D1"/>
    <w:rsid w:val="000D01B0"/>
    <w:rsid w:val="000D07A0"/>
    <w:rsid w:val="000D0B19"/>
    <w:rsid w:val="000D0C27"/>
    <w:rsid w:val="000D0CEA"/>
    <w:rsid w:val="000D0D9E"/>
    <w:rsid w:val="000D0E4B"/>
    <w:rsid w:val="000D129A"/>
    <w:rsid w:val="000D1444"/>
    <w:rsid w:val="000D149E"/>
    <w:rsid w:val="000D15AD"/>
    <w:rsid w:val="000D1DDB"/>
    <w:rsid w:val="000D21A0"/>
    <w:rsid w:val="000D21FD"/>
    <w:rsid w:val="000D22AC"/>
    <w:rsid w:val="000D22E8"/>
    <w:rsid w:val="000D2550"/>
    <w:rsid w:val="000D2796"/>
    <w:rsid w:val="000D2AAA"/>
    <w:rsid w:val="000D2C29"/>
    <w:rsid w:val="000D2FF1"/>
    <w:rsid w:val="000D33AD"/>
    <w:rsid w:val="000D3DCA"/>
    <w:rsid w:val="000D3E2A"/>
    <w:rsid w:val="000D417E"/>
    <w:rsid w:val="000D5232"/>
    <w:rsid w:val="000D5369"/>
    <w:rsid w:val="000D5638"/>
    <w:rsid w:val="000D5C77"/>
    <w:rsid w:val="000D5F7B"/>
    <w:rsid w:val="000D60A6"/>
    <w:rsid w:val="000D6289"/>
    <w:rsid w:val="000D6658"/>
    <w:rsid w:val="000D6CB2"/>
    <w:rsid w:val="000D6F7D"/>
    <w:rsid w:val="000D71CC"/>
    <w:rsid w:val="000D72E7"/>
    <w:rsid w:val="000D75BB"/>
    <w:rsid w:val="000D7644"/>
    <w:rsid w:val="000D7682"/>
    <w:rsid w:val="000D7B97"/>
    <w:rsid w:val="000E0106"/>
    <w:rsid w:val="000E0231"/>
    <w:rsid w:val="000E0273"/>
    <w:rsid w:val="000E06D1"/>
    <w:rsid w:val="000E07C7"/>
    <w:rsid w:val="000E0A2E"/>
    <w:rsid w:val="000E0AFB"/>
    <w:rsid w:val="000E0B82"/>
    <w:rsid w:val="000E0D2D"/>
    <w:rsid w:val="000E0FC8"/>
    <w:rsid w:val="000E1211"/>
    <w:rsid w:val="000E132B"/>
    <w:rsid w:val="000E170B"/>
    <w:rsid w:val="000E1AC7"/>
    <w:rsid w:val="000E1B7F"/>
    <w:rsid w:val="000E1B85"/>
    <w:rsid w:val="000E1CFA"/>
    <w:rsid w:val="000E212F"/>
    <w:rsid w:val="000E2351"/>
    <w:rsid w:val="000E2728"/>
    <w:rsid w:val="000E27AE"/>
    <w:rsid w:val="000E3083"/>
    <w:rsid w:val="000E3214"/>
    <w:rsid w:val="000E335F"/>
    <w:rsid w:val="000E3423"/>
    <w:rsid w:val="000E345E"/>
    <w:rsid w:val="000E39C8"/>
    <w:rsid w:val="000E407E"/>
    <w:rsid w:val="000E41B6"/>
    <w:rsid w:val="000E41D0"/>
    <w:rsid w:val="000E423C"/>
    <w:rsid w:val="000E42AA"/>
    <w:rsid w:val="000E4557"/>
    <w:rsid w:val="000E4678"/>
    <w:rsid w:val="000E46E2"/>
    <w:rsid w:val="000E4799"/>
    <w:rsid w:val="000E47DE"/>
    <w:rsid w:val="000E4F49"/>
    <w:rsid w:val="000E5533"/>
    <w:rsid w:val="000E564E"/>
    <w:rsid w:val="000E576D"/>
    <w:rsid w:val="000E5979"/>
    <w:rsid w:val="000E5B71"/>
    <w:rsid w:val="000E62AD"/>
    <w:rsid w:val="000E6423"/>
    <w:rsid w:val="000E6554"/>
    <w:rsid w:val="000E667F"/>
    <w:rsid w:val="000E6AC4"/>
    <w:rsid w:val="000E6B75"/>
    <w:rsid w:val="000E6D9E"/>
    <w:rsid w:val="000E6EBD"/>
    <w:rsid w:val="000E718D"/>
    <w:rsid w:val="000E7413"/>
    <w:rsid w:val="000E75EA"/>
    <w:rsid w:val="000E7C7E"/>
    <w:rsid w:val="000E7D4B"/>
    <w:rsid w:val="000E7E53"/>
    <w:rsid w:val="000EA388"/>
    <w:rsid w:val="000F0D35"/>
    <w:rsid w:val="000F1041"/>
    <w:rsid w:val="000F106D"/>
    <w:rsid w:val="000F1480"/>
    <w:rsid w:val="000F148E"/>
    <w:rsid w:val="000F14B6"/>
    <w:rsid w:val="000F159E"/>
    <w:rsid w:val="000F169A"/>
    <w:rsid w:val="000F1BFC"/>
    <w:rsid w:val="000F2532"/>
    <w:rsid w:val="000F2AA3"/>
    <w:rsid w:val="000F2C9C"/>
    <w:rsid w:val="000F3289"/>
    <w:rsid w:val="000F3775"/>
    <w:rsid w:val="000F378C"/>
    <w:rsid w:val="000F398E"/>
    <w:rsid w:val="000F3D49"/>
    <w:rsid w:val="000F3D8F"/>
    <w:rsid w:val="000F420E"/>
    <w:rsid w:val="000F4355"/>
    <w:rsid w:val="000F43DA"/>
    <w:rsid w:val="000F4428"/>
    <w:rsid w:val="000F44C2"/>
    <w:rsid w:val="000F48A8"/>
    <w:rsid w:val="000F557C"/>
    <w:rsid w:val="000F55F8"/>
    <w:rsid w:val="000F5C41"/>
    <w:rsid w:val="000F5FD8"/>
    <w:rsid w:val="000F6078"/>
    <w:rsid w:val="000F60FE"/>
    <w:rsid w:val="000F612F"/>
    <w:rsid w:val="000F682B"/>
    <w:rsid w:val="000F689C"/>
    <w:rsid w:val="000F6A2F"/>
    <w:rsid w:val="000F6D4B"/>
    <w:rsid w:val="000F7247"/>
    <w:rsid w:val="000F7392"/>
    <w:rsid w:val="000F745D"/>
    <w:rsid w:val="000F751F"/>
    <w:rsid w:val="000F7876"/>
    <w:rsid w:val="000F7F00"/>
    <w:rsid w:val="00100095"/>
    <w:rsid w:val="001003C8"/>
    <w:rsid w:val="001003CF"/>
    <w:rsid w:val="00100C83"/>
    <w:rsid w:val="00100D13"/>
    <w:rsid w:val="00100D4F"/>
    <w:rsid w:val="00100E5C"/>
    <w:rsid w:val="00100F99"/>
    <w:rsid w:val="00101056"/>
    <w:rsid w:val="00101284"/>
    <w:rsid w:val="00101336"/>
    <w:rsid w:val="00101362"/>
    <w:rsid w:val="001014E7"/>
    <w:rsid w:val="00101AA5"/>
    <w:rsid w:val="00101C05"/>
    <w:rsid w:val="00101FE2"/>
    <w:rsid w:val="001020D4"/>
    <w:rsid w:val="00102519"/>
    <w:rsid w:val="00102522"/>
    <w:rsid w:val="00102B36"/>
    <w:rsid w:val="00102EF6"/>
    <w:rsid w:val="001033BF"/>
    <w:rsid w:val="001037A2"/>
    <w:rsid w:val="0010396C"/>
    <w:rsid w:val="00103A38"/>
    <w:rsid w:val="00103ED3"/>
    <w:rsid w:val="0010433D"/>
    <w:rsid w:val="00104690"/>
    <w:rsid w:val="001047F7"/>
    <w:rsid w:val="0010495D"/>
    <w:rsid w:val="00104AA6"/>
    <w:rsid w:val="00104C14"/>
    <w:rsid w:val="00104E38"/>
    <w:rsid w:val="00104F0E"/>
    <w:rsid w:val="00105076"/>
    <w:rsid w:val="00105213"/>
    <w:rsid w:val="0010625F"/>
    <w:rsid w:val="001062A8"/>
    <w:rsid w:val="001063C2"/>
    <w:rsid w:val="00106661"/>
    <w:rsid w:val="00106943"/>
    <w:rsid w:val="0010717D"/>
    <w:rsid w:val="0010751A"/>
    <w:rsid w:val="0010769C"/>
    <w:rsid w:val="00107ADF"/>
    <w:rsid w:val="00110104"/>
    <w:rsid w:val="00110542"/>
    <w:rsid w:val="00110813"/>
    <w:rsid w:val="00110A05"/>
    <w:rsid w:val="00110F23"/>
    <w:rsid w:val="00110FB5"/>
    <w:rsid w:val="00110FFD"/>
    <w:rsid w:val="0011124C"/>
    <w:rsid w:val="00111327"/>
    <w:rsid w:val="001119FE"/>
    <w:rsid w:val="00111BF8"/>
    <w:rsid w:val="00111D7E"/>
    <w:rsid w:val="00111EA0"/>
    <w:rsid w:val="00111EE2"/>
    <w:rsid w:val="0011202A"/>
    <w:rsid w:val="001127AE"/>
    <w:rsid w:val="00112B97"/>
    <w:rsid w:val="00112F22"/>
    <w:rsid w:val="00113475"/>
    <w:rsid w:val="00113971"/>
    <w:rsid w:val="00113EC7"/>
    <w:rsid w:val="00114118"/>
    <w:rsid w:val="001142DA"/>
    <w:rsid w:val="00114D4D"/>
    <w:rsid w:val="0011503D"/>
    <w:rsid w:val="00115405"/>
    <w:rsid w:val="001158E2"/>
    <w:rsid w:val="00115971"/>
    <w:rsid w:val="00115A79"/>
    <w:rsid w:val="00115DF0"/>
    <w:rsid w:val="001160F9"/>
    <w:rsid w:val="001162B1"/>
    <w:rsid w:val="001163CE"/>
    <w:rsid w:val="001164C2"/>
    <w:rsid w:val="001164E2"/>
    <w:rsid w:val="00117657"/>
    <w:rsid w:val="00117684"/>
    <w:rsid w:val="00117720"/>
    <w:rsid w:val="001178E5"/>
    <w:rsid w:val="00117B27"/>
    <w:rsid w:val="00117C99"/>
    <w:rsid w:val="00117F22"/>
    <w:rsid w:val="001206E9"/>
    <w:rsid w:val="00120B22"/>
    <w:rsid w:val="001214ED"/>
    <w:rsid w:val="0012164A"/>
    <w:rsid w:val="001216BD"/>
    <w:rsid w:val="001218FC"/>
    <w:rsid w:val="001225CD"/>
    <w:rsid w:val="00122857"/>
    <w:rsid w:val="00122B4C"/>
    <w:rsid w:val="00122DAA"/>
    <w:rsid w:val="001230C2"/>
    <w:rsid w:val="001231E2"/>
    <w:rsid w:val="00123275"/>
    <w:rsid w:val="00123494"/>
    <w:rsid w:val="001238B5"/>
    <w:rsid w:val="00123B77"/>
    <w:rsid w:val="00123CF2"/>
    <w:rsid w:val="00123E16"/>
    <w:rsid w:val="00123EBD"/>
    <w:rsid w:val="00124318"/>
    <w:rsid w:val="00124365"/>
    <w:rsid w:val="001243E1"/>
    <w:rsid w:val="00124646"/>
    <w:rsid w:val="001247EF"/>
    <w:rsid w:val="00124DCE"/>
    <w:rsid w:val="00124FCF"/>
    <w:rsid w:val="00125085"/>
    <w:rsid w:val="00125113"/>
    <w:rsid w:val="0012560F"/>
    <w:rsid w:val="001256C2"/>
    <w:rsid w:val="001258B4"/>
    <w:rsid w:val="00125918"/>
    <w:rsid w:val="0012599E"/>
    <w:rsid w:val="00125F87"/>
    <w:rsid w:val="0012617B"/>
    <w:rsid w:val="00126210"/>
    <w:rsid w:val="00126318"/>
    <w:rsid w:val="0012671E"/>
    <w:rsid w:val="00126A49"/>
    <w:rsid w:val="00126BA5"/>
    <w:rsid w:val="001275F6"/>
    <w:rsid w:val="00127783"/>
    <w:rsid w:val="001279B2"/>
    <w:rsid w:val="0013000D"/>
    <w:rsid w:val="001301D6"/>
    <w:rsid w:val="00130543"/>
    <w:rsid w:val="0013067C"/>
    <w:rsid w:val="00130683"/>
    <w:rsid w:val="0013090D"/>
    <w:rsid w:val="001311B3"/>
    <w:rsid w:val="00131479"/>
    <w:rsid w:val="0013153D"/>
    <w:rsid w:val="0013186C"/>
    <w:rsid w:val="00131CA9"/>
    <w:rsid w:val="00131D0F"/>
    <w:rsid w:val="0013222D"/>
    <w:rsid w:val="00132269"/>
    <w:rsid w:val="001322E9"/>
    <w:rsid w:val="001325B6"/>
    <w:rsid w:val="00132714"/>
    <w:rsid w:val="00132BEA"/>
    <w:rsid w:val="00132E0D"/>
    <w:rsid w:val="00132E61"/>
    <w:rsid w:val="00132EBC"/>
    <w:rsid w:val="0013305C"/>
    <w:rsid w:val="001331BF"/>
    <w:rsid w:val="001333AC"/>
    <w:rsid w:val="001334D8"/>
    <w:rsid w:val="001344CC"/>
    <w:rsid w:val="00134C5A"/>
    <w:rsid w:val="00134E60"/>
    <w:rsid w:val="00134F4E"/>
    <w:rsid w:val="00134FC0"/>
    <w:rsid w:val="00134FE3"/>
    <w:rsid w:val="001353FA"/>
    <w:rsid w:val="001358C8"/>
    <w:rsid w:val="00135A0D"/>
    <w:rsid w:val="00135EB7"/>
    <w:rsid w:val="00136032"/>
    <w:rsid w:val="00136282"/>
    <w:rsid w:val="00136342"/>
    <w:rsid w:val="0013658F"/>
    <w:rsid w:val="001365FF"/>
    <w:rsid w:val="00136957"/>
    <w:rsid w:val="00136C16"/>
    <w:rsid w:val="00136C77"/>
    <w:rsid w:val="00136DF1"/>
    <w:rsid w:val="001371CC"/>
    <w:rsid w:val="001371E4"/>
    <w:rsid w:val="0013732F"/>
    <w:rsid w:val="001373B3"/>
    <w:rsid w:val="00137518"/>
    <w:rsid w:val="001377E2"/>
    <w:rsid w:val="00137919"/>
    <w:rsid w:val="00137E0C"/>
    <w:rsid w:val="001408DB"/>
    <w:rsid w:val="00140C84"/>
    <w:rsid w:val="00140F5E"/>
    <w:rsid w:val="0014103E"/>
    <w:rsid w:val="00141515"/>
    <w:rsid w:val="00141561"/>
    <w:rsid w:val="0014160A"/>
    <w:rsid w:val="0014167F"/>
    <w:rsid w:val="00141684"/>
    <w:rsid w:val="00141742"/>
    <w:rsid w:val="00141B39"/>
    <w:rsid w:val="00141C40"/>
    <w:rsid w:val="001422EF"/>
    <w:rsid w:val="0014293E"/>
    <w:rsid w:val="00142AE0"/>
    <w:rsid w:val="001432E2"/>
    <w:rsid w:val="00143399"/>
    <w:rsid w:val="00143481"/>
    <w:rsid w:val="00143516"/>
    <w:rsid w:val="00143C59"/>
    <w:rsid w:val="00143D1D"/>
    <w:rsid w:val="0014465F"/>
    <w:rsid w:val="00144DF4"/>
    <w:rsid w:val="00144F67"/>
    <w:rsid w:val="00145312"/>
    <w:rsid w:val="00145533"/>
    <w:rsid w:val="00145A8C"/>
    <w:rsid w:val="00145B03"/>
    <w:rsid w:val="001461E9"/>
    <w:rsid w:val="0014633E"/>
    <w:rsid w:val="00146377"/>
    <w:rsid w:val="001463E3"/>
    <w:rsid w:val="0014644F"/>
    <w:rsid w:val="0014690F"/>
    <w:rsid w:val="00146BFE"/>
    <w:rsid w:val="001472AB"/>
    <w:rsid w:val="001474BD"/>
    <w:rsid w:val="0014778E"/>
    <w:rsid w:val="001477F2"/>
    <w:rsid w:val="00147939"/>
    <w:rsid w:val="00147B56"/>
    <w:rsid w:val="00147D60"/>
    <w:rsid w:val="00147F76"/>
    <w:rsid w:val="001503B5"/>
    <w:rsid w:val="00150A47"/>
    <w:rsid w:val="00150F37"/>
    <w:rsid w:val="0015197F"/>
    <w:rsid w:val="00151A2D"/>
    <w:rsid w:val="00151F82"/>
    <w:rsid w:val="001526DC"/>
    <w:rsid w:val="001526EC"/>
    <w:rsid w:val="00152B4E"/>
    <w:rsid w:val="00152D53"/>
    <w:rsid w:val="00152DF2"/>
    <w:rsid w:val="00153118"/>
    <w:rsid w:val="0015313A"/>
    <w:rsid w:val="001532C7"/>
    <w:rsid w:val="00153325"/>
    <w:rsid w:val="00153560"/>
    <w:rsid w:val="00153B52"/>
    <w:rsid w:val="00153CE2"/>
    <w:rsid w:val="00154495"/>
    <w:rsid w:val="001545E6"/>
    <w:rsid w:val="00154720"/>
    <w:rsid w:val="001547F2"/>
    <w:rsid w:val="00154900"/>
    <w:rsid w:val="00154EB5"/>
    <w:rsid w:val="00154F32"/>
    <w:rsid w:val="00155219"/>
    <w:rsid w:val="001557DE"/>
    <w:rsid w:val="00155C52"/>
    <w:rsid w:val="0015601B"/>
    <w:rsid w:val="00156163"/>
    <w:rsid w:val="00156221"/>
    <w:rsid w:val="001569BA"/>
    <w:rsid w:val="00156B3F"/>
    <w:rsid w:val="00156D47"/>
    <w:rsid w:val="00156D55"/>
    <w:rsid w:val="00156DD4"/>
    <w:rsid w:val="00156F5D"/>
    <w:rsid w:val="001571EF"/>
    <w:rsid w:val="0015752A"/>
    <w:rsid w:val="00157555"/>
    <w:rsid w:val="0015767A"/>
    <w:rsid w:val="00157E33"/>
    <w:rsid w:val="0016028F"/>
    <w:rsid w:val="00160295"/>
    <w:rsid w:val="001603FD"/>
    <w:rsid w:val="0016043E"/>
    <w:rsid w:val="001606D7"/>
    <w:rsid w:val="00160818"/>
    <w:rsid w:val="00160A19"/>
    <w:rsid w:val="00160B7A"/>
    <w:rsid w:val="00161398"/>
    <w:rsid w:val="00161522"/>
    <w:rsid w:val="00161624"/>
    <w:rsid w:val="001617FE"/>
    <w:rsid w:val="001618EA"/>
    <w:rsid w:val="00161ABA"/>
    <w:rsid w:val="00161C99"/>
    <w:rsid w:val="00161CC1"/>
    <w:rsid w:val="00161FE3"/>
    <w:rsid w:val="001621DA"/>
    <w:rsid w:val="00162305"/>
    <w:rsid w:val="0016265A"/>
    <w:rsid w:val="00162796"/>
    <w:rsid w:val="00162892"/>
    <w:rsid w:val="0016289D"/>
    <w:rsid w:val="00162BC0"/>
    <w:rsid w:val="00162C18"/>
    <w:rsid w:val="00162C34"/>
    <w:rsid w:val="00162E73"/>
    <w:rsid w:val="00163162"/>
    <w:rsid w:val="001633B3"/>
    <w:rsid w:val="001637F3"/>
    <w:rsid w:val="00163928"/>
    <w:rsid w:val="00163A04"/>
    <w:rsid w:val="00164007"/>
    <w:rsid w:val="00164292"/>
    <w:rsid w:val="00164313"/>
    <w:rsid w:val="001644F5"/>
    <w:rsid w:val="00164560"/>
    <w:rsid w:val="00164808"/>
    <w:rsid w:val="001652EB"/>
    <w:rsid w:val="00165342"/>
    <w:rsid w:val="001654CA"/>
    <w:rsid w:val="00165627"/>
    <w:rsid w:val="00165661"/>
    <w:rsid w:val="00165835"/>
    <w:rsid w:val="00165B10"/>
    <w:rsid w:val="001661E7"/>
    <w:rsid w:val="00166808"/>
    <w:rsid w:val="00166945"/>
    <w:rsid w:val="00167204"/>
    <w:rsid w:val="001672E8"/>
    <w:rsid w:val="0017030E"/>
    <w:rsid w:val="001703EE"/>
    <w:rsid w:val="00170440"/>
    <w:rsid w:val="00170556"/>
    <w:rsid w:val="001708A2"/>
    <w:rsid w:val="00170BC5"/>
    <w:rsid w:val="00170F8C"/>
    <w:rsid w:val="00171057"/>
    <w:rsid w:val="001712B3"/>
    <w:rsid w:val="001717E5"/>
    <w:rsid w:val="00171A33"/>
    <w:rsid w:val="00171EA5"/>
    <w:rsid w:val="001722A2"/>
    <w:rsid w:val="001723BB"/>
    <w:rsid w:val="00172837"/>
    <w:rsid w:val="00172AB1"/>
    <w:rsid w:val="00172C18"/>
    <w:rsid w:val="00172C9B"/>
    <w:rsid w:val="00172EAF"/>
    <w:rsid w:val="001733CB"/>
    <w:rsid w:val="00173611"/>
    <w:rsid w:val="00173BF0"/>
    <w:rsid w:val="00174057"/>
    <w:rsid w:val="001740E5"/>
    <w:rsid w:val="001741DE"/>
    <w:rsid w:val="001743A8"/>
    <w:rsid w:val="001748CA"/>
    <w:rsid w:val="00174A16"/>
    <w:rsid w:val="00174C8A"/>
    <w:rsid w:val="00174CB5"/>
    <w:rsid w:val="00174DF5"/>
    <w:rsid w:val="00174FB6"/>
    <w:rsid w:val="001752D7"/>
    <w:rsid w:val="00175734"/>
    <w:rsid w:val="00175A5C"/>
    <w:rsid w:val="00175B43"/>
    <w:rsid w:val="001764FC"/>
    <w:rsid w:val="00176504"/>
    <w:rsid w:val="00176582"/>
    <w:rsid w:val="0017673F"/>
    <w:rsid w:val="00176AEC"/>
    <w:rsid w:val="00176B3D"/>
    <w:rsid w:val="00177421"/>
    <w:rsid w:val="00177742"/>
    <w:rsid w:val="00177AB4"/>
    <w:rsid w:val="00177AB7"/>
    <w:rsid w:val="00177B20"/>
    <w:rsid w:val="00177D6B"/>
    <w:rsid w:val="00177DE1"/>
    <w:rsid w:val="00177F6D"/>
    <w:rsid w:val="001800CA"/>
    <w:rsid w:val="00180378"/>
    <w:rsid w:val="001803A3"/>
    <w:rsid w:val="001803FE"/>
    <w:rsid w:val="00180484"/>
    <w:rsid w:val="00180A0A"/>
    <w:rsid w:val="00180CFA"/>
    <w:rsid w:val="0018153F"/>
    <w:rsid w:val="001815C3"/>
    <w:rsid w:val="001816A9"/>
    <w:rsid w:val="001816F8"/>
    <w:rsid w:val="00181717"/>
    <w:rsid w:val="001818BD"/>
    <w:rsid w:val="00181A9A"/>
    <w:rsid w:val="00182256"/>
    <w:rsid w:val="001824E5"/>
    <w:rsid w:val="00182526"/>
    <w:rsid w:val="00182B2D"/>
    <w:rsid w:val="00182D5F"/>
    <w:rsid w:val="001830DB"/>
    <w:rsid w:val="0018313C"/>
    <w:rsid w:val="0018314B"/>
    <w:rsid w:val="00183283"/>
    <w:rsid w:val="001834AE"/>
    <w:rsid w:val="00183721"/>
    <w:rsid w:val="001839F4"/>
    <w:rsid w:val="00183B03"/>
    <w:rsid w:val="001842F2"/>
    <w:rsid w:val="00184466"/>
    <w:rsid w:val="001846CE"/>
    <w:rsid w:val="00184AAA"/>
    <w:rsid w:val="00184BE3"/>
    <w:rsid w:val="0018504C"/>
    <w:rsid w:val="0018524C"/>
    <w:rsid w:val="00185430"/>
    <w:rsid w:val="00185613"/>
    <w:rsid w:val="00185928"/>
    <w:rsid w:val="00185D99"/>
    <w:rsid w:val="00185F47"/>
    <w:rsid w:val="00186029"/>
    <w:rsid w:val="00186221"/>
    <w:rsid w:val="00186618"/>
    <w:rsid w:val="00186859"/>
    <w:rsid w:val="00186BF7"/>
    <w:rsid w:val="00186C5F"/>
    <w:rsid w:val="00186D2E"/>
    <w:rsid w:val="00186DBD"/>
    <w:rsid w:val="00187283"/>
    <w:rsid w:val="001879A9"/>
    <w:rsid w:val="001879AC"/>
    <w:rsid w:val="00187B10"/>
    <w:rsid w:val="00187FAA"/>
    <w:rsid w:val="00190DA8"/>
    <w:rsid w:val="00190E2A"/>
    <w:rsid w:val="001914A4"/>
    <w:rsid w:val="00191640"/>
    <w:rsid w:val="00191824"/>
    <w:rsid w:val="00191A16"/>
    <w:rsid w:val="00191FBC"/>
    <w:rsid w:val="00192111"/>
    <w:rsid w:val="00192182"/>
    <w:rsid w:val="00192192"/>
    <w:rsid w:val="00192355"/>
    <w:rsid w:val="00192541"/>
    <w:rsid w:val="001925E8"/>
    <w:rsid w:val="0019268A"/>
    <w:rsid w:val="00192A80"/>
    <w:rsid w:val="00192A9A"/>
    <w:rsid w:val="00192E78"/>
    <w:rsid w:val="00192ED4"/>
    <w:rsid w:val="00192F50"/>
    <w:rsid w:val="001931EE"/>
    <w:rsid w:val="00193468"/>
    <w:rsid w:val="0019370C"/>
    <w:rsid w:val="001938E2"/>
    <w:rsid w:val="00193B10"/>
    <w:rsid w:val="00193CA6"/>
    <w:rsid w:val="00193CAC"/>
    <w:rsid w:val="00194004"/>
    <w:rsid w:val="00194247"/>
    <w:rsid w:val="0019483C"/>
    <w:rsid w:val="00194B5C"/>
    <w:rsid w:val="00194B76"/>
    <w:rsid w:val="00194EBE"/>
    <w:rsid w:val="001956E6"/>
    <w:rsid w:val="0019572A"/>
    <w:rsid w:val="001958DF"/>
    <w:rsid w:val="00195D63"/>
    <w:rsid w:val="00195E65"/>
    <w:rsid w:val="00195F5D"/>
    <w:rsid w:val="0019614B"/>
    <w:rsid w:val="001965AD"/>
    <w:rsid w:val="00196B10"/>
    <w:rsid w:val="00196F61"/>
    <w:rsid w:val="001971BD"/>
    <w:rsid w:val="001973CB"/>
    <w:rsid w:val="00197777"/>
    <w:rsid w:val="0019777B"/>
    <w:rsid w:val="00197958"/>
    <w:rsid w:val="00197989"/>
    <w:rsid w:val="00197ADF"/>
    <w:rsid w:val="00197B4E"/>
    <w:rsid w:val="001A0326"/>
    <w:rsid w:val="001A0853"/>
    <w:rsid w:val="001A08F3"/>
    <w:rsid w:val="001A0A17"/>
    <w:rsid w:val="001A0A3F"/>
    <w:rsid w:val="001A12F3"/>
    <w:rsid w:val="001A167B"/>
    <w:rsid w:val="001A1919"/>
    <w:rsid w:val="001A1C3A"/>
    <w:rsid w:val="001A1E49"/>
    <w:rsid w:val="001A20EB"/>
    <w:rsid w:val="001A23C2"/>
    <w:rsid w:val="001A26CC"/>
    <w:rsid w:val="001A26F3"/>
    <w:rsid w:val="001A2B07"/>
    <w:rsid w:val="001A30C3"/>
    <w:rsid w:val="001A31D9"/>
    <w:rsid w:val="001A346C"/>
    <w:rsid w:val="001A34A3"/>
    <w:rsid w:val="001A3613"/>
    <w:rsid w:val="001A365F"/>
    <w:rsid w:val="001A38B3"/>
    <w:rsid w:val="001A3993"/>
    <w:rsid w:val="001A3DA2"/>
    <w:rsid w:val="001A3EDC"/>
    <w:rsid w:val="001A3FFD"/>
    <w:rsid w:val="001A44A2"/>
    <w:rsid w:val="001A489F"/>
    <w:rsid w:val="001A48B1"/>
    <w:rsid w:val="001A492B"/>
    <w:rsid w:val="001A4ACE"/>
    <w:rsid w:val="001A4C9A"/>
    <w:rsid w:val="001A4D10"/>
    <w:rsid w:val="001A4D32"/>
    <w:rsid w:val="001A4F30"/>
    <w:rsid w:val="001A520A"/>
    <w:rsid w:val="001A52BE"/>
    <w:rsid w:val="001A52DE"/>
    <w:rsid w:val="001A536A"/>
    <w:rsid w:val="001A55BD"/>
    <w:rsid w:val="001A5B93"/>
    <w:rsid w:val="001A5D9A"/>
    <w:rsid w:val="001A60D7"/>
    <w:rsid w:val="001A6165"/>
    <w:rsid w:val="001A636C"/>
    <w:rsid w:val="001A6746"/>
    <w:rsid w:val="001A67EA"/>
    <w:rsid w:val="001A6830"/>
    <w:rsid w:val="001A6A46"/>
    <w:rsid w:val="001A75AB"/>
    <w:rsid w:val="001A767A"/>
    <w:rsid w:val="001A78E2"/>
    <w:rsid w:val="001A7B3A"/>
    <w:rsid w:val="001A7BA8"/>
    <w:rsid w:val="001B047A"/>
    <w:rsid w:val="001B0507"/>
    <w:rsid w:val="001B06F3"/>
    <w:rsid w:val="001B09A6"/>
    <w:rsid w:val="001B0CBF"/>
    <w:rsid w:val="001B1197"/>
    <w:rsid w:val="001B1238"/>
    <w:rsid w:val="001B1427"/>
    <w:rsid w:val="001B2304"/>
    <w:rsid w:val="001B26B3"/>
    <w:rsid w:val="001B27D9"/>
    <w:rsid w:val="001B2B2C"/>
    <w:rsid w:val="001B2B86"/>
    <w:rsid w:val="001B2C33"/>
    <w:rsid w:val="001B3463"/>
    <w:rsid w:val="001B3896"/>
    <w:rsid w:val="001B3B85"/>
    <w:rsid w:val="001B3E80"/>
    <w:rsid w:val="001B3F0F"/>
    <w:rsid w:val="001B3F95"/>
    <w:rsid w:val="001B403D"/>
    <w:rsid w:val="001B4468"/>
    <w:rsid w:val="001B4733"/>
    <w:rsid w:val="001B4848"/>
    <w:rsid w:val="001B4917"/>
    <w:rsid w:val="001B4A36"/>
    <w:rsid w:val="001B4B39"/>
    <w:rsid w:val="001B4C02"/>
    <w:rsid w:val="001B4EE4"/>
    <w:rsid w:val="001B4F8B"/>
    <w:rsid w:val="001B5079"/>
    <w:rsid w:val="001B51B5"/>
    <w:rsid w:val="001B528A"/>
    <w:rsid w:val="001B54A7"/>
    <w:rsid w:val="001B557B"/>
    <w:rsid w:val="001B56C7"/>
    <w:rsid w:val="001B57B8"/>
    <w:rsid w:val="001B5A02"/>
    <w:rsid w:val="001B5D0C"/>
    <w:rsid w:val="001B5FCE"/>
    <w:rsid w:val="001B635D"/>
    <w:rsid w:val="001B6404"/>
    <w:rsid w:val="001B6D1D"/>
    <w:rsid w:val="001B6FFA"/>
    <w:rsid w:val="001B75EA"/>
    <w:rsid w:val="001B77CF"/>
    <w:rsid w:val="001B7A32"/>
    <w:rsid w:val="001B7AB3"/>
    <w:rsid w:val="001B7C31"/>
    <w:rsid w:val="001B7C7B"/>
    <w:rsid w:val="001B7D75"/>
    <w:rsid w:val="001C0176"/>
    <w:rsid w:val="001C0246"/>
    <w:rsid w:val="001C02E4"/>
    <w:rsid w:val="001C06F6"/>
    <w:rsid w:val="001C0C36"/>
    <w:rsid w:val="001C1617"/>
    <w:rsid w:val="001C183D"/>
    <w:rsid w:val="001C184D"/>
    <w:rsid w:val="001C1880"/>
    <w:rsid w:val="001C2288"/>
    <w:rsid w:val="001C23D4"/>
    <w:rsid w:val="001C247C"/>
    <w:rsid w:val="001C256B"/>
    <w:rsid w:val="001C26D9"/>
    <w:rsid w:val="001C2CEB"/>
    <w:rsid w:val="001C2D72"/>
    <w:rsid w:val="001C308A"/>
    <w:rsid w:val="001C3207"/>
    <w:rsid w:val="001C3276"/>
    <w:rsid w:val="001C39BF"/>
    <w:rsid w:val="001C40C8"/>
    <w:rsid w:val="001C40D5"/>
    <w:rsid w:val="001C41DB"/>
    <w:rsid w:val="001C423D"/>
    <w:rsid w:val="001C4692"/>
    <w:rsid w:val="001C4901"/>
    <w:rsid w:val="001C4904"/>
    <w:rsid w:val="001C4A32"/>
    <w:rsid w:val="001C4B79"/>
    <w:rsid w:val="001C4D8D"/>
    <w:rsid w:val="001C4DD9"/>
    <w:rsid w:val="001C4E07"/>
    <w:rsid w:val="001C4E1B"/>
    <w:rsid w:val="001C4EB4"/>
    <w:rsid w:val="001C5046"/>
    <w:rsid w:val="001C51F6"/>
    <w:rsid w:val="001C576D"/>
    <w:rsid w:val="001C57CF"/>
    <w:rsid w:val="001C5888"/>
    <w:rsid w:val="001C5C7D"/>
    <w:rsid w:val="001C5CD6"/>
    <w:rsid w:val="001C603B"/>
    <w:rsid w:val="001C61D4"/>
    <w:rsid w:val="001C6831"/>
    <w:rsid w:val="001C6A23"/>
    <w:rsid w:val="001C6A5C"/>
    <w:rsid w:val="001C6E2C"/>
    <w:rsid w:val="001C7162"/>
    <w:rsid w:val="001C720F"/>
    <w:rsid w:val="001C74AB"/>
    <w:rsid w:val="001C74F4"/>
    <w:rsid w:val="001C7D13"/>
    <w:rsid w:val="001C7F0D"/>
    <w:rsid w:val="001C7F73"/>
    <w:rsid w:val="001D014B"/>
    <w:rsid w:val="001D015D"/>
    <w:rsid w:val="001D03CD"/>
    <w:rsid w:val="001D0576"/>
    <w:rsid w:val="001D0AFB"/>
    <w:rsid w:val="001D0B64"/>
    <w:rsid w:val="001D0BDF"/>
    <w:rsid w:val="001D0C2E"/>
    <w:rsid w:val="001D0D18"/>
    <w:rsid w:val="001D0D71"/>
    <w:rsid w:val="001D1F52"/>
    <w:rsid w:val="001D216C"/>
    <w:rsid w:val="001D23F5"/>
    <w:rsid w:val="001D2560"/>
    <w:rsid w:val="001D2644"/>
    <w:rsid w:val="001D2B15"/>
    <w:rsid w:val="001D2F47"/>
    <w:rsid w:val="001D31A4"/>
    <w:rsid w:val="001D32A9"/>
    <w:rsid w:val="001D33EB"/>
    <w:rsid w:val="001D3C16"/>
    <w:rsid w:val="001D4000"/>
    <w:rsid w:val="001D409B"/>
    <w:rsid w:val="001D466C"/>
    <w:rsid w:val="001D47EF"/>
    <w:rsid w:val="001D48DC"/>
    <w:rsid w:val="001D4CC0"/>
    <w:rsid w:val="001D51DF"/>
    <w:rsid w:val="001D53EA"/>
    <w:rsid w:val="001D5C23"/>
    <w:rsid w:val="001D5D59"/>
    <w:rsid w:val="001D5F80"/>
    <w:rsid w:val="001D6713"/>
    <w:rsid w:val="001D6757"/>
    <w:rsid w:val="001D6D0D"/>
    <w:rsid w:val="001D6D12"/>
    <w:rsid w:val="001D6DC8"/>
    <w:rsid w:val="001D72FC"/>
    <w:rsid w:val="001D7409"/>
    <w:rsid w:val="001D77ED"/>
    <w:rsid w:val="001D7A2A"/>
    <w:rsid w:val="001D7B91"/>
    <w:rsid w:val="001D7CAF"/>
    <w:rsid w:val="001D7E5E"/>
    <w:rsid w:val="001E08FA"/>
    <w:rsid w:val="001E0AEB"/>
    <w:rsid w:val="001E0C33"/>
    <w:rsid w:val="001E0CB1"/>
    <w:rsid w:val="001E0ED6"/>
    <w:rsid w:val="001E10DB"/>
    <w:rsid w:val="001E17F2"/>
    <w:rsid w:val="001E1882"/>
    <w:rsid w:val="001E1B08"/>
    <w:rsid w:val="001E1B0F"/>
    <w:rsid w:val="001E1B1E"/>
    <w:rsid w:val="001E1BCD"/>
    <w:rsid w:val="001E1CDC"/>
    <w:rsid w:val="001E2183"/>
    <w:rsid w:val="001E23D6"/>
    <w:rsid w:val="001E24D1"/>
    <w:rsid w:val="001E25B2"/>
    <w:rsid w:val="001E298E"/>
    <w:rsid w:val="001E2A37"/>
    <w:rsid w:val="001E2B12"/>
    <w:rsid w:val="001E3220"/>
    <w:rsid w:val="001E3472"/>
    <w:rsid w:val="001E3601"/>
    <w:rsid w:val="001E362D"/>
    <w:rsid w:val="001E363D"/>
    <w:rsid w:val="001E39A0"/>
    <w:rsid w:val="001E3A72"/>
    <w:rsid w:val="001E3A9E"/>
    <w:rsid w:val="001E3B87"/>
    <w:rsid w:val="001E3C32"/>
    <w:rsid w:val="001E3C43"/>
    <w:rsid w:val="001E3E9C"/>
    <w:rsid w:val="001E4359"/>
    <w:rsid w:val="001E48B1"/>
    <w:rsid w:val="001E4BAB"/>
    <w:rsid w:val="001E4DC3"/>
    <w:rsid w:val="001E50DF"/>
    <w:rsid w:val="001E50F1"/>
    <w:rsid w:val="001E5331"/>
    <w:rsid w:val="001E54E7"/>
    <w:rsid w:val="001E56D3"/>
    <w:rsid w:val="001E5E8B"/>
    <w:rsid w:val="001E61AF"/>
    <w:rsid w:val="001E7074"/>
    <w:rsid w:val="001E72B7"/>
    <w:rsid w:val="001E756E"/>
    <w:rsid w:val="001E758C"/>
    <w:rsid w:val="001E795A"/>
    <w:rsid w:val="001E7A17"/>
    <w:rsid w:val="001E7ACC"/>
    <w:rsid w:val="001E7D6E"/>
    <w:rsid w:val="001E7D72"/>
    <w:rsid w:val="001E7D8E"/>
    <w:rsid w:val="001F0067"/>
    <w:rsid w:val="001F0430"/>
    <w:rsid w:val="001F06CD"/>
    <w:rsid w:val="001F08EC"/>
    <w:rsid w:val="001F0A88"/>
    <w:rsid w:val="001F12BA"/>
    <w:rsid w:val="001F1489"/>
    <w:rsid w:val="001F1A94"/>
    <w:rsid w:val="001F1A9C"/>
    <w:rsid w:val="001F1B5D"/>
    <w:rsid w:val="001F1C3C"/>
    <w:rsid w:val="001F1CD2"/>
    <w:rsid w:val="001F1F96"/>
    <w:rsid w:val="001F22EB"/>
    <w:rsid w:val="001F247B"/>
    <w:rsid w:val="001F275A"/>
    <w:rsid w:val="001F2C6D"/>
    <w:rsid w:val="001F36E8"/>
    <w:rsid w:val="001F3766"/>
    <w:rsid w:val="001F382F"/>
    <w:rsid w:val="001F396E"/>
    <w:rsid w:val="001F399B"/>
    <w:rsid w:val="001F39A6"/>
    <w:rsid w:val="001F3AA9"/>
    <w:rsid w:val="001F3EBA"/>
    <w:rsid w:val="001F3FC0"/>
    <w:rsid w:val="001F4386"/>
    <w:rsid w:val="001F49B8"/>
    <w:rsid w:val="001F4DEB"/>
    <w:rsid w:val="001F5413"/>
    <w:rsid w:val="001F54C6"/>
    <w:rsid w:val="001F5756"/>
    <w:rsid w:val="001F57E8"/>
    <w:rsid w:val="001F5912"/>
    <w:rsid w:val="001F5B1D"/>
    <w:rsid w:val="001F5B68"/>
    <w:rsid w:val="001F5D02"/>
    <w:rsid w:val="001F5F5B"/>
    <w:rsid w:val="001F6618"/>
    <w:rsid w:val="001F6CEF"/>
    <w:rsid w:val="001F6E6F"/>
    <w:rsid w:val="001F6F12"/>
    <w:rsid w:val="001F7061"/>
    <w:rsid w:val="001F72DA"/>
    <w:rsid w:val="001F75BC"/>
    <w:rsid w:val="00200400"/>
    <w:rsid w:val="0020041B"/>
    <w:rsid w:val="00200853"/>
    <w:rsid w:val="0020085D"/>
    <w:rsid w:val="002008A3"/>
    <w:rsid w:val="002009C0"/>
    <w:rsid w:val="00200C52"/>
    <w:rsid w:val="00200F55"/>
    <w:rsid w:val="00200F9C"/>
    <w:rsid w:val="002011B1"/>
    <w:rsid w:val="0020171E"/>
    <w:rsid w:val="00201AC3"/>
    <w:rsid w:val="00201CED"/>
    <w:rsid w:val="002024A2"/>
    <w:rsid w:val="002024D5"/>
    <w:rsid w:val="0020282E"/>
    <w:rsid w:val="00202918"/>
    <w:rsid w:val="00202C15"/>
    <w:rsid w:val="00202D60"/>
    <w:rsid w:val="00202F25"/>
    <w:rsid w:val="0020323C"/>
    <w:rsid w:val="00203433"/>
    <w:rsid w:val="002034B6"/>
    <w:rsid w:val="002036FC"/>
    <w:rsid w:val="0020534E"/>
    <w:rsid w:val="002055FB"/>
    <w:rsid w:val="002059D7"/>
    <w:rsid w:val="00205A5E"/>
    <w:rsid w:val="00205A70"/>
    <w:rsid w:val="00205B13"/>
    <w:rsid w:val="00205C44"/>
    <w:rsid w:val="00206409"/>
    <w:rsid w:val="00206443"/>
    <w:rsid w:val="00206472"/>
    <w:rsid w:val="00206868"/>
    <w:rsid w:val="0020691F"/>
    <w:rsid w:val="00206944"/>
    <w:rsid w:val="00206A13"/>
    <w:rsid w:val="00206A2D"/>
    <w:rsid w:val="00206B98"/>
    <w:rsid w:val="00206BF9"/>
    <w:rsid w:val="00206D6A"/>
    <w:rsid w:val="00206FD8"/>
    <w:rsid w:val="0020713F"/>
    <w:rsid w:val="002072FF"/>
    <w:rsid w:val="00207384"/>
    <w:rsid w:val="00207681"/>
    <w:rsid w:val="00210049"/>
    <w:rsid w:val="002106D1"/>
    <w:rsid w:val="00210819"/>
    <w:rsid w:val="002108F0"/>
    <w:rsid w:val="00210C09"/>
    <w:rsid w:val="00210C9C"/>
    <w:rsid w:val="002110EB"/>
    <w:rsid w:val="0021112E"/>
    <w:rsid w:val="002111A3"/>
    <w:rsid w:val="00211208"/>
    <w:rsid w:val="002115CE"/>
    <w:rsid w:val="00211642"/>
    <w:rsid w:val="002116EC"/>
    <w:rsid w:val="0021178B"/>
    <w:rsid w:val="00212099"/>
    <w:rsid w:val="002120AB"/>
    <w:rsid w:val="002121EE"/>
    <w:rsid w:val="002123A6"/>
    <w:rsid w:val="00212C02"/>
    <w:rsid w:val="00212DF0"/>
    <w:rsid w:val="00212EF3"/>
    <w:rsid w:val="00212F30"/>
    <w:rsid w:val="00212F74"/>
    <w:rsid w:val="002133A7"/>
    <w:rsid w:val="00213800"/>
    <w:rsid w:val="00213CC6"/>
    <w:rsid w:val="00213F1A"/>
    <w:rsid w:val="00213F53"/>
    <w:rsid w:val="0021405F"/>
    <w:rsid w:val="002140B4"/>
    <w:rsid w:val="002141A6"/>
    <w:rsid w:val="002141F0"/>
    <w:rsid w:val="002142CB"/>
    <w:rsid w:val="002142E6"/>
    <w:rsid w:val="00214770"/>
    <w:rsid w:val="00214896"/>
    <w:rsid w:val="00214BB7"/>
    <w:rsid w:val="00214D7F"/>
    <w:rsid w:val="00215134"/>
    <w:rsid w:val="00215408"/>
    <w:rsid w:val="0021545E"/>
    <w:rsid w:val="00215674"/>
    <w:rsid w:val="0021586E"/>
    <w:rsid w:val="0021597B"/>
    <w:rsid w:val="00215CA8"/>
    <w:rsid w:val="00215F8C"/>
    <w:rsid w:val="002161F4"/>
    <w:rsid w:val="0021629D"/>
    <w:rsid w:val="00216439"/>
    <w:rsid w:val="002167C4"/>
    <w:rsid w:val="00216913"/>
    <w:rsid w:val="00216A96"/>
    <w:rsid w:val="00216BD5"/>
    <w:rsid w:val="00216E41"/>
    <w:rsid w:val="00216FCF"/>
    <w:rsid w:val="00217124"/>
    <w:rsid w:val="00217168"/>
    <w:rsid w:val="0021781F"/>
    <w:rsid w:val="00217931"/>
    <w:rsid w:val="00217951"/>
    <w:rsid w:val="00217B22"/>
    <w:rsid w:val="00217CE7"/>
    <w:rsid w:val="00217E3B"/>
    <w:rsid w:val="0021BB05"/>
    <w:rsid w:val="0022038F"/>
    <w:rsid w:val="00220595"/>
    <w:rsid w:val="00220625"/>
    <w:rsid w:val="00220838"/>
    <w:rsid w:val="00220840"/>
    <w:rsid w:val="002213B8"/>
    <w:rsid w:val="002213E9"/>
    <w:rsid w:val="00221532"/>
    <w:rsid w:val="00221916"/>
    <w:rsid w:val="00221CBD"/>
    <w:rsid w:val="00221F27"/>
    <w:rsid w:val="002221E5"/>
    <w:rsid w:val="0022228B"/>
    <w:rsid w:val="002227A5"/>
    <w:rsid w:val="002227C9"/>
    <w:rsid w:val="00222977"/>
    <w:rsid w:val="00222CF1"/>
    <w:rsid w:val="00222CF4"/>
    <w:rsid w:val="0022324C"/>
    <w:rsid w:val="002239AA"/>
    <w:rsid w:val="00223C8E"/>
    <w:rsid w:val="0022417D"/>
    <w:rsid w:val="002241AE"/>
    <w:rsid w:val="002241EA"/>
    <w:rsid w:val="00224324"/>
    <w:rsid w:val="002247F8"/>
    <w:rsid w:val="00224DEE"/>
    <w:rsid w:val="00224E9D"/>
    <w:rsid w:val="00225192"/>
    <w:rsid w:val="0022537F"/>
    <w:rsid w:val="002253AA"/>
    <w:rsid w:val="002254CF"/>
    <w:rsid w:val="0022584A"/>
    <w:rsid w:val="00225E37"/>
    <w:rsid w:val="002262D2"/>
    <w:rsid w:val="0022648E"/>
    <w:rsid w:val="002266CA"/>
    <w:rsid w:val="00226FB9"/>
    <w:rsid w:val="0022749F"/>
    <w:rsid w:val="00227656"/>
    <w:rsid w:val="00227995"/>
    <w:rsid w:val="00227B7C"/>
    <w:rsid w:val="00227F56"/>
    <w:rsid w:val="002300F8"/>
    <w:rsid w:val="00230853"/>
    <w:rsid w:val="00230B26"/>
    <w:rsid w:val="00230BB4"/>
    <w:rsid w:val="00230F5C"/>
    <w:rsid w:val="00231494"/>
    <w:rsid w:val="00231539"/>
    <w:rsid w:val="00231C9E"/>
    <w:rsid w:val="00232583"/>
    <w:rsid w:val="00232630"/>
    <w:rsid w:val="00232D86"/>
    <w:rsid w:val="002331B8"/>
    <w:rsid w:val="00233391"/>
    <w:rsid w:val="00233A9A"/>
    <w:rsid w:val="00233DC3"/>
    <w:rsid w:val="00234265"/>
    <w:rsid w:val="0023463C"/>
    <w:rsid w:val="002348BE"/>
    <w:rsid w:val="002348FA"/>
    <w:rsid w:val="00234904"/>
    <w:rsid w:val="00234B04"/>
    <w:rsid w:val="00234B4E"/>
    <w:rsid w:val="00234E1A"/>
    <w:rsid w:val="002355B4"/>
    <w:rsid w:val="00235912"/>
    <w:rsid w:val="00235BF4"/>
    <w:rsid w:val="00235EFF"/>
    <w:rsid w:val="002361C0"/>
    <w:rsid w:val="002361CE"/>
    <w:rsid w:val="002363D1"/>
    <w:rsid w:val="002367E5"/>
    <w:rsid w:val="00236976"/>
    <w:rsid w:val="00236A8B"/>
    <w:rsid w:val="00236AA5"/>
    <w:rsid w:val="00236B2A"/>
    <w:rsid w:val="00236C88"/>
    <w:rsid w:val="00236E25"/>
    <w:rsid w:val="00237476"/>
    <w:rsid w:val="002374C4"/>
    <w:rsid w:val="00237D72"/>
    <w:rsid w:val="00237E1A"/>
    <w:rsid w:val="00237FCA"/>
    <w:rsid w:val="0024021A"/>
    <w:rsid w:val="00240400"/>
    <w:rsid w:val="00240500"/>
    <w:rsid w:val="00240533"/>
    <w:rsid w:val="00240803"/>
    <w:rsid w:val="0024084F"/>
    <w:rsid w:val="00240B49"/>
    <w:rsid w:val="00240C9C"/>
    <w:rsid w:val="00241021"/>
    <w:rsid w:val="0024152A"/>
    <w:rsid w:val="00241582"/>
    <w:rsid w:val="00241756"/>
    <w:rsid w:val="002418D1"/>
    <w:rsid w:val="00241D00"/>
    <w:rsid w:val="00242088"/>
    <w:rsid w:val="00242317"/>
    <w:rsid w:val="00242392"/>
    <w:rsid w:val="00242794"/>
    <w:rsid w:val="00242B2F"/>
    <w:rsid w:val="00242F65"/>
    <w:rsid w:val="002437C6"/>
    <w:rsid w:val="002437E6"/>
    <w:rsid w:val="0024383B"/>
    <w:rsid w:val="00243E21"/>
    <w:rsid w:val="00243ECD"/>
    <w:rsid w:val="00244083"/>
    <w:rsid w:val="0024410F"/>
    <w:rsid w:val="002443C2"/>
    <w:rsid w:val="002446FB"/>
    <w:rsid w:val="00244781"/>
    <w:rsid w:val="00244839"/>
    <w:rsid w:val="00244B01"/>
    <w:rsid w:val="00244BF4"/>
    <w:rsid w:val="00245632"/>
    <w:rsid w:val="002456A3"/>
    <w:rsid w:val="00245D5F"/>
    <w:rsid w:val="00246049"/>
    <w:rsid w:val="002467F8"/>
    <w:rsid w:val="002468EF"/>
    <w:rsid w:val="00246B05"/>
    <w:rsid w:val="00246BB6"/>
    <w:rsid w:val="00246C14"/>
    <w:rsid w:val="00246D92"/>
    <w:rsid w:val="00246ED1"/>
    <w:rsid w:val="00246EF4"/>
    <w:rsid w:val="002472BE"/>
    <w:rsid w:val="002476BE"/>
    <w:rsid w:val="0024774D"/>
    <w:rsid w:val="002477F6"/>
    <w:rsid w:val="00247C8C"/>
    <w:rsid w:val="00247EAF"/>
    <w:rsid w:val="0025046A"/>
    <w:rsid w:val="0025055A"/>
    <w:rsid w:val="002506F9"/>
    <w:rsid w:val="00250872"/>
    <w:rsid w:val="00250A6B"/>
    <w:rsid w:val="00250A9B"/>
    <w:rsid w:val="00250C84"/>
    <w:rsid w:val="00250D21"/>
    <w:rsid w:val="0025102F"/>
    <w:rsid w:val="002514B7"/>
    <w:rsid w:val="002518C4"/>
    <w:rsid w:val="00251939"/>
    <w:rsid w:val="00251A15"/>
    <w:rsid w:val="00251CF1"/>
    <w:rsid w:val="00251DCF"/>
    <w:rsid w:val="00252012"/>
    <w:rsid w:val="002529B4"/>
    <w:rsid w:val="00252C3A"/>
    <w:rsid w:val="00252E9C"/>
    <w:rsid w:val="0025301C"/>
    <w:rsid w:val="00253441"/>
    <w:rsid w:val="00253639"/>
    <w:rsid w:val="00253741"/>
    <w:rsid w:val="0025423E"/>
    <w:rsid w:val="00254A62"/>
    <w:rsid w:val="00254B8B"/>
    <w:rsid w:val="00254DFE"/>
    <w:rsid w:val="002555A8"/>
    <w:rsid w:val="002557F7"/>
    <w:rsid w:val="00256649"/>
    <w:rsid w:val="0025675F"/>
    <w:rsid w:val="0025699C"/>
    <w:rsid w:val="002569F2"/>
    <w:rsid w:val="00256A24"/>
    <w:rsid w:val="00256BBA"/>
    <w:rsid w:val="00257123"/>
    <w:rsid w:val="0025714C"/>
    <w:rsid w:val="00257236"/>
    <w:rsid w:val="00257360"/>
    <w:rsid w:val="002579BD"/>
    <w:rsid w:val="00257C5E"/>
    <w:rsid w:val="00257D53"/>
    <w:rsid w:val="002603DA"/>
    <w:rsid w:val="002603E0"/>
    <w:rsid w:val="0026093E"/>
    <w:rsid w:val="00260F89"/>
    <w:rsid w:val="00261170"/>
    <w:rsid w:val="0026154F"/>
    <w:rsid w:val="0026170D"/>
    <w:rsid w:val="002617D8"/>
    <w:rsid w:val="00261A9E"/>
    <w:rsid w:val="00261B5D"/>
    <w:rsid w:val="00261E04"/>
    <w:rsid w:val="002621CC"/>
    <w:rsid w:val="002622A1"/>
    <w:rsid w:val="00262716"/>
    <w:rsid w:val="00262867"/>
    <w:rsid w:val="00262B19"/>
    <w:rsid w:val="00262BCE"/>
    <w:rsid w:val="002631FD"/>
    <w:rsid w:val="0026327D"/>
    <w:rsid w:val="002635C9"/>
    <w:rsid w:val="00263760"/>
    <w:rsid w:val="00263943"/>
    <w:rsid w:val="00263D61"/>
    <w:rsid w:val="00263DC0"/>
    <w:rsid w:val="0026403F"/>
    <w:rsid w:val="002642FD"/>
    <w:rsid w:val="00264363"/>
    <w:rsid w:val="00264393"/>
    <w:rsid w:val="00264657"/>
    <w:rsid w:val="00264673"/>
    <w:rsid w:val="00264710"/>
    <w:rsid w:val="00264D35"/>
    <w:rsid w:val="00265702"/>
    <w:rsid w:val="00265861"/>
    <w:rsid w:val="00265871"/>
    <w:rsid w:val="00265995"/>
    <w:rsid w:val="00265A6D"/>
    <w:rsid w:val="00265B17"/>
    <w:rsid w:val="00265F03"/>
    <w:rsid w:val="0026640F"/>
    <w:rsid w:val="002665AD"/>
    <w:rsid w:val="0026698D"/>
    <w:rsid w:val="00266B9F"/>
    <w:rsid w:val="00266E9D"/>
    <w:rsid w:val="0026703D"/>
    <w:rsid w:val="00267177"/>
    <w:rsid w:val="002672B0"/>
    <w:rsid w:val="002673F6"/>
    <w:rsid w:val="002675AB"/>
    <w:rsid w:val="00267810"/>
    <w:rsid w:val="0026795A"/>
    <w:rsid w:val="002702EC"/>
    <w:rsid w:val="0027093C"/>
    <w:rsid w:val="00270ECA"/>
    <w:rsid w:val="002710A0"/>
    <w:rsid w:val="00271328"/>
    <w:rsid w:val="002716B4"/>
    <w:rsid w:val="002718B5"/>
    <w:rsid w:val="002719F1"/>
    <w:rsid w:val="00271E39"/>
    <w:rsid w:val="002722F5"/>
    <w:rsid w:val="00272860"/>
    <w:rsid w:val="00272A43"/>
    <w:rsid w:val="00272B91"/>
    <w:rsid w:val="00272E13"/>
    <w:rsid w:val="00272FE4"/>
    <w:rsid w:val="0027305E"/>
    <w:rsid w:val="002730CD"/>
    <w:rsid w:val="002732C3"/>
    <w:rsid w:val="00273324"/>
    <w:rsid w:val="00273387"/>
    <w:rsid w:val="00273A82"/>
    <w:rsid w:val="0027472F"/>
    <w:rsid w:val="00274B7E"/>
    <w:rsid w:val="00274B9F"/>
    <w:rsid w:val="00274C1F"/>
    <w:rsid w:val="0027526D"/>
    <w:rsid w:val="00275A59"/>
    <w:rsid w:val="00275D46"/>
    <w:rsid w:val="002761D6"/>
    <w:rsid w:val="002763A1"/>
    <w:rsid w:val="002763AC"/>
    <w:rsid w:val="002765FD"/>
    <w:rsid w:val="0027661C"/>
    <w:rsid w:val="002767EF"/>
    <w:rsid w:val="00276B4B"/>
    <w:rsid w:val="00277637"/>
    <w:rsid w:val="00277738"/>
    <w:rsid w:val="00277A93"/>
    <w:rsid w:val="00277BB5"/>
    <w:rsid w:val="00277E2A"/>
    <w:rsid w:val="00277EF4"/>
    <w:rsid w:val="00280486"/>
    <w:rsid w:val="00280A34"/>
    <w:rsid w:val="00280B13"/>
    <w:rsid w:val="00280CFB"/>
    <w:rsid w:val="0028111B"/>
    <w:rsid w:val="00281143"/>
    <w:rsid w:val="00281204"/>
    <w:rsid w:val="00281845"/>
    <w:rsid w:val="00281C69"/>
    <w:rsid w:val="00281E26"/>
    <w:rsid w:val="00282277"/>
    <w:rsid w:val="00282309"/>
    <w:rsid w:val="00282676"/>
    <w:rsid w:val="00282705"/>
    <w:rsid w:val="00282EB6"/>
    <w:rsid w:val="00282F39"/>
    <w:rsid w:val="00283099"/>
    <w:rsid w:val="00283488"/>
    <w:rsid w:val="0028379B"/>
    <w:rsid w:val="00283BD6"/>
    <w:rsid w:val="00283D32"/>
    <w:rsid w:val="00284048"/>
    <w:rsid w:val="002840AD"/>
    <w:rsid w:val="0028456A"/>
    <w:rsid w:val="0028461F"/>
    <w:rsid w:val="002849F6"/>
    <w:rsid w:val="00284A17"/>
    <w:rsid w:val="00284A27"/>
    <w:rsid w:val="00284FA8"/>
    <w:rsid w:val="002852B5"/>
    <w:rsid w:val="002853B0"/>
    <w:rsid w:val="00285632"/>
    <w:rsid w:val="00286558"/>
    <w:rsid w:val="0028658C"/>
    <w:rsid w:val="00286735"/>
    <w:rsid w:val="00286A8A"/>
    <w:rsid w:val="00286EC9"/>
    <w:rsid w:val="0028703A"/>
    <w:rsid w:val="0028747E"/>
    <w:rsid w:val="002879E6"/>
    <w:rsid w:val="00287AF6"/>
    <w:rsid w:val="00287BF6"/>
    <w:rsid w:val="00287FED"/>
    <w:rsid w:val="00290638"/>
    <w:rsid w:val="00290691"/>
    <w:rsid w:val="00290AE7"/>
    <w:rsid w:val="00290BCD"/>
    <w:rsid w:val="00290D51"/>
    <w:rsid w:val="00290D98"/>
    <w:rsid w:val="00290E5A"/>
    <w:rsid w:val="002910C6"/>
    <w:rsid w:val="00291115"/>
    <w:rsid w:val="00291633"/>
    <w:rsid w:val="002917C2"/>
    <w:rsid w:val="00291B5F"/>
    <w:rsid w:val="00291BDA"/>
    <w:rsid w:val="00291BF8"/>
    <w:rsid w:val="002922BD"/>
    <w:rsid w:val="002927C4"/>
    <w:rsid w:val="00292C9C"/>
    <w:rsid w:val="00292F00"/>
    <w:rsid w:val="00292F72"/>
    <w:rsid w:val="00293438"/>
    <w:rsid w:val="00293D25"/>
    <w:rsid w:val="00293EA9"/>
    <w:rsid w:val="00294110"/>
    <w:rsid w:val="0029420F"/>
    <w:rsid w:val="0029424D"/>
    <w:rsid w:val="0029434E"/>
    <w:rsid w:val="002944B6"/>
    <w:rsid w:val="002947BA"/>
    <w:rsid w:val="00295593"/>
    <w:rsid w:val="00295989"/>
    <w:rsid w:val="00295A21"/>
    <w:rsid w:val="00295AE4"/>
    <w:rsid w:val="00295C80"/>
    <w:rsid w:val="002960D7"/>
    <w:rsid w:val="00296321"/>
    <w:rsid w:val="00296FC1"/>
    <w:rsid w:val="00297695"/>
    <w:rsid w:val="002976B7"/>
    <w:rsid w:val="00297C15"/>
    <w:rsid w:val="00297E8B"/>
    <w:rsid w:val="002A0145"/>
    <w:rsid w:val="002A0425"/>
    <w:rsid w:val="002A0832"/>
    <w:rsid w:val="002A0C63"/>
    <w:rsid w:val="002A0E93"/>
    <w:rsid w:val="002A13D4"/>
    <w:rsid w:val="002A1439"/>
    <w:rsid w:val="002A1A38"/>
    <w:rsid w:val="002A1A7C"/>
    <w:rsid w:val="002A1BD5"/>
    <w:rsid w:val="002A1EDD"/>
    <w:rsid w:val="002A308A"/>
    <w:rsid w:val="002A3919"/>
    <w:rsid w:val="002A3B59"/>
    <w:rsid w:val="002A403B"/>
    <w:rsid w:val="002A429C"/>
    <w:rsid w:val="002A4564"/>
    <w:rsid w:val="002A4A22"/>
    <w:rsid w:val="002A4A54"/>
    <w:rsid w:val="002A4CA4"/>
    <w:rsid w:val="002A538C"/>
    <w:rsid w:val="002A5413"/>
    <w:rsid w:val="002A5EFA"/>
    <w:rsid w:val="002A61D0"/>
    <w:rsid w:val="002A61F9"/>
    <w:rsid w:val="002A65A8"/>
    <w:rsid w:val="002A6944"/>
    <w:rsid w:val="002A71FE"/>
    <w:rsid w:val="002A78E5"/>
    <w:rsid w:val="002A7B86"/>
    <w:rsid w:val="002A7D14"/>
    <w:rsid w:val="002B014A"/>
    <w:rsid w:val="002B02C4"/>
    <w:rsid w:val="002B09FD"/>
    <w:rsid w:val="002B15E7"/>
    <w:rsid w:val="002B160E"/>
    <w:rsid w:val="002B197B"/>
    <w:rsid w:val="002B1FDB"/>
    <w:rsid w:val="002B23A7"/>
    <w:rsid w:val="002B26B5"/>
    <w:rsid w:val="002B2B18"/>
    <w:rsid w:val="002B2D07"/>
    <w:rsid w:val="002B2D2B"/>
    <w:rsid w:val="002B33DF"/>
    <w:rsid w:val="002B3900"/>
    <w:rsid w:val="002B3B31"/>
    <w:rsid w:val="002B4099"/>
    <w:rsid w:val="002B4399"/>
    <w:rsid w:val="002B46CD"/>
    <w:rsid w:val="002B478F"/>
    <w:rsid w:val="002B4C51"/>
    <w:rsid w:val="002B4E7C"/>
    <w:rsid w:val="002B4F5B"/>
    <w:rsid w:val="002B4F82"/>
    <w:rsid w:val="002B51D8"/>
    <w:rsid w:val="002B5417"/>
    <w:rsid w:val="002B5911"/>
    <w:rsid w:val="002B5B5B"/>
    <w:rsid w:val="002B5BFE"/>
    <w:rsid w:val="002B5F29"/>
    <w:rsid w:val="002B6BB3"/>
    <w:rsid w:val="002B6F80"/>
    <w:rsid w:val="002B6F87"/>
    <w:rsid w:val="002B712B"/>
    <w:rsid w:val="002B7151"/>
    <w:rsid w:val="002B7158"/>
    <w:rsid w:val="002B7226"/>
    <w:rsid w:val="002B7689"/>
    <w:rsid w:val="002B788A"/>
    <w:rsid w:val="002B7EFA"/>
    <w:rsid w:val="002C0013"/>
    <w:rsid w:val="002C01EC"/>
    <w:rsid w:val="002C02B0"/>
    <w:rsid w:val="002C0459"/>
    <w:rsid w:val="002C095E"/>
    <w:rsid w:val="002C0AFF"/>
    <w:rsid w:val="002C0B64"/>
    <w:rsid w:val="002C0D34"/>
    <w:rsid w:val="002C0D9E"/>
    <w:rsid w:val="002C0F77"/>
    <w:rsid w:val="002C0FCF"/>
    <w:rsid w:val="002C1366"/>
    <w:rsid w:val="002C1570"/>
    <w:rsid w:val="002C192B"/>
    <w:rsid w:val="002C1C7D"/>
    <w:rsid w:val="002C1EAA"/>
    <w:rsid w:val="002C2104"/>
    <w:rsid w:val="002C24C5"/>
    <w:rsid w:val="002C28E9"/>
    <w:rsid w:val="002C2B2E"/>
    <w:rsid w:val="002C2C8D"/>
    <w:rsid w:val="002C2EDF"/>
    <w:rsid w:val="002C346C"/>
    <w:rsid w:val="002C38BB"/>
    <w:rsid w:val="002C3DDE"/>
    <w:rsid w:val="002C3F6C"/>
    <w:rsid w:val="002C3FF1"/>
    <w:rsid w:val="002C41EC"/>
    <w:rsid w:val="002C44FF"/>
    <w:rsid w:val="002C458A"/>
    <w:rsid w:val="002C45F5"/>
    <w:rsid w:val="002C4B16"/>
    <w:rsid w:val="002C4BC3"/>
    <w:rsid w:val="002C5A28"/>
    <w:rsid w:val="002C5A3B"/>
    <w:rsid w:val="002C5BE8"/>
    <w:rsid w:val="002C5D8D"/>
    <w:rsid w:val="002C6195"/>
    <w:rsid w:val="002C6282"/>
    <w:rsid w:val="002C64A4"/>
    <w:rsid w:val="002C698D"/>
    <w:rsid w:val="002C69E3"/>
    <w:rsid w:val="002C6C4F"/>
    <w:rsid w:val="002C70DF"/>
    <w:rsid w:val="002C774C"/>
    <w:rsid w:val="002C794A"/>
    <w:rsid w:val="002C7AFD"/>
    <w:rsid w:val="002C7BC7"/>
    <w:rsid w:val="002C7BD0"/>
    <w:rsid w:val="002C7E6C"/>
    <w:rsid w:val="002D00D9"/>
    <w:rsid w:val="002D02C5"/>
    <w:rsid w:val="002D096A"/>
    <w:rsid w:val="002D0989"/>
    <w:rsid w:val="002D0A68"/>
    <w:rsid w:val="002D0CE4"/>
    <w:rsid w:val="002D0D89"/>
    <w:rsid w:val="002D0EFC"/>
    <w:rsid w:val="002D0F2E"/>
    <w:rsid w:val="002D13E6"/>
    <w:rsid w:val="002D15DF"/>
    <w:rsid w:val="002D1790"/>
    <w:rsid w:val="002D1A6A"/>
    <w:rsid w:val="002D21CD"/>
    <w:rsid w:val="002D22BD"/>
    <w:rsid w:val="002D22F6"/>
    <w:rsid w:val="002D2B82"/>
    <w:rsid w:val="002D2C02"/>
    <w:rsid w:val="002D3095"/>
    <w:rsid w:val="002D3259"/>
    <w:rsid w:val="002D3287"/>
    <w:rsid w:val="002D34F2"/>
    <w:rsid w:val="002D35B7"/>
    <w:rsid w:val="002D3615"/>
    <w:rsid w:val="002D3BCA"/>
    <w:rsid w:val="002D3C6C"/>
    <w:rsid w:val="002D3E1A"/>
    <w:rsid w:val="002D3F00"/>
    <w:rsid w:val="002D3F8E"/>
    <w:rsid w:val="002D4297"/>
    <w:rsid w:val="002D4568"/>
    <w:rsid w:val="002D49F5"/>
    <w:rsid w:val="002D4B9C"/>
    <w:rsid w:val="002D4BCE"/>
    <w:rsid w:val="002D4F8F"/>
    <w:rsid w:val="002D507E"/>
    <w:rsid w:val="002D5895"/>
    <w:rsid w:val="002D59BB"/>
    <w:rsid w:val="002D5E01"/>
    <w:rsid w:val="002D6363"/>
    <w:rsid w:val="002D6410"/>
    <w:rsid w:val="002D6553"/>
    <w:rsid w:val="002D6596"/>
    <w:rsid w:val="002D673F"/>
    <w:rsid w:val="002D674F"/>
    <w:rsid w:val="002D69FC"/>
    <w:rsid w:val="002D6D70"/>
    <w:rsid w:val="002D6F1D"/>
    <w:rsid w:val="002D6FC6"/>
    <w:rsid w:val="002D7480"/>
    <w:rsid w:val="002D773F"/>
    <w:rsid w:val="002D7BB8"/>
    <w:rsid w:val="002D7C42"/>
    <w:rsid w:val="002E09E5"/>
    <w:rsid w:val="002E0BC1"/>
    <w:rsid w:val="002E0E02"/>
    <w:rsid w:val="002E0F3B"/>
    <w:rsid w:val="002E117C"/>
    <w:rsid w:val="002E14E9"/>
    <w:rsid w:val="002E1618"/>
    <w:rsid w:val="002E1882"/>
    <w:rsid w:val="002E18D5"/>
    <w:rsid w:val="002E1AD0"/>
    <w:rsid w:val="002E1EEF"/>
    <w:rsid w:val="002E1F19"/>
    <w:rsid w:val="002E1F47"/>
    <w:rsid w:val="002E2206"/>
    <w:rsid w:val="002E2374"/>
    <w:rsid w:val="002E293F"/>
    <w:rsid w:val="002E2C0C"/>
    <w:rsid w:val="002E2D59"/>
    <w:rsid w:val="002E2DFF"/>
    <w:rsid w:val="002E2EFB"/>
    <w:rsid w:val="002E3371"/>
    <w:rsid w:val="002E33F5"/>
    <w:rsid w:val="002E35DB"/>
    <w:rsid w:val="002E3C69"/>
    <w:rsid w:val="002E41CB"/>
    <w:rsid w:val="002E4359"/>
    <w:rsid w:val="002E4534"/>
    <w:rsid w:val="002E46E8"/>
    <w:rsid w:val="002E4B47"/>
    <w:rsid w:val="002E4BB5"/>
    <w:rsid w:val="002E4D59"/>
    <w:rsid w:val="002E4E0C"/>
    <w:rsid w:val="002E4E6E"/>
    <w:rsid w:val="002E4EF8"/>
    <w:rsid w:val="002E516D"/>
    <w:rsid w:val="002E534E"/>
    <w:rsid w:val="002E54FE"/>
    <w:rsid w:val="002E56B7"/>
    <w:rsid w:val="002E5888"/>
    <w:rsid w:val="002E60E4"/>
    <w:rsid w:val="002E6186"/>
    <w:rsid w:val="002E65DC"/>
    <w:rsid w:val="002E6608"/>
    <w:rsid w:val="002E6832"/>
    <w:rsid w:val="002E6BEE"/>
    <w:rsid w:val="002E6C19"/>
    <w:rsid w:val="002E77F8"/>
    <w:rsid w:val="002E7AA3"/>
    <w:rsid w:val="002E7B91"/>
    <w:rsid w:val="002E7D08"/>
    <w:rsid w:val="002E7D81"/>
    <w:rsid w:val="002E7DB3"/>
    <w:rsid w:val="002E7ECA"/>
    <w:rsid w:val="002F0015"/>
    <w:rsid w:val="002F02BF"/>
    <w:rsid w:val="002F03DD"/>
    <w:rsid w:val="002F07A9"/>
    <w:rsid w:val="002F0BEC"/>
    <w:rsid w:val="002F0D63"/>
    <w:rsid w:val="002F0DFE"/>
    <w:rsid w:val="002F0E89"/>
    <w:rsid w:val="002F102B"/>
    <w:rsid w:val="002F1158"/>
    <w:rsid w:val="002F12B6"/>
    <w:rsid w:val="002F15D2"/>
    <w:rsid w:val="002F173C"/>
    <w:rsid w:val="002F18DE"/>
    <w:rsid w:val="002F229F"/>
    <w:rsid w:val="002F2359"/>
    <w:rsid w:val="002F25EA"/>
    <w:rsid w:val="002F2D13"/>
    <w:rsid w:val="002F30A8"/>
    <w:rsid w:val="002F3CAF"/>
    <w:rsid w:val="002F425B"/>
    <w:rsid w:val="002F4347"/>
    <w:rsid w:val="002F51C4"/>
    <w:rsid w:val="002F51CD"/>
    <w:rsid w:val="002F54CD"/>
    <w:rsid w:val="002F5554"/>
    <w:rsid w:val="002F55E0"/>
    <w:rsid w:val="002F5739"/>
    <w:rsid w:val="002F578B"/>
    <w:rsid w:val="002F57D7"/>
    <w:rsid w:val="002F59F3"/>
    <w:rsid w:val="002F5EFB"/>
    <w:rsid w:val="002F6880"/>
    <w:rsid w:val="002F7031"/>
    <w:rsid w:val="002F7131"/>
    <w:rsid w:val="002F7251"/>
    <w:rsid w:val="002F75B4"/>
    <w:rsid w:val="002F7610"/>
    <w:rsid w:val="002F7B55"/>
    <w:rsid w:val="002F7B57"/>
    <w:rsid w:val="002F7FF7"/>
    <w:rsid w:val="003001CD"/>
    <w:rsid w:val="00300505"/>
    <w:rsid w:val="0030075A"/>
    <w:rsid w:val="00300A57"/>
    <w:rsid w:val="00300BD7"/>
    <w:rsid w:val="003010A9"/>
    <w:rsid w:val="003010FB"/>
    <w:rsid w:val="00301925"/>
    <w:rsid w:val="003019C7"/>
    <w:rsid w:val="00301B0E"/>
    <w:rsid w:val="00301E2D"/>
    <w:rsid w:val="003020A4"/>
    <w:rsid w:val="00302169"/>
    <w:rsid w:val="003025B5"/>
    <w:rsid w:val="0030261D"/>
    <w:rsid w:val="00302787"/>
    <w:rsid w:val="003027CD"/>
    <w:rsid w:val="00302A7B"/>
    <w:rsid w:val="00302ADB"/>
    <w:rsid w:val="00303875"/>
    <w:rsid w:val="00303A63"/>
    <w:rsid w:val="00303D7F"/>
    <w:rsid w:val="00304055"/>
    <w:rsid w:val="0030421F"/>
    <w:rsid w:val="00304267"/>
    <w:rsid w:val="00304298"/>
    <w:rsid w:val="003047FA"/>
    <w:rsid w:val="0030485D"/>
    <w:rsid w:val="00304B89"/>
    <w:rsid w:val="00304D4E"/>
    <w:rsid w:val="00304E7F"/>
    <w:rsid w:val="0030529F"/>
    <w:rsid w:val="00305562"/>
    <w:rsid w:val="00305A1B"/>
    <w:rsid w:val="00305B55"/>
    <w:rsid w:val="00305D51"/>
    <w:rsid w:val="00305FDE"/>
    <w:rsid w:val="00306096"/>
    <w:rsid w:val="003065CA"/>
    <w:rsid w:val="0030668A"/>
    <w:rsid w:val="00306804"/>
    <w:rsid w:val="0030681A"/>
    <w:rsid w:val="00306A7C"/>
    <w:rsid w:val="00306FA6"/>
    <w:rsid w:val="00306FA8"/>
    <w:rsid w:val="00307141"/>
    <w:rsid w:val="00307152"/>
    <w:rsid w:val="0030797D"/>
    <w:rsid w:val="00307AF0"/>
    <w:rsid w:val="00307BDD"/>
    <w:rsid w:val="00307C43"/>
    <w:rsid w:val="00307C8B"/>
    <w:rsid w:val="00307CF9"/>
    <w:rsid w:val="00310407"/>
    <w:rsid w:val="00310EC2"/>
    <w:rsid w:val="00310F95"/>
    <w:rsid w:val="0031144D"/>
    <w:rsid w:val="00311A52"/>
    <w:rsid w:val="00311A6C"/>
    <w:rsid w:val="00311BE9"/>
    <w:rsid w:val="00311CF9"/>
    <w:rsid w:val="00311D2B"/>
    <w:rsid w:val="00311E18"/>
    <w:rsid w:val="0031207E"/>
    <w:rsid w:val="00312326"/>
    <w:rsid w:val="00312557"/>
    <w:rsid w:val="00312660"/>
    <w:rsid w:val="003127B3"/>
    <w:rsid w:val="00312920"/>
    <w:rsid w:val="003129D0"/>
    <w:rsid w:val="0031343F"/>
    <w:rsid w:val="00313E38"/>
    <w:rsid w:val="003140C5"/>
    <w:rsid w:val="0031465F"/>
    <w:rsid w:val="003147E0"/>
    <w:rsid w:val="003148C8"/>
    <w:rsid w:val="00314BD0"/>
    <w:rsid w:val="00314F83"/>
    <w:rsid w:val="00315985"/>
    <w:rsid w:val="00315F6B"/>
    <w:rsid w:val="003160B9"/>
    <w:rsid w:val="00316194"/>
    <w:rsid w:val="00316335"/>
    <w:rsid w:val="003167C8"/>
    <w:rsid w:val="0031686D"/>
    <w:rsid w:val="00316BDF"/>
    <w:rsid w:val="003170C3"/>
    <w:rsid w:val="00317103"/>
    <w:rsid w:val="0031718C"/>
    <w:rsid w:val="0031723F"/>
    <w:rsid w:val="00317273"/>
    <w:rsid w:val="00317D6B"/>
    <w:rsid w:val="00317FC1"/>
    <w:rsid w:val="003200CE"/>
    <w:rsid w:val="003201E1"/>
    <w:rsid w:val="0032029D"/>
    <w:rsid w:val="003202B1"/>
    <w:rsid w:val="00320544"/>
    <w:rsid w:val="00320611"/>
    <w:rsid w:val="0032082D"/>
    <w:rsid w:val="003208D9"/>
    <w:rsid w:val="003209FD"/>
    <w:rsid w:val="00320BFE"/>
    <w:rsid w:val="00320CAE"/>
    <w:rsid w:val="00321449"/>
    <w:rsid w:val="003214D2"/>
    <w:rsid w:val="00321A43"/>
    <w:rsid w:val="00321B89"/>
    <w:rsid w:val="00321D38"/>
    <w:rsid w:val="00321DD9"/>
    <w:rsid w:val="003226D7"/>
    <w:rsid w:val="00322799"/>
    <w:rsid w:val="00322A66"/>
    <w:rsid w:val="00322C5A"/>
    <w:rsid w:val="00322EA6"/>
    <w:rsid w:val="00322F0E"/>
    <w:rsid w:val="00322F2F"/>
    <w:rsid w:val="00322FE2"/>
    <w:rsid w:val="00323059"/>
    <w:rsid w:val="00323075"/>
    <w:rsid w:val="00323BB7"/>
    <w:rsid w:val="00323C78"/>
    <w:rsid w:val="00323D2A"/>
    <w:rsid w:val="00323E10"/>
    <w:rsid w:val="00323E93"/>
    <w:rsid w:val="00324AED"/>
    <w:rsid w:val="00324DAE"/>
    <w:rsid w:val="00325485"/>
    <w:rsid w:val="003254A1"/>
    <w:rsid w:val="00325522"/>
    <w:rsid w:val="0032565A"/>
    <w:rsid w:val="00325B93"/>
    <w:rsid w:val="00325CF0"/>
    <w:rsid w:val="003260CC"/>
    <w:rsid w:val="0032616D"/>
    <w:rsid w:val="003269EE"/>
    <w:rsid w:val="00326CDE"/>
    <w:rsid w:val="00326F3D"/>
    <w:rsid w:val="00326F89"/>
    <w:rsid w:val="00327182"/>
    <w:rsid w:val="0032762A"/>
    <w:rsid w:val="0032774F"/>
    <w:rsid w:val="00327F1A"/>
    <w:rsid w:val="00330709"/>
    <w:rsid w:val="003307A5"/>
    <w:rsid w:val="00330845"/>
    <w:rsid w:val="003308F4"/>
    <w:rsid w:val="00330AF4"/>
    <w:rsid w:val="00330EA5"/>
    <w:rsid w:val="00331138"/>
    <w:rsid w:val="0033165E"/>
    <w:rsid w:val="0033174D"/>
    <w:rsid w:val="0033196B"/>
    <w:rsid w:val="00331A0A"/>
    <w:rsid w:val="00331C41"/>
    <w:rsid w:val="003320C2"/>
    <w:rsid w:val="00332220"/>
    <w:rsid w:val="00332556"/>
    <w:rsid w:val="003325AC"/>
    <w:rsid w:val="00332977"/>
    <w:rsid w:val="00332BA9"/>
    <w:rsid w:val="00332BE8"/>
    <w:rsid w:val="00332CAB"/>
    <w:rsid w:val="00332FD4"/>
    <w:rsid w:val="00332FDA"/>
    <w:rsid w:val="00332FFD"/>
    <w:rsid w:val="00333104"/>
    <w:rsid w:val="00333105"/>
    <w:rsid w:val="00333181"/>
    <w:rsid w:val="003332C4"/>
    <w:rsid w:val="003336C5"/>
    <w:rsid w:val="003339E9"/>
    <w:rsid w:val="003344FC"/>
    <w:rsid w:val="00334C6B"/>
    <w:rsid w:val="00334FBB"/>
    <w:rsid w:val="0033505A"/>
    <w:rsid w:val="003351C5"/>
    <w:rsid w:val="003351D7"/>
    <w:rsid w:val="0033528B"/>
    <w:rsid w:val="00335334"/>
    <w:rsid w:val="003355EB"/>
    <w:rsid w:val="00335A93"/>
    <w:rsid w:val="00335B93"/>
    <w:rsid w:val="0033643C"/>
    <w:rsid w:val="00336630"/>
    <w:rsid w:val="00336C50"/>
    <w:rsid w:val="00336C63"/>
    <w:rsid w:val="00336CBD"/>
    <w:rsid w:val="0033720D"/>
    <w:rsid w:val="003373A5"/>
    <w:rsid w:val="0033757D"/>
    <w:rsid w:val="00337A0E"/>
    <w:rsid w:val="00337AB2"/>
    <w:rsid w:val="00337B51"/>
    <w:rsid w:val="00337DDB"/>
    <w:rsid w:val="003403B2"/>
    <w:rsid w:val="003404E7"/>
    <w:rsid w:val="00340666"/>
    <w:rsid w:val="00340A3F"/>
    <w:rsid w:val="00340BE7"/>
    <w:rsid w:val="0034116C"/>
    <w:rsid w:val="00341214"/>
    <w:rsid w:val="0034142C"/>
    <w:rsid w:val="00341587"/>
    <w:rsid w:val="00341989"/>
    <w:rsid w:val="00341B08"/>
    <w:rsid w:val="00341D9E"/>
    <w:rsid w:val="00342427"/>
    <w:rsid w:val="00342516"/>
    <w:rsid w:val="00342561"/>
    <w:rsid w:val="00342843"/>
    <w:rsid w:val="00343086"/>
    <w:rsid w:val="00343E1F"/>
    <w:rsid w:val="00343E5C"/>
    <w:rsid w:val="00344021"/>
    <w:rsid w:val="003442C6"/>
    <w:rsid w:val="00344AC7"/>
    <w:rsid w:val="00344DD0"/>
    <w:rsid w:val="0034504D"/>
    <w:rsid w:val="00345607"/>
    <w:rsid w:val="003457C5"/>
    <w:rsid w:val="0034591D"/>
    <w:rsid w:val="00345D49"/>
    <w:rsid w:val="00345F8F"/>
    <w:rsid w:val="00346288"/>
    <w:rsid w:val="003466CE"/>
    <w:rsid w:val="003467D8"/>
    <w:rsid w:val="00346A26"/>
    <w:rsid w:val="00346AC3"/>
    <w:rsid w:val="00346D2F"/>
    <w:rsid w:val="00346D8F"/>
    <w:rsid w:val="003472FE"/>
    <w:rsid w:val="00347545"/>
    <w:rsid w:val="0034761D"/>
    <w:rsid w:val="00347FAC"/>
    <w:rsid w:val="00350499"/>
    <w:rsid w:val="0035080E"/>
    <w:rsid w:val="00350AD5"/>
    <w:rsid w:val="00350C16"/>
    <w:rsid w:val="00351022"/>
    <w:rsid w:val="00351303"/>
    <w:rsid w:val="00351364"/>
    <w:rsid w:val="003514DF"/>
    <w:rsid w:val="003519E1"/>
    <w:rsid w:val="00351AF8"/>
    <w:rsid w:val="003520C4"/>
    <w:rsid w:val="00352247"/>
    <w:rsid w:val="003526A2"/>
    <w:rsid w:val="003527BF"/>
    <w:rsid w:val="00352D2F"/>
    <w:rsid w:val="00352E15"/>
    <w:rsid w:val="0035348F"/>
    <w:rsid w:val="003535FA"/>
    <w:rsid w:val="0035365E"/>
    <w:rsid w:val="00353999"/>
    <w:rsid w:val="00354748"/>
    <w:rsid w:val="003549A7"/>
    <w:rsid w:val="00354CBF"/>
    <w:rsid w:val="00354FD9"/>
    <w:rsid w:val="003555D1"/>
    <w:rsid w:val="003559AF"/>
    <w:rsid w:val="00355D66"/>
    <w:rsid w:val="003568EE"/>
    <w:rsid w:val="00356E40"/>
    <w:rsid w:val="00356EC9"/>
    <w:rsid w:val="0035708A"/>
    <w:rsid w:val="00357131"/>
    <w:rsid w:val="003572F9"/>
    <w:rsid w:val="0035749E"/>
    <w:rsid w:val="003576D6"/>
    <w:rsid w:val="00357A0B"/>
    <w:rsid w:val="00357C94"/>
    <w:rsid w:val="0036018F"/>
    <w:rsid w:val="00360377"/>
    <w:rsid w:val="00360386"/>
    <w:rsid w:val="003604BF"/>
    <w:rsid w:val="00360618"/>
    <w:rsid w:val="003608F6"/>
    <w:rsid w:val="003608FF"/>
    <w:rsid w:val="00360A24"/>
    <w:rsid w:val="00360DD9"/>
    <w:rsid w:val="00360E75"/>
    <w:rsid w:val="003611FF"/>
    <w:rsid w:val="0036125F"/>
    <w:rsid w:val="00361A25"/>
    <w:rsid w:val="00362662"/>
    <w:rsid w:val="00362709"/>
    <w:rsid w:val="003628F6"/>
    <w:rsid w:val="00362A8D"/>
    <w:rsid w:val="00362BAE"/>
    <w:rsid w:val="00362E5D"/>
    <w:rsid w:val="00363051"/>
    <w:rsid w:val="003634DF"/>
    <w:rsid w:val="00363681"/>
    <w:rsid w:val="003638D2"/>
    <w:rsid w:val="003639AB"/>
    <w:rsid w:val="00364287"/>
    <w:rsid w:val="0036439E"/>
    <w:rsid w:val="003648E5"/>
    <w:rsid w:val="00364BB3"/>
    <w:rsid w:val="00364C1D"/>
    <w:rsid w:val="003651DB"/>
    <w:rsid w:val="00365E5F"/>
    <w:rsid w:val="00366599"/>
    <w:rsid w:val="003666AC"/>
    <w:rsid w:val="00366A57"/>
    <w:rsid w:val="00366CEC"/>
    <w:rsid w:val="003672B5"/>
    <w:rsid w:val="0036758A"/>
    <w:rsid w:val="00367A97"/>
    <w:rsid w:val="00367C23"/>
    <w:rsid w:val="00367C40"/>
    <w:rsid w:val="00367C43"/>
    <w:rsid w:val="00367F64"/>
    <w:rsid w:val="00370B10"/>
    <w:rsid w:val="00370DAF"/>
    <w:rsid w:val="003714B6"/>
    <w:rsid w:val="00371506"/>
    <w:rsid w:val="0037172E"/>
    <w:rsid w:val="003717D2"/>
    <w:rsid w:val="003719A0"/>
    <w:rsid w:val="00371D63"/>
    <w:rsid w:val="003722F5"/>
    <w:rsid w:val="00372693"/>
    <w:rsid w:val="00372B3B"/>
    <w:rsid w:val="00372D29"/>
    <w:rsid w:val="00372D9C"/>
    <w:rsid w:val="00372F4F"/>
    <w:rsid w:val="003731F9"/>
    <w:rsid w:val="0037346F"/>
    <w:rsid w:val="0037363C"/>
    <w:rsid w:val="00373712"/>
    <w:rsid w:val="00373808"/>
    <w:rsid w:val="003738D0"/>
    <w:rsid w:val="00373ADA"/>
    <w:rsid w:val="00373E79"/>
    <w:rsid w:val="00373E7F"/>
    <w:rsid w:val="003740E6"/>
    <w:rsid w:val="0037450B"/>
    <w:rsid w:val="003746AB"/>
    <w:rsid w:val="00375552"/>
    <w:rsid w:val="00375758"/>
    <w:rsid w:val="003758AD"/>
    <w:rsid w:val="00375A08"/>
    <w:rsid w:val="00375E99"/>
    <w:rsid w:val="003762C2"/>
    <w:rsid w:val="00376395"/>
    <w:rsid w:val="00376993"/>
    <w:rsid w:val="00376BB9"/>
    <w:rsid w:val="00376C1C"/>
    <w:rsid w:val="00376E14"/>
    <w:rsid w:val="00376F51"/>
    <w:rsid w:val="0037709D"/>
    <w:rsid w:val="0037730E"/>
    <w:rsid w:val="00377540"/>
    <w:rsid w:val="0037764B"/>
    <w:rsid w:val="003777EB"/>
    <w:rsid w:val="00377A3F"/>
    <w:rsid w:val="00377DF4"/>
    <w:rsid w:val="003802B6"/>
    <w:rsid w:val="0038048A"/>
    <w:rsid w:val="00380830"/>
    <w:rsid w:val="00380F4A"/>
    <w:rsid w:val="00380F4F"/>
    <w:rsid w:val="0038103D"/>
    <w:rsid w:val="003816DD"/>
    <w:rsid w:val="00381817"/>
    <w:rsid w:val="00381FE5"/>
    <w:rsid w:val="00381FEA"/>
    <w:rsid w:val="003826DE"/>
    <w:rsid w:val="00382760"/>
    <w:rsid w:val="00382C98"/>
    <w:rsid w:val="00382D2B"/>
    <w:rsid w:val="00382F16"/>
    <w:rsid w:val="00383073"/>
    <w:rsid w:val="003830A6"/>
    <w:rsid w:val="00383336"/>
    <w:rsid w:val="00383416"/>
    <w:rsid w:val="00383529"/>
    <w:rsid w:val="003835BA"/>
    <w:rsid w:val="0038367A"/>
    <w:rsid w:val="00383A0F"/>
    <w:rsid w:val="00383BAD"/>
    <w:rsid w:val="00383D67"/>
    <w:rsid w:val="0038401C"/>
    <w:rsid w:val="00384F1B"/>
    <w:rsid w:val="00384FA0"/>
    <w:rsid w:val="00385209"/>
    <w:rsid w:val="00385508"/>
    <w:rsid w:val="00385649"/>
    <w:rsid w:val="003858CD"/>
    <w:rsid w:val="0038592F"/>
    <w:rsid w:val="00385C05"/>
    <w:rsid w:val="00386169"/>
    <w:rsid w:val="00386578"/>
    <w:rsid w:val="003866AB"/>
    <w:rsid w:val="00386789"/>
    <w:rsid w:val="0038683C"/>
    <w:rsid w:val="00386A33"/>
    <w:rsid w:val="003873F2"/>
    <w:rsid w:val="00387433"/>
    <w:rsid w:val="00387576"/>
    <w:rsid w:val="0038764A"/>
    <w:rsid w:val="00387772"/>
    <w:rsid w:val="00387A79"/>
    <w:rsid w:val="00387E46"/>
    <w:rsid w:val="00387F67"/>
    <w:rsid w:val="00390420"/>
    <w:rsid w:val="0039050E"/>
    <w:rsid w:val="003905EE"/>
    <w:rsid w:val="0039065F"/>
    <w:rsid w:val="00390980"/>
    <w:rsid w:val="00390A0E"/>
    <w:rsid w:val="003922C3"/>
    <w:rsid w:val="00392A03"/>
    <w:rsid w:val="00392EA5"/>
    <w:rsid w:val="00393406"/>
    <w:rsid w:val="00393F07"/>
    <w:rsid w:val="0039421E"/>
    <w:rsid w:val="00394621"/>
    <w:rsid w:val="003946D9"/>
    <w:rsid w:val="003947DC"/>
    <w:rsid w:val="00394B75"/>
    <w:rsid w:val="00395499"/>
    <w:rsid w:val="00395511"/>
    <w:rsid w:val="003955B2"/>
    <w:rsid w:val="00395C1E"/>
    <w:rsid w:val="00395CF9"/>
    <w:rsid w:val="003966D7"/>
    <w:rsid w:val="00396C32"/>
    <w:rsid w:val="00396E41"/>
    <w:rsid w:val="00396F73"/>
    <w:rsid w:val="00397672"/>
    <w:rsid w:val="00397B6D"/>
    <w:rsid w:val="00397B7F"/>
    <w:rsid w:val="003A0380"/>
    <w:rsid w:val="003A0512"/>
    <w:rsid w:val="003A0763"/>
    <w:rsid w:val="003A0E87"/>
    <w:rsid w:val="003A0FBF"/>
    <w:rsid w:val="003A11FA"/>
    <w:rsid w:val="003A1417"/>
    <w:rsid w:val="003A15D1"/>
    <w:rsid w:val="003A16C6"/>
    <w:rsid w:val="003A1763"/>
    <w:rsid w:val="003A1CA7"/>
    <w:rsid w:val="003A2399"/>
    <w:rsid w:val="003A2931"/>
    <w:rsid w:val="003A295A"/>
    <w:rsid w:val="003A2BA5"/>
    <w:rsid w:val="003A2DC5"/>
    <w:rsid w:val="003A31C3"/>
    <w:rsid w:val="003A42CE"/>
    <w:rsid w:val="003A4856"/>
    <w:rsid w:val="003A48DF"/>
    <w:rsid w:val="003A48EB"/>
    <w:rsid w:val="003A4C24"/>
    <w:rsid w:val="003A527F"/>
    <w:rsid w:val="003A5331"/>
    <w:rsid w:val="003A5525"/>
    <w:rsid w:val="003A5C3D"/>
    <w:rsid w:val="003A5DD7"/>
    <w:rsid w:val="003A6A4F"/>
    <w:rsid w:val="003A6EAB"/>
    <w:rsid w:val="003A6F14"/>
    <w:rsid w:val="003A70D7"/>
    <w:rsid w:val="003A742D"/>
    <w:rsid w:val="003A769D"/>
    <w:rsid w:val="003A7C92"/>
    <w:rsid w:val="003A7D43"/>
    <w:rsid w:val="003B0CED"/>
    <w:rsid w:val="003B1148"/>
    <w:rsid w:val="003B117C"/>
    <w:rsid w:val="003B146C"/>
    <w:rsid w:val="003B15E1"/>
    <w:rsid w:val="003B17AF"/>
    <w:rsid w:val="003B1924"/>
    <w:rsid w:val="003B1E6D"/>
    <w:rsid w:val="003B2269"/>
    <w:rsid w:val="003B295E"/>
    <w:rsid w:val="003B2AA6"/>
    <w:rsid w:val="003B2CB4"/>
    <w:rsid w:val="003B2E5E"/>
    <w:rsid w:val="003B339D"/>
    <w:rsid w:val="003B37AB"/>
    <w:rsid w:val="003B38DC"/>
    <w:rsid w:val="003B3AD5"/>
    <w:rsid w:val="003B3DF3"/>
    <w:rsid w:val="003B3EDE"/>
    <w:rsid w:val="003B3F5A"/>
    <w:rsid w:val="003B3F62"/>
    <w:rsid w:val="003B4053"/>
    <w:rsid w:val="003B4076"/>
    <w:rsid w:val="003B414C"/>
    <w:rsid w:val="003B4170"/>
    <w:rsid w:val="003B4C29"/>
    <w:rsid w:val="003B4E36"/>
    <w:rsid w:val="003B5209"/>
    <w:rsid w:val="003B523A"/>
    <w:rsid w:val="003B5316"/>
    <w:rsid w:val="003B5459"/>
    <w:rsid w:val="003B5502"/>
    <w:rsid w:val="003B56F2"/>
    <w:rsid w:val="003B5BD4"/>
    <w:rsid w:val="003B5C53"/>
    <w:rsid w:val="003B5FCA"/>
    <w:rsid w:val="003B63F3"/>
    <w:rsid w:val="003B6772"/>
    <w:rsid w:val="003B6DF4"/>
    <w:rsid w:val="003B6F5E"/>
    <w:rsid w:val="003B722D"/>
    <w:rsid w:val="003B76BB"/>
    <w:rsid w:val="003B7A01"/>
    <w:rsid w:val="003B7A0E"/>
    <w:rsid w:val="003B7C5B"/>
    <w:rsid w:val="003C0227"/>
    <w:rsid w:val="003C058C"/>
    <w:rsid w:val="003C069B"/>
    <w:rsid w:val="003C07EF"/>
    <w:rsid w:val="003C0FE8"/>
    <w:rsid w:val="003C1116"/>
    <w:rsid w:val="003C15CE"/>
    <w:rsid w:val="003C1964"/>
    <w:rsid w:val="003C1A68"/>
    <w:rsid w:val="003C1C1D"/>
    <w:rsid w:val="003C1C6C"/>
    <w:rsid w:val="003C2055"/>
    <w:rsid w:val="003C2689"/>
    <w:rsid w:val="003C2893"/>
    <w:rsid w:val="003C28F4"/>
    <w:rsid w:val="003C29AE"/>
    <w:rsid w:val="003C2C86"/>
    <w:rsid w:val="003C2D95"/>
    <w:rsid w:val="003C2FB4"/>
    <w:rsid w:val="003C32E9"/>
    <w:rsid w:val="003C3794"/>
    <w:rsid w:val="003C3917"/>
    <w:rsid w:val="003C3D57"/>
    <w:rsid w:val="003C4AE1"/>
    <w:rsid w:val="003C508C"/>
    <w:rsid w:val="003C508D"/>
    <w:rsid w:val="003C5146"/>
    <w:rsid w:val="003C5486"/>
    <w:rsid w:val="003C5560"/>
    <w:rsid w:val="003C55DD"/>
    <w:rsid w:val="003C594E"/>
    <w:rsid w:val="003C5B89"/>
    <w:rsid w:val="003C5EEA"/>
    <w:rsid w:val="003C6277"/>
    <w:rsid w:val="003C6377"/>
    <w:rsid w:val="003C650E"/>
    <w:rsid w:val="003C66D4"/>
    <w:rsid w:val="003C6ACA"/>
    <w:rsid w:val="003C6FDB"/>
    <w:rsid w:val="003C707E"/>
    <w:rsid w:val="003C711B"/>
    <w:rsid w:val="003C7487"/>
    <w:rsid w:val="003C7615"/>
    <w:rsid w:val="003C7783"/>
    <w:rsid w:val="003C7DD2"/>
    <w:rsid w:val="003D0049"/>
    <w:rsid w:val="003D03DE"/>
    <w:rsid w:val="003D0645"/>
    <w:rsid w:val="003D0728"/>
    <w:rsid w:val="003D0857"/>
    <w:rsid w:val="003D0862"/>
    <w:rsid w:val="003D08C9"/>
    <w:rsid w:val="003D0CDD"/>
    <w:rsid w:val="003D1246"/>
    <w:rsid w:val="003D13C0"/>
    <w:rsid w:val="003D196B"/>
    <w:rsid w:val="003D1A0B"/>
    <w:rsid w:val="003D1D2C"/>
    <w:rsid w:val="003D1DCD"/>
    <w:rsid w:val="003D20B4"/>
    <w:rsid w:val="003D22E8"/>
    <w:rsid w:val="003D2311"/>
    <w:rsid w:val="003D23D3"/>
    <w:rsid w:val="003D25C6"/>
    <w:rsid w:val="003D26B7"/>
    <w:rsid w:val="003D28BF"/>
    <w:rsid w:val="003D28E9"/>
    <w:rsid w:val="003D2AB9"/>
    <w:rsid w:val="003D4135"/>
    <w:rsid w:val="003D4382"/>
    <w:rsid w:val="003D43FF"/>
    <w:rsid w:val="003D47B0"/>
    <w:rsid w:val="003D4834"/>
    <w:rsid w:val="003D49EF"/>
    <w:rsid w:val="003D4ADD"/>
    <w:rsid w:val="003D4B77"/>
    <w:rsid w:val="003D4D15"/>
    <w:rsid w:val="003D4DDE"/>
    <w:rsid w:val="003D5118"/>
    <w:rsid w:val="003D54E3"/>
    <w:rsid w:val="003D5581"/>
    <w:rsid w:val="003D5817"/>
    <w:rsid w:val="003D583E"/>
    <w:rsid w:val="003D5FA9"/>
    <w:rsid w:val="003D5FE9"/>
    <w:rsid w:val="003D60D1"/>
    <w:rsid w:val="003D61C6"/>
    <w:rsid w:val="003D637D"/>
    <w:rsid w:val="003D63C0"/>
    <w:rsid w:val="003D6779"/>
    <w:rsid w:val="003D6A2A"/>
    <w:rsid w:val="003D6B58"/>
    <w:rsid w:val="003D7124"/>
    <w:rsid w:val="003D74D1"/>
    <w:rsid w:val="003D7BB8"/>
    <w:rsid w:val="003D7CA4"/>
    <w:rsid w:val="003D7E30"/>
    <w:rsid w:val="003D7EDE"/>
    <w:rsid w:val="003E0212"/>
    <w:rsid w:val="003E0274"/>
    <w:rsid w:val="003E044B"/>
    <w:rsid w:val="003E0656"/>
    <w:rsid w:val="003E0985"/>
    <w:rsid w:val="003E0F16"/>
    <w:rsid w:val="003E1946"/>
    <w:rsid w:val="003E1F61"/>
    <w:rsid w:val="003E27DF"/>
    <w:rsid w:val="003E28B9"/>
    <w:rsid w:val="003E2C0E"/>
    <w:rsid w:val="003E31AF"/>
    <w:rsid w:val="003E33E5"/>
    <w:rsid w:val="003E3659"/>
    <w:rsid w:val="003E3D5D"/>
    <w:rsid w:val="003E3DE1"/>
    <w:rsid w:val="003E41C4"/>
    <w:rsid w:val="003E4604"/>
    <w:rsid w:val="003E4AA2"/>
    <w:rsid w:val="003E4E5A"/>
    <w:rsid w:val="003E5271"/>
    <w:rsid w:val="003E5596"/>
    <w:rsid w:val="003E5934"/>
    <w:rsid w:val="003E5AEB"/>
    <w:rsid w:val="003E5BF5"/>
    <w:rsid w:val="003E5C91"/>
    <w:rsid w:val="003E5C9C"/>
    <w:rsid w:val="003E60A1"/>
    <w:rsid w:val="003E659F"/>
    <w:rsid w:val="003E6854"/>
    <w:rsid w:val="003E68A4"/>
    <w:rsid w:val="003E6CAA"/>
    <w:rsid w:val="003E759E"/>
    <w:rsid w:val="003E7D0F"/>
    <w:rsid w:val="003F0339"/>
    <w:rsid w:val="003F0368"/>
    <w:rsid w:val="003F0717"/>
    <w:rsid w:val="003F0B96"/>
    <w:rsid w:val="003F0C9B"/>
    <w:rsid w:val="003F0D18"/>
    <w:rsid w:val="003F0EB9"/>
    <w:rsid w:val="003F1181"/>
    <w:rsid w:val="003F12C7"/>
    <w:rsid w:val="003F144A"/>
    <w:rsid w:val="003F1660"/>
    <w:rsid w:val="003F18C5"/>
    <w:rsid w:val="003F19ED"/>
    <w:rsid w:val="003F1A50"/>
    <w:rsid w:val="003F1AD3"/>
    <w:rsid w:val="003F2671"/>
    <w:rsid w:val="003F2799"/>
    <w:rsid w:val="003F2AEE"/>
    <w:rsid w:val="003F33B1"/>
    <w:rsid w:val="003F3751"/>
    <w:rsid w:val="003F3761"/>
    <w:rsid w:val="003F37EF"/>
    <w:rsid w:val="003F3999"/>
    <w:rsid w:val="003F3C03"/>
    <w:rsid w:val="003F3F2E"/>
    <w:rsid w:val="003F43BD"/>
    <w:rsid w:val="003F47F2"/>
    <w:rsid w:val="003F4A34"/>
    <w:rsid w:val="003F4B77"/>
    <w:rsid w:val="003F4CCB"/>
    <w:rsid w:val="003F5062"/>
    <w:rsid w:val="003F55C5"/>
    <w:rsid w:val="003F572D"/>
    <w:rsid w:val="003F5A00"/>
    <w:rsid w:val="003F5ABD"/>
    <w:rsid w:val="003F609F"/>
    <w:rsid w:val="003F6434"/>
    <w:rsid w:val="003F682E"/>
    <w:rsid w:val="003F69D0"/>
    <w:rsid w:val="003F6A45"/>
    <w:rsid w:val="003F715D"/>
    <w:rsid w:val="003F728F"/>
    <w:rsid w:val="003F7A3F"/>
    <w:rsid w:val="003F7B08"/>
    <w:rsid w:val="003F7F88"/>
    <w:rsid w:val="0040010D"/>
    <w:rsid w:val="004001F7"/>
    <w:rsid w:val="00400276"/>
    <w:rsid w:val="004002F3"/>
    <w:rsid w:val="004006A5"/>
    <w:rsid w:val="00400ABC"/>
    <w:rsid w:val="00400B36"/>
    <w:rsid w:val="00401227"/>
    <w:rsid w:val="004015DC"/>
    <w:rsid w:val="004019C7"/>
    <w:rsid w:val="0040235B"/>
    <w:rsid w:val="00402363"/>
    <w:rsid w:val="004027AB"/>
    <w:rsid w:val="00402A14"/>
    <w:rsid w:val="00402B29"/>
    <w:rsid w:val="00402CEB"/>
    <w:rsid w:val="0040375D"/>
    <w:rsid w:val="00403CCD"/>
    <w:rsid w:val="00403D4E"/>
    <w:rsid w:val="00404092"/>
    <w:rsid w:val="0040412C"/>
    <w:rsid w:val="00404240"/>
    <w:rsid w:val="00404353"/>
    <w:rsid w:val="00404769"/>
    <w:rsid w:val="004047EC"/>
    <w:rsid w:val="004048D5"/>
    <w:rsid w:val="004048D6"/>
    <w:rsid w:val="00404A0D"/>
    <w:rsid w:val="00404C20"/>
    <w:rsid w:val="00404F3E"/>
    <w:rsid w:val="0040572C"/>
    <w:rsid w:val="004058DC"/>
    <w:rsid w:val="004059D9"/>
    <w:rsid w:val="00405B4A"/>
    <w:rsid w:val="00405BAE"/>
    <w:rsid w:val="00405D1E"/>
    <w:rsid w:val="004062FB"/>
    <w:rsid w:val="0040660A"/>
    <w:rsid w:val="00406ED7"/>
    <w:rsid w:val="00406F22"/>
    <w:rsid w:val="00406F9D"/>
    <w:rsid w:val="00406FE7"/>
    <w:rsid w:val="00407293"/>
    <w:rsid w:val="00407598"/>
    <w:rsid w:val="00407638"/>
    <w:rsid w:val="004076EF"/>
    <w:rsid w:val="00407980"/>
    <w:rsid w:val="00407A74"/>
    <w:rsid w:val="00407B84"/>
    <w:rsid w:val="00407BBE"/>
    <w:rsid w:val="00410633"/>
    <w:rsid w:val="004107B0"/>
    <w:rsid w:val="00410A2F"/>
    <w:rsid w:val="00410D90"/>
    <w:rsid w:val="00410FDD"/>
    <w:rsid w:val="004116C1"/>
    <w:rsid w:val="00411AC4"/>
    <w:rsid w:val="00411C93"/>
    <w:rsid w:val="00411E09"/>
    <w:rsid w:val="00411FB6"/>
    <w:rsid w:val="004120D3"/>
    <w:rsid w:val="00412663"/>
    <w:rsid w:val="00412820"/>
    <w:rsid w:val="004128C6"/>
    <w:rsid w:val="00412AE2"/>
    <w:rsid w:val="00412E17"/>
    <w:rsid w:val="004131D3"/>
    <w:rsid w:val="004131EA"/>
    <w:rsid w:val="00413D2E"/>
    <w:rsid w:val="00413D83"/>
    <w:rsid w:val="00414054"/>
    <w:rsid w:val="00414389"/>
    <w:rsid w:val="0041496C"/>
    <w:rsid w:val="00414BBE"/>
    <w:rsid w:val="00414E5B"/>
    <w:rsid w:val="004151AD"/>
    <w:rsid w:val="004157B1"/>
    <w:rsid w:val="00415CC8"/>
    <w:rsid w:val="00415E18"/>
    <w:rsid w:val="00416494"/>
    <w:rsid w:val="004164F7"/>
    <w:rsid w:val="00416792"/>
    <w:rsid w:val="00416A91"/>
    <w:rsid w:val="00416C99"/>
    <w:rsid w:val="00416DD6"/>
    <w:rsid w:val="0041702D"/>
    <w:rsid w:val="00417253"/>
    <w:rsid w:val="0041776C"/>
    <w:rsid w:val="00417945"/>
    <w:rsid w:val="00417AA9"/>
    <w:rsid w:val="00417E2E"/>
    <w:rsid w:val="00417F69"/>
    <w:rsid w:val="00420B49"/>
    <w:rsid w:val="00420D2D"/>
    <w:rsid w:val="00421125"/>
    <w:rsid w:val="00421156"/>
    <w:rsid w:val="0042142F"/>
    <w:rsid w:val="004215FA"/>
    <w:rsid w:val="00421855"/>
    <w:rsid w:val="004220B4"/>
    <w:rsid w:val="00422102"/>
    <w:rsid w:val="004221EE"/>
    <w:rsid w:val="004222FB"/>
    <w:rsid w:val="00422335"/>
    <w:rsid w:val="00422365"/>
    <w:rsid w:val="004224B3"/>
    <w:rsid w:val="00422F0E"/>
    <w:rsid w:val="004238BB"/>
    <w:rsid w:val="00423F51"/>
    <w:rsid w:val="00423FC9"/>
    <w:rsid w:val="00424059"/>
    <w:rsid w:val="004241AB"/>
    <w:rsid w:val="00424375"/>
    <w:rsid w:val="0042459C"/>
    <w:rsid w:val="00424734"/>
    <w:rsid w:val="0042489C"/>
    <w:rsid w:val="00424A71"/>
    <w:rsid w:val="00425B14"/>
    <w:rsid w:val="00425C15"/>
    <w:rsid w:val="00425E87"/>
    <w:rsid w:val="00426115"/>
    <w:rsid w:val="00426245"/>
    <w:rsid w:val="00426369"/>
    <w:rsid w:val="00426618"/>
    <w:rsid w:val="00426A70"/>
    <w:rsid w:val="00426B3D"/>
    <w:rsid w:val="00426B62"/>
    <w:rsid w:val="004274F1"/>
    <w:rsid w:val="004300ED"/>
    <w:rsid w:val="0043019C"/>
    <w:rsid w:val="00430337"/>
    <w:rsid w:val="00430547"/>
    <w:rsid w:val="004305E3"/>
    <w:rsid w:val="004307E6"/>
    <w:rsid w:val="00430AB0"/>
    <w:rsid w:val="00430BF0"/>
    <w:rsid w:val="00430D49"/>
    <w:rsid w:val="00430E79"/>
    <w:rsid w:val="0043114A"/>
    <w:rsid w:val="00431300"/>
    <w:rsid w:val="004314FF"/>
    <w:rsid w:val="00431817"/>
    <w:rsid w:val="00431A5A"/>
    <w:rsid w:val="00431BA6"/>
    <w:rsid w:val="00431F55"/>
    <w:rsid w:val="004325C2"/>
    <w:rsid w:val="00432630"/>
    <w:rsid w:val="00432704"/>
    <w:rsid w:val="00432DA9"/>
    <w:rsid w:val="00432F24"/>
    <w:rsid w:val="00433790"/>
    <w:rsid w:val="00433885"/>
    <w:rsid w:val="004338A2"/>
    <w:rsid w:val="00433BB6"/>
    <w:rsid w:val="00433FC4"/>
    <w:rsid w:val="004342AA"/>
    <w:rsid w:val="004342CB"/>
    <w:rsid w:val="00434312"/>
    <w:rsid w:val="004343C7"/>
    <w:rsid w:val="00434777"/>
    <w:rsid w:val="00434D94"/>
    <w:rsid w:val="00434DD6"/>
    <w:rsid w:val="00435292"/>
    <w:rsid w:val="00435478"/>
    <w:rsid w:val="0043551D"/>
    <w:rsid w:val="0043571A"/>
    <w:rsid w:val="004359D0"/>
    <w:rsid w:val="00435F97"/>
    <w:rsid w:val="00436768"/>
    <w:rsid w:val="00436830"/>
    <w:rsid w:val="00436AB0"/>
    <w:rsid w:val="00436C27"/>
    <w:rsid w:val="00436FAB"/>
    <w:rsid w:val="004372C4"/>
    <w:rsid w:val="004372CA"/>
    <w:rsid w:val="00437427"/>
    <w:rsid w:val="00437743"/>
    <w:rsid w:val="004378EE"/>
    <w:rsid w:val="00437CDD"/>
    <w:rsid w:val="00437F5D"/>
    <w:rsid w:val="0043AEED"/>
    <w:rsid w:val="004400B5"/>
    <w:rsid w:val="00440240"/>
    <w:rsid w:val="00440730"/>
    <w:rsid w:val="00440A61"/>
    <w:rsid w:val="00440BC5"/>
    <w:rsid w:val="004411CE"/>
    <w:rsid w:val="00441279"/>
    <w:rsid w:val="004413EC"/>
    <w:rsid w:val="00441483"/>
    <w:rsid w:val="0044151D"/>
    <w:rsid w:val="00442030"/>
    <w:rsid w:val="0044205C"/>
    <w:rsid w:val="00442242"/>
    <w:rsid w:val="004422CE"/>
    <w:rsid w:val="00442427"/>
    <w:rsid w:val="00442C61"/>
    <w:rsid w:val="00443008"/>
    <w:rsid w:val="00443343"/>
    <w:rsid w:val="004436C2"/>
    <w:rsid w:val="00443701"/>
    <w:rsid w:val="004439BD"/>
    <w:rsid w:val="00443AFF"/>
    <w:rsid w:val="00443B66"/>
    <w:rsid w:val="00443E18"/>
    <w:rsid w:val="00443F7D"/>
    <w:rsid w:val="0044403D"/>
    <w:rsid w:val="00444049"/>
    <w:rsid w:val="004440DC"/>
    <w:rsid w:val="0044476E"/>
    <w:rsid w:val="004447C3"/>
    <w:rsid w:val="004448B1"/>
    <w:rsid w:val="00444BFF"/>
    <w:rsid w:val="004451BE"/>
    <w:rsid w:val="0044551E"/>
    <w:rsid w:val="00445560"/>
    <w:rsid w:val="00445A1D"/>
    <w:rsid w:val="00445B08"/>
    <w:rsid w:val="00445F14"/>
    <w:rsid w:val="00446113"/>
    <w:rsid w:val="004462B3"/>
    <w:rsid w:val="004463A6"/>
    <w:rsid w:val="00446428"/>
    <w:rsid w:val="00446D7F"/>
    <w:rsid w:val="00446ED6"/>
    <w:rsid w:val="004473A1"/>
    <w:rsid w:val="004474BD"/>
    <w:rsid w:val="00447627"/>
    <w:rsid w:val="0044767A"/>
    <w:rsid w:val="00447921"/>
    <w:rsid w:val="00447B61"/>
    <w:rsid w:val="00447E68"/>
    <w:rsid w:val="00447E8D"/>
    <w:rsid w:val="00450253"/>
    <w:rsid w:val="00450326"/>
    <w:rsid w:val="00450462"/>
    <w:rsid w:val="004509FD"/>
    <w:rsid w:val="00450CD8"/>
    <w:rsid w:val="00450E06"/>
    <w:rsid w:val="00450FA1"/>
    <w:rsid w:val="00451671"/>
    <w:rsid w:val="0045179F"/>
    <w:rsid w:val="00451861"/>
    <w:rsid w:val="00451F2E"/>
    <w:rsid w:val="00452004"/>
    <w:rsid w:val="00452335"/>
    <w:rsid w:val="004524FB"/>
    <w:rsid w:val="004525B0"/>
    <w:rsid w:val="00452D93"/>
    <w:rsid w:val="00452DB0"/>
    <w:rsid w:val="00452DDB"/>
    <w:rsid w:val="00452F5E"/>
    <w:rsid w:val="00453488"/>
    <w:rsid w:val="00453736"/>
    <w:rsid w:val="00453A6E"/>
    <w:rsid w:val="00453E96"/>
    <w:rsid w:val="00453FA2"/>
    <w:rsid w:val="004549BD"/>
    <w:rsid w:val="00454BB7"/>
    <w:rsid w:val="00454CB6"/>
    <w:rsid w:val="00454EB5"/>
    <w:rsid w:val="0045505F"/>
    <w:rsid w:val="0045520A"/>
    <w:rsid w:val="0045526B"/>
    <w:rsid w:val="00455281"/>
    <w:rsid w:val="00455328"/>
    <w:rsid w:val="00455A19"/>
    <w:rsid w:val="00455A85"/>
    <w:rsid w:val="00455BC6"/>
    <w:rsid w:val="00455E34"/>
    <w:rsid w:val="004562AC"/>
    <w:rsid w:val="0045647F"/>
    <w:rsid w:val="0045664C"/>
    <w:rsid w:val="00456883"/>
    <w:rsid w:val="004568EB"/>
    <w:rsid w:val="00456AB7"/>
    <w:rsid w:val="00456F30"/>
    <w:rsid w:val="004572F1"/>
    <w:rsid w:val="00457350"/>
    <w:rsid w:val="004575F4"/>
    <w:rsid w:val="0045762C"/>
    <w:rsid w:val="0045795B"/>
    <w:rsid w:val="00457A14"/>
    <w:rsid w:val="00457FD3"/>
    <w:rsid w:val="0046008E"/>
    <w:rsid w:val="0046096B"/>
    <w:rsid w:val="00460DAA"/>
    <w:rsid w:val="00460E98"/>
    <w:rsid w:val="00460FE3"/>
    <w:rsid w:val="0046106D"/>
    <w:rsid w:val="004615BE"/>
    <w:rsid w:val="00461926"/>
    <w:rsid w:val="00461B76"/>
    <w:rsid w:val="00461BE1"/>
    <w:rsid w:val="00461E07"/>
    <w:rsid w:val="00462551"/>
    <w:rsid w:val="0046271F"/>
    <w:rsid w:val="00462B6B"/>
    <w:rsid w:val="004632FC"/>
    <w:rsid w:val="0046365D"/>
    <w:rsid w:val="0046366B"/>
    <w:rsid w:val="0046398E"/>
    <w:rsid w:val="00463E51"/>
    <w:rsid w:val="00463E61"/>
    <w:rsid w:val="00464091"/>
    <w:rsid w:val="00464229"/>
    <w:rsid w:val="00464486"/>
    <w:rsid w:val="00464642"/>
    <w:rsid w:val="0046495B"/>
    <w:rsid w:val="00465469"/>
    <w:rsid w:val="004656D5"/>
    <w:rsid w:val="00465EF6"/>
    <w:rsid w:val="00466026"/>
    <w:rsid w:val="004662D6"/>
    <w:rsid w:val="00466562"/>
    <w:rsid w:val="00466839"/>
    <w:rsid w:val="00466A02"/>
    <w:rsid w:val="00466B6E"/>
    <w:rsid w:val="00466E83"/>
    <w:rsid w:val="0046706B"/>
    <w:rsid w:val="004670D9"/>
    <w:rsid w:val="00467305"/>
    <w:rsid w:val="0046767D"/>
    <w:rsid w:val="00467B1C"/>
    <w:rsid w:val="00470AE3"/>
    <w:rsid w:val="00470C0D"/>
    <w:rsid w:val="00470FCF"/>
    <w:rsid w:val="0047102B"/>
    <w:rsid w:val="0047146D"/>
    <w:rsid w:val="004716EF"/>
    <w:rsid w:val="00471792"/>
    <w:rsid w:val="00471A02"/>
    <w:rsid w:val="00472190"/>
    <w:rsid w:val="0047225D"/>
    <w:rsid w:val="004722D0"/>
    <w:rsid w:val="00472881"/>
    <w:rsid w:val="00472C8F"/>
    <w:rsid w:val="00472ED4"/>
    <w:rsid w:val="0047363E"/>
    <w:rsid w:val="00473BD6"/>
    <w:rsid w:val="00473C0F"/>
    <w:rsid w:val="00473E1F"/>
    <w:rsid w:val="00474485"/>
    <w:rsid w:val="00474642"/>
    <w:rsid w:val="00474678"/>
    <w:rsid w:val="0047479B"/>
    <w:rsid w:val="004749C4"/>
    <w:rsid w:val="00474BA5"/>
    <w:rsid w:val="0047511E"/>
    <w:rsid w:val="00475177"/>
    <w:rsid w:val="004752F9"/>
    <w:rsid w:val="004759F7"/>
    <w:rsid w:val="00475B59"/>
    <w:rsid w:val="00475EF7"/>
    <w:rsid w:val="00476004"/>
    <w:rsid w:val="0047610E"/>
    <w:rsid w:val="0047632D"/>
    <w:rsid w:val="0047642E"/>
    <w:rsid w:val="00476873"/>
    <w:rsid w:val="004769BB"/>
    <w:rsid w:val="00477395"/>
    <w:rsid w:val="004802FC"/>
    <w:rsid w:val="004803F2"/>
    <w:rsid w:val="00480B4E"/>
    <w:rsid w:val="00480CBF"/>
    <w:rsid w:val="00480E02"/>
    <w:rsid w:val="0048167B"/>
    <w:rsid w:val="00481756"/>
    <w:rsid w:val="00481ABA"/>
    <w:rsid w:val="00481B67"/>
    <w:rsid w:val="00481E37"/>
    <w:rsid w:val="00482038"/>
    <w:rsid w:val="0048214F"/>
    <w:rsid w:val="004824A8"/>
    <w:rsid w:val="00482638"/>
    <w:rsid w:val="0048270C"/>
    <w:rsid w:val="00482C59"/>
    <w:rsid w:val="00483699"/>
    <w:rsid w:val="00483922"/>
    <w:rsid w:val="0048397F"/>
    <w:rsid w:val="004843F8"/>
    <w:rsid w:val="00484468"/>
    <w:rsid w:val="004847B8"/>
    <w:rsid w:val="004847D7"/>
    <w:rsid w:val="00484A66"/>
    <w:rsid w:val="00484AAC"/>
    <w:rsid w:val="00484C8B"/>
    <w:rsid w:val="00484CDF"/>
    <w:rsid w:val="00484D90"/>
    <w:rsid w:val="00484F93"/>
    <w:rsid w:val="00484FA6"/>
    <w:rsid w:val="00485092"/>
    <w:rsid w:val="0048535E"/>
    <w:rsid w:val="00485566"/>
    <w:rsid w:val="004861EF"/>
    <w:rsid w:val="004864DC"/>
    <w:rsid w:val="004865EB"/>
    <w:rsid w:val="004868BB"/>
    <w:rsid w:val="00486972"/>
    <w:rsid w:val="004869C6"/>
    <w:rsid w:val="00486D17"/>
    <w:rsid w:val="00486E3D"/>
    <w:rsid w:val="00486FD9"/>
    <w:rsid w:val="0048711A"/>
    <w:rsid w:val="004873B3"/>
    <w:rsid w:val="004873C2"/>
    <w:rsid w:val="00487646"/>
    <w:rsid w:val="0048769E"/>
    <w:rsid w:val="004877CF"/>
    <w:rsid w:val="004877E4"/>
    <w:rsid w:val="00487820"/>
    <w:rsid w:val="0048791A"/>
    <w:rsid w:val="00487956"/>
    <w:rsid w:val="00487C05"/>
    <w:rsid w:val="00487E5C"/>
    <w:rsid w:val="004904A3"/>
    <w:rsid w:val="004905FD"/>
    <w:rsid w:val="00490996"/>
    <w:rsid w:val="00490BB8"/>
    <w:rsid w:val="00490E6B"/>
    <w:rsid w:val="004911D3"/>
    <w:rsid w:val="004914BC"/>
    <w:rsid w:val="0049182B"/>
    <w:rsid w:val="004918C9"/>
    <w:rsid w:val="00491C31"/>
    <w:rsid w:val="00492016"/>
    <w:rsid w:val="004924D1"/>
    <w:rsid w:val="004925B7"/>
    <w:rsid w:val="00492769"/>
    <w:rsid w:val="00492AB5"/>
    <w:rsid w:val="00492BF6"/>
    <w:rsid w:val="00492DEA"/>
    <w:rsid w:val="00492FE3"/>
    <w:rsid w:val="004937B8"/>
    <w:rsid w:val="0049389F"/>
    <w:rsid w:val="00493AC8"/>
    <w:rsid w:val="00493EB8"/>
    <w:rsid w:val="004941D5"/>
    <w:rsid w:val="004948C9"/>
    <w:rsid w:val="00494C83"/>
    <w:rsid w:val="004950E9"/>
    <w:rsid w:val="00495168"/>
    <w:rsid w:val="004951A0"/>
    <w:rsid w:val="004953AA"/>
    <w:rsid w:val="00495442"/>
    <w:rsid w:val="00495A6A"/>
    <w:rsid w:val="00495B49"/>
    <w:rsid w:val="00495BC5"/>
    <w:rsid w:val="00495DA7"/>
    <w:rsid w:val="00496029"/>
    <w:rsid w:val="0049608C"/>
    <w:rsid w:val="004962CA"/>
    <w:rsid w:val="004966B1"/>
    <w:rsid w:val="00496748"/>
    <w:rsid w:val="00496FC9"/>
    <w:rsid w:val="0049715F"/>
    <w:rsid w:val="00497BA3"/>
    <w:rsid w:val="00497F23"/>
    <w:rsid w:val="004A008F"/>
    <w:rsid w:val="004A0271"/>
    <w:rsid w:val="004A02B3"/>
    <w:rsid w:val="004A038B"/>
    <w:rsid w:val="004A046F"/>
    <w:rsid w:val="004A0B34"/>
    <w:rsid w:val="004A0E0E"/>
    <w:rsid w:val="004A0F66"/>
    <w:rsid w:val="004A103E"/>
    <w:rsid w:val="004A1390"/>
    <w:rsid w:val="004A14B9"/>
    <w:rsid w:val="004A1716"/>
    <w:rsid w:val="004A1D62"/>
    <w:rsid w:val="004A204B"/>
    <w:rsid w:val="004A23BF"/>
    <w:rsid w:val="004A25BB"/>
    <w:rsid w:val="004A2BC8"/>
    <w:rsid w:val="004A2C06"/>
    <w:rsid w:val="004A2CD1"/>
    <w:rsid w:val="004A2DD0"/>
    <w:rsid w:val="004A2E88"/>
    <w:rsid w:val="004A2F2A"/>
    <w:rsid w:val="004A300B"/>
    <w:rsid w:val="004A348A"/>
    <w:rsid w:val="004A363F"/>
    <w:rsid w:val="004A3E55"/>
    <w:rsid w:val="004A3F07"/>
    <w:rsid w:val="004A438D"/>
    <w:rsid w:val="004A45D8"/>
    <w:rsid w:val="004A4A3C"/>
    <w:rsid w:val="004A4DA3"/>
    <w:rsid w:val="004A533B"/>
    <w:rsid w:val="004A5655"/>
    <w:rsid w:val="004A56FB"/>
    <w:rsid w:val="004A5844"/>
    <w:rsid w:val="004A5955"/>
    <w:rsid w:val="004A68E1"/>
    <w:rsid w:val="004A69F9"/>
    <w:rsid w:val="004A6AFA"/>
    <w:rsid w:val="004A7168"/>
    <w:rsid w:val="004A7E35"/>
    <w:rsid w:val="004B0023"/>
    <w:rsid w:val="004B022A"/>
    <w:rsid w:val="004B0866"/>
    <w:rsid w:val="004B0AF5"/>
    <w:rsid w:val="004B0D1D"/>
    <w:rsid w:val="004B10FB"/>
    <w:rsid w:val="004B1191"/>
    <w:rsid w:val="004B11C9"/>
    <w:rsid w:val="004B125D"/>
    <w:rsid w:val="004B1277"/>
    <w:rsid w:val="004B1295"/>
    <w:rsid w:val="004B148F"/>
    <w:rsid w:val="004B14D3"/>
    <w:rsid w:val="004B18DD"/>
    <w:rsid w:val="004B1E87"/>
    <w:rsid w:val="004B23D1"/>
    <w:rsid w:val="004B246F"/>
    <w:rsid w:val="004B2784"/>
    <w:rsid w:val="004B2B4A"/>
    <w:rsid w:val="004B2C2A"/>
    <w:rsid w:val="004B2D47"/>
    <w:rsid w:val="004B2DCC"/>
    <w:rsid w:val="004B2ECB"/>
    <w:rsid w:val="004B3290"/>
    <w:rsid w:val="004B32EC"/>
    <w:rsid w:val="004B3404"/>
    <w:rsid w:val="004B390C"/>
    <w:rsid w:val="004B39E9"/>
    <w:rsid w:val="004B3E08"/>
    <w:rsid w:val="004B40C5"/>
    <w:rsid w:val="004B41E2"/>
    <w:rsid w:val="004B4417"/>
    <w:rsid w:val="004B4CC3"/>
    <w:rsid w:val="004B4DBA"/>
    <w:rsid w:val="004B50AA"/>
    <w:rsid w:val="004B5141"/>
    <w:rsid w:val="004B5568"/>
    <w:rsid w:val="004B5F3E"/>
    <w:rsid w:val="004B603A"/>
    <w:rsid w:val="004B6866"/>
    <w:rsid w:val="004B695A"/>
    <w:rsid w:val="004B6A36"/>
    <w:rsid w:val="004B6A6D"/>
    <w:rsid w:val="004B6BAF"/>
    <w:rsid w:val="004B6E64"/>
    <w:rsid w:val="004B7420"/>
    <w:rsid w:val="004B7510"/>
    <w:rsid w:val="004B796B"/>
    <w:rsid w:val="004B7B46"/>
    <w:rsid w:val="004B7B61"/>
    <w:rsid w:val="004B7E48"/>
    <w:rsid w:val="004B7F14"/>
    <w:rsid w:val="004B7FDE"/>
    <w:rsid w:val="004B96A4"/>
    <w:rsid w:val="004C015B"/>
    <w:rsid w:val="004C01F6"/>
    <w:rsid w:val="004C0298"/>
    <w:rsid w:val="004C03D1"/>
    <w:rsid w:val="004C067D"/>
    <w:rsid w:val="004C07C6"/>
    <w:rsid w:val="004C08C8"/>
    <w:rsid w:val="004C0DDC"/>
    <w:rsid w:val="004C1069"/>
    <w:rsid w:val="004C10BA"/>
    <w:rsid w:val="004C1140"/>
    <w:rsid w:val="004C14AB"/>
    <w:rsid w:val="004C1FBF"/>
    <w:rsid w:val="004C20F3"/>
    <w:rsid w:val="004C2366"/>
    <w:rsid w:val="004C24CB"/>
    <w:rsid w:val="004C2543"/>
    <w:rsid w:val="004C261C"/>
    <w:rsid w:val="004C26CC"/>
    <w:rsid w:val="004C2C3B"/>
    <w:rsid w:val="004C30E4"/>
    <w:rsid w:val="004C3B1B"/>
    <w:rsid w:val="004C3B48"/>
    <w:rsid w:val="004C3D11"/>
    <w:rsid w:val="004C3D3D"/>
    <w:rsid w:val="004C3FCE"/>
    <w:rsid w:val="004C4002"/>
    <w:rsid w:val="004C4144"/>
    <w:rsid w:val="004C4370"/>
    <w:rsid w:val="004C4433"/>
    <w:rsid w:val="004C44BC"/>
    <w:rsid w:val="004C4535"/>
    <w:rsid w:val="004C45A3"/>
    <w:rsid w:val="004C4F1A"/>
    <w:rsid w:val="004C5124"/>
    <w:rsid w:val="004C5224"/>
    <w:rsid w:val="004C532B"/>
    <w:rsid w:val="004C5596"/>
    <w:rsid w:val="004C55F8"/>
    <w:rsid w:val="004C5BCE"/>
    <w:rsid w:val="004C5DE1"/>
    <w:rsid w:val="004C5E20"/>
    <w:rsid w:val="004C6082"/>
    <w:rsid w:val="004C60B2"/>
    <w:rsid w:val="004C66DA"/>
    <w:rsid w:val="004C672E"/>
    <w:rsid w:val="004C6730"/>
    <w:rsid w:val="004C6B3D"/>
    <w:rsid w:val="004C6C51"/>
    <w:rsid w:val="004C6CB6"/>
    <w:rsid w:val="004C6D07"/>
    <w:rsid w:val="004C6E05"/>
    <w:rsid w:val="004C7158"/>
    <w:rsid w:val="004C79FF"/>
    <w:rsid w:val="004C7AAB"/>
    <w:rsid w:val="004C7BEE"/>
    <w:rsid w:val="004C7DA3"/>
    <w:rsid w:val="004C7E6E"/>
    <w:rsid w:val="004C7FB9"/>
    <w:rsid w:val="004D0ABC"/>
    <w:rsid w:val="004D0C3D"/>
    <w:rsid w:val="004D0DAE"/>
    <w:rsid w:val="004D0FAA"/>
    <w:rsid w:val="004D1669"/>
    <w:rsid w:val="004D17BF"/>
    <w:rsid w:val="004D1BC8"/>
    <w:rsid w:val="004D22B1"/>
    <w:rsid w:val="004D2350"/>
    <w:rsid w:val="004D2557"/>
    <w:rsid w:val="004D2631"/>
    <w:rsid w:val="004D276A"/>
    <w:rsid w:val="004D2894"/>
    <w:rsid w:val="004D2AC9"/>
    <w:rsid w:val="004D2AFE"/>
    <w:rsid w:val="004D3161"/>
    <w:rsid w:val="004D3467"/>
    <w:rsid w:val="004D3692"/>
    <w:rsid w:val="004D37DF"/>
    <w:rsid w:val="004D3F02"/>
    <w:rsid w:val="004D42E3"/>
    <w:rsid w:val="004D43AC"/>
    <w:rsid w:val="004D4506"/>
    <w:rsid w:val="004D48F2"/>
    <w:rsid w:val="004D58F2"/>
    <w:rsid w:val="004D5A4E"/>
    <w:rsid w:val="004D5F4D"/>
    <w:rsid w:val="004D5F92"/>
    <w:rsid w:val="004D6148"/>
    <w:rsid w:val="004D6836"/>
    <w:rsid w:val="004D69B6"/>
    <w:rsid w:val="004D69C7"/>
    <w:rsid w:val="004D6B81"/>
    <w:rsid w:val="004D6C6D"/>
    <w:rsid w:val="004D6DC4"/>
    <w:rsid w:val="004D6FA7"/>
    <w:rsid w:val="004D721E"/>
    <w:rsid w:val="004D747D"/>
    <w:rsid w:val="004D789E"/>
    <w:rsid w:val="004D79BC"/>
    <w:rsid w:val="004D7C13"/>
    <w:rsid w:val="004E0433"/>
    <w:rsid w:val="004E066C"/>
    <w:rsid w:val="004E0B3E"/>
    <w:rsid w:val="004E0B9D"/>
    <w:rsid w:val="004E0CA8"/>
    <w:rsid w:val="004E0DB0"/>
    <w:rsid w:val="004E0F71"/>
    <w:rsid w:val="004E1041"/>
    <w:rsid w:val="004E1418"/>
    <w:rsid w:val="004E1890"/>
    <w:rsid w:val="004E1DE3"/>
    <w:rsid w:val="004E1E63"/>
    <w:rsid w:val="004E22A6"/>
    <w:rsid w:val="004E26FB"/>
    <w:rsid w:val="004E28F4"/>
    <w:rsid w:val="004E2D9E"/>
    <w:rsid w:val="004E2E71"/>
    <w:rsid w:val="004E3353"/>
    <w:rsid w:val="004E33E8"/>
    <w:rsid w:val="004E36B2"/>
    <w:rsid w:val="004E3952"/>
    <w:rsid w:val="004E3B27"/>
    <w:rsid w:val="004E3D94"/>
    <w:rsid w:val="004E3E76"/>
    <w:rsid w:val="004E469D"/>
    <w:rsid w:val="004E485D"/>
    <w:rsid w:val="004E4E67"/>
    <w:rsid w:val="004E4F44"/>
    <w:rsid w:val="004E4F9C"/>
    <w:rsid w:val="004E54B4"/>
    <w:rsid w:val="004E5527"/>
    <w:rsid w:val="004E5770"/>
    <w:rsid w:val="004E5902"/>
    <w:rsid w:val="004E5DC6"/>
    <w:rsid w:val="004E6180"/>
    <w:rsid w:val="004E6379"/>
    <w:rsid w:val="004E6B95"/>
    <w:rsid w:val="004E7232"/>
    <w:rsid w:val="004E7615"/>
    <w:rsid w:val="004E7CF4"/>
    <w:rsid w:val="004E7FB8"/>
    <w:rsid w:val="004F0658"/>
    <w:rsid w:val="004F09AB"/>
    <w:rsid w:val="004F0C80"/>
    <w:rsid w:val="004F0CCB"/>
    <w:rsid w:val="004F0ECE"/>
    <w:rsid w:val="004F0F01"/>
    <w:rsid w:val="004F0F5B"/>
    <w:rsid w:val="004F1154"/>
    <w:rsid w:val="004F1174"/>
    <w:rsid w:val="004F18B3"/>
    <w:rsid w:val="004F2365"/>
    <w:rsid w:val="004F237E"/>
    <w:rsid w:val="004F23CC"/>
    <w:rsid w:val="004F2738"/>
    <w:rsid w:val="004F2B29"/>
    <w:rsid w:val="004F34BA"/>
    <w:rsid w:val="004F362B"/>
    <w:rsid w:val="004F38D8"/>
    <w:rsid w:val="004F3BE6"/>
    <w:rsid w:val="004F3F65"/>
    <w:rsid w:val="004F4222"/>
    <w:rsid w:val="004F4D3E"/>
    <w:rsid w:val="004F4E6E"/>
    <w:rsid w:val="004F51C3"/>
    <w:rsid w:val="004F54AE"/>
    <w:rsid w:val="004F5A3F"/>
    <w:rsid w:val="004F5DAF"/>
    <w:rsid w:val="004F5E6C"/>
    <w:rsid w:val="004F6A58"/>
    <w:rsid w:val="004F6ECC"/>
    <w:rsid w:val="004F71A8"/>
    <w:rsid w:val="004F7899"/>
    <w:rsid w:val="004F7F62"/>
    <w:rsid w:val="005001DA"/>
    <w:rsid w:val="0050043B"/>
    <w:rsid w:val="0050063C"/>
    <w:rsid w:val="00500B6F"/>
    <w:rsid w:val="0050105A"/>
    <w:rsid w:val="0050160A"/>
    <w:rsid w:val="00501B16"/>
    <w:rsid w:val="00501C4E"/>
    <w:rsid w:val="0050201B"/>
    <w:rsid w:val="005021AC"/>
    <w:rsid w:val="00502290"/>
    <w:rsid w:val="005023CA"/>
    <w:rsid w:val="0050244F"/>
    <w:rsid w:val="0050249C"/>
    <w:rsid w:val="00502795"/>
    <w:rsid w:val="005027ED"/>
    <w:rsid w:val="0050281D"/>
    <w:rsid w:val="0050289B"/>
    <w:rsid w:val="0050294E"/>
    <w:rsid w:val="00502C5E"/>
    <w:rsid w:val="00502F17"/>
    <w:rsid w:val="00503103"/>
    <w:rsid w:val="00503159"/>
    <w:rsid w:val="00503702"/>
    <w:rsid w:val="0050375C"/>
    <w:rsid w:val="00503777"/>
    <w:rsid w:val="005038AC"/>
    <w:rsid w:val="00503ACD"/>
    <w:rsid w:val="00503B33"/>
    <w:rsid w:val="00504029"/>
    <w:rsid w:val="005040D3"/>
    <w:rsid w:val="0050460D"/>
    <w:rsid w:val="00504806"/>
    <w:rsid w:val="005049D9"/>
    <w:rsid w:val="00504CE5"/>
    <w:rsid w:val="0050557F"/>
    <w:rsid w:val="00505586"/>
    <w:rsid w:val="0050571D"/>
    <w:rsid w:val="0050578F"/>
    <w:rsid w:val="005058AA"/>
    <w:rsid w:val="00505C4D"/>
    <w:rsid w:val="00505F26"/>
    <w:rsid w:val="005067A1"/>
    <w:rsid w:val="00506AB7"/>
    <w:rsid w:val="00506CD2"/>
    <w:rsid w:val="00506D65"/>
    <w:rsid w:val="00506DF5"/>
    <w:rsid w:val="00507E4B"/>
    <w:rsid w:val="005101FC"/>
    <w:rsid w:val="00510AF8"/>
    <w:rsid w:val="00510BA4"/>
    <w:rsid w:val="00510D6D"/>
    <w:rsid w:val="00510F72"/>
    <w:rsid w:val="0051103F"/>
    <w:rsid w:val="0051128C"/>
    <w:rsid w:val="0051131E"/>
    <w:rsid w:val="00511581"/>
    <w:rsid w:val="005116E3"/>
    <w:rsid w:val="00511A68"/>
    <w:rsid w:val="00511B37"/>
    <w:rsid w:val="00511CEB"/>
    <w:rsid w:val="00511E8D"/>
    <w:rsid w:val="00511F95"/>
    <w:rsid w:val="0051247E"/>
    <w:rsid w:val="0051258C"/>
    <w:rsid w:val="005125E6"/>
    <w:rsid w:val="00512B3B"/>
    <w:rsid w:val="00512BFE"/>
    <w:rsid w:val="00512DC0"/>
    <w:rsid w:val="00512FD7"/>
    <w:rsid w:val="00513064"/>
    <w:rsid w:val="005135F5"/>
    <w:rsid w:val="005145F8"/>
    <w:rsid w:val="0051494B"/>
    <w:rsid w:val="005149F6"/>
    <w:rsid w:val="00514B22"/>
    <w:rsid w:val="00514D75"/>
    <w:rsid w:val="00514FF7"/>
    <w:rsid w:val="00515014"/>
    <w:rsid w:val="00515459"/>
    <w:rsid w:val="00515631"/>
    <w:rsid w:val="005156AD"/>
    <w:rsid w:val="00515818"/>
    <w:rsid w:val="005159A3"/>
    <w:rsid w:val="005159AE"/>
    <w:rsid w:val="00515CBE"/>
    <w:rsid w:val="00515EE7"/>
    <w:rsid w:val="00516333"/>
    <w:rsid w:val="0051675B"/>
    <w:rsid w:val="005168AF"/>
    <w:rsid w:val="005169AF"/>
    <w:rsid w:val="00516A2E"/>
    <w:rsid w:val="00516CF2"/>
    <w:rsid w:val="00516E9A"/>
    <w:rsid w:val="005178C7"/>
    <w:rsid w:val="00517917"/>
    <w:rsid w:val="0051794C"/>
    <w:rsid w:val="00517C5E"/>
    <w:rsid w:val="00517E19"/>
    <w:rsid w:val="00517E6E"/>
    <w:rsid w:val="00520019"/>
    <w:rsid w:val="00520244"/>
    <w:rsid w:val="0052035F"/>
    <w:rsid w:val="005204A5"/>
    <w:rsid w:val="00520809"/>
    <w:rsid w:val="00520BE8"/>
    <w:rsid w:val="00520E2B"/>
    <w:rsid w:val="00521039"/>
    <w:rsid w:val="005210FE"/>
    <w:rsid w:val="00521439"/>
    <w:rsid w:val="00521E22"/>
    <w:rsid w:val="00521E31"/>
    <w:rsid w:val="00521F9B"/>
    <w:rsid w:val="00522321"/>
    <w:rsid w:val="0052307D"/>
    <w:rsid w:val="005239C1"/>
    <w:rsid w:val="00523BF3"/>
    <w:rsid w:val="005240C7"/>
    <w:rsid w:val="0052442F"/>
    <w:rsid w:val="005244FD"/>
    <w:rsid w:val="00524811"/>
    <w:rsid w:val="00524A21"/>
    <w:rsid w:val="00524B9F"/>
    <w:rsid w:val="005252AE"/>
    <w:rsid w:val="005252F4"/>
    <w:rsid w:val="0052531D"/>
    <w:rsid w:val="00525437"/>
    <w:rsid w:val="00525515"/>
    <w:rsid w:val="0052575A"/>
    <w:rsid w:val="0052593B"/>
    <w:rsid w:val="00525D38"/>
    <w:rsid w:val="00525DEC"/>
    <w:rsid w:val="00525ED8"/>
    <w:rsid w:val="00525EDC"/>
    <w:rsid w:val="00526558"/>
    <w:rsid w:val="0052693B"/>
    <w:rsid w:val="00526E6D"/>
    <w:rsid w:val="00527238"/>
    <w:rsid w:val="00527551"/>
    <w:rsid w:val="005275AF"/>
    <w:rsid w:val="005276A3"/>
    <w:rsid w:val="0052791F"/>
    <w:rsid w:val="00530094"/>
    <w:rsid w:val="0053054F"/>
    <w:rsid w:val="0053075F"/>
    <w:rsid w:val="005308A0"/>
    <w:rsid w:val="00530C41"/>
    <w:rsid w:val="00530D76"/>
    <w:rsid w:val="005312B8"/>
    <w:rsid w:val="005318DB"/>
    <w:rsid w:val="00531A27"/>
    <w:rsid w:val="005322DA"/>
    <w:rsid w:val="0053231B"/>
    <w:rsid w:val="0053285C"/>
    <w:rsid w:val="005328E4"/>
    <w:rsid w:val="00532A6B"/>
    <w:rsid w:val="00532C0A"/>
    <w:rsid w:val="00532C5B"/>
    <w:rsid w:val="00532C8D"/>
    <w:rsid w:val="00532CDB"/>
    <w:rsid w:val="00532EF2"/>
    <w:rsid w:val="00532F1A"/>
    <w:rsid w:val="00532FF6"/>
    <w:rsid w:val="005331E0"/>
    <w:rsid w:val="005332BC"/>
    <w:rsid w:val="0053361F"/>
    <w:rsid w:val="00533676"/>
    <w:rsid w:val="00533B0F"/>
    <w:rsid w:val="00533B1D"/>
    <w:rsid w:val="00533C72"/>
    <w:rsid w:val="00533DE0"/>
    <w:rsid w:val="00533F87"/>
    <w:rsid w:val="0053459C"/>
    <w:rsid w:val="005345FD"/>
    <w:rsid w:val="005349A0"/>
    <w:rsid w:val="00534A04"/>
    <w:rsid w:val="00534C81"/>
    <w:rsid w:val="00534CD9"/>
    <w:rsid w:val="00534D58"/>
    <w:rsid w:val="00534E3C"/>
    <w:rsid w:val="00534E5C"/>
    <w:rsid w:val="00534E95"/>
    <w:rsid w:val="005357DB"/>
    <w:rsid w:val="00535A1E"/>
    <w:rsid w:val="00535B03"/>
    <w:rsid w:val="00535F09"/>
    <w:rsid w:val="00536010"/>
    <w:rsid w:val="0053681E"/>
    <w:rsid w:val="0053690B"/>
    <w:rsid w:val="00537296"/>
    <w:rsid w:val="005374E9"/>
    <w:rsid w:val="00537A82"/>
    <w:rsid w:val="00537C2E"/>
    <w:rsid w:val="00537CBB"/>
    <w:rsid w:val="00540130"/>
    <w:rsid w:val="005403BB"/>
    <w:rsid w:val="0054061F"/>
    <w:rsid w:val="00540B0F"/>
    <w:rsid w:val="005414AB"/>
    <w:rsid w:val="005414DC"/>
    <w:rsid w:val="005415C3"/>
    <w:rsid w:val="00541BBF"/>
    <w:rsid w:val="00542A54"/>
    <w:rsid w:val="00542D47"/>
    <w:rsid w:val="00542FD5"/>
    <w:rsid w:val="005434B4"/>
    <w:rsid w:val="005434C8"/>
    <w:rsid w:val="00543DC4"/>
    <w:rsid w:val="00543F8F"/>
    <w:rsid w:val="00543FD7"/>
    <w:rsid w:val="005441BB"/>
    <w:rsid w:val="005443CE"/>
    <w:rsid w:val="005444D1"/>
    <w:rsid w:val="005446AA"/>
    <w:rsid w:val="005448D3"/>
    <w:rsid w:val="00544E55"/>
    <w:rsid w:val="00545307"/>
    <w:rsid w:val="00545366"/>
    <w:rsid w:val="00545708"/>
    <w:rsid w:val="00545793"/>
    <w:rsid w:val="00545AC6"/>
    <w:rsid w:val="00545E70"/>
    <w:rsid w:val="00546194"/>
    <w:rsid w:val="00546342"/>
    <w:rsid w:val="005467FE"/>
    <w:rsid w:val="00546B32"/>
    <w:rsid w:val="00546B67"/>
    <w:rsid w:val="00546D85"/>
    <w:rsid w:val="00546FB9"/>
    <w:rsid w:val="00547459"/>
    <w:rsid w:val="00547591"/>
    <w:rsid w:val="00547715"/>
    <w:rsid w:val="00547AD0"/>
    <w:rsid w:val="00547E0E"/>
    <w:rsid w:val="00547E44"/>
    <w:rsid w:val="005503DF"/>
    <w:rsid w:val="005507A1"/>
    <w:rsid w:val="00550EEA"/>
    <w:rsid w:val="00550FD6"/>
    <w:rsid w:val="005515AA"/>
    <w:rsid w:val="00551929"/>
    <w:rsid w:val="00551AFF"/>
    <w:rsid w:val="00552089"/>
    <w:rsid w:val="0055213F"/>
    <w:rsid w:val="00552158"/>
    <w:rsid w:val="00552361"/>
    <w:rsid w:val="00552441"/>
    <w:rsid w:val="00552637"/>
    <w:rsid w:val="0055270C"/>
    <w:rsid w:val="00552C1C"/>
    <w:rsid w:val="00552C3C"/>
    <w:rsid w:val="00552DE3"/>
    <w:rsid w:val="00552F89"/>
    <w:rsid w:val="00553265"/>
    <w:rsid w:val="00553382"/>
    <w:rsid w:val="005535DF"/>
    <w:rsid w:val="0055371B"/>
    <w:rsid w:val="005537AC"/>
    <w:rsid w:val="00553EFA"/>
    <w:rsid w:val="00554258"/>
    <w:rsid w:val="00554416"/>
    <w:rsid w:val="00554483"/>
    <w:rsid w:val="0055487D"/>
    <w:rsid w:val="0055496E"/>
    <w:rsid w:val="00554E27"/>
    <w:rsid w:val="00555393"/>
    <w:rsid w:val="00555680"/>
    <w:rsid w:val="00555CA2"/>
    <w:rsid w:val="00555F01"/>
    <w:rsid w:val="00555F20"/>
    <w:rsid w:val="0055668A"/>
    <w:rsid w:val="0055678D"/>
    <w:rsid w:val="00556A55"/>
    <w:rsid w:val="00557051"/>
    <w:rsid w:val="005573D9"/>
    <w:rsid w:val="005576B1"/>
    <w:rsid w:val="00557702"/>
    <w:rsid w:val="005577B4"/>
    <w:rsid w:val="00557838"/>
    <w:rsid w:val="00557905"/>
    <w:rsid w:val="00557FB8"/>
    <w:rsid w:val="005604B5"/>
    <w:rsid w:val="005604C8"/>
    <w:rsid w:val="00560687"/>
    <w:rsid w:val="005606E4"/>
    <w:rsid w:val="00560F29"/>
    <w:rsid w:val="005611FE"/>
    <w:rsid w:val="00561476"/>
    <w:rsid w:val="00561A34"/>
    <w:rsid w:val="00561BD2"/>
    <w:rsid w:val="00561D8A"/>
    <w:rsid w:val="00562100"/>
    <w:rsid w:val="00562956"/>
    <w:rsid w:val="00562CB9"/>
    <w:rsid w:val="005630CE"/>
    <w:rsid w:val="00563162"/>
    <w:rsid w:val="005634B2"/>
    <w:rsid w:val="005635F3"/>
    <w:rsid w:val="00563814"/>
    <w:rsid w:val="005638A2"/>
    <w:rsid w:val="005638FA"/>
    <w:rsid w:val="00563963"/>
    <w:rsid w:val="00563E9F"/>
    <w:rsid w:val="005641BE"/>
    <w:rsid w:val="005643A1"/>
    <w:rsid w:val="005644AC"/>
    <w:rsid w:val="00564EA1"/>
    <w:rsid w:val="00565325"/>
    <w:rsid w:val="00565357"/>
    <w:rsid w:val="0056560F"/>
    <w:rsid w:val="0056577E"/>
    <w:rsid w:val="00565D3C"/>
    <w:rsid w:val="005660B3"/>
    <w:rsid w:val="00566200"/>
    <w:rsid w:val="00566372"/>
    <w:rsid w:val="005667CB"/>
    <w:rsid w:val="005669B9"/>
    <w:rsid w:val="00566F35"/>
    <w:rsid w:val="00567212"/>
    <w:rsid w:val="0056725E"/>
    <w:rsid w:val="0056771F"/>
    <w:rsid w:val="00567A2E"/>
    <w:rsid w:val="00567A89"/>
    <w:rsid w:val="00567EAD"/>
    <w:rsid w:val="00570094"/>
    <w:rsid w:val="0057077E"/>
    <w:rsid w:val="0057085E"/>
    <w:rsid w:val="00571ABD"/>
    <w:rsid w:val="00571BF2"/>
    <w:rsid w:val="0057245F"/>
    <w:rsid w:val="005725A1"/>
    <w:rsid w:val="005726B2"/>
    <w:rsid w:val="0057275F"/>
    <w:rsid w:val="0057279C"/>
    <w:rsid w:val="005728E8"/>
    <w:rsid w:val="00572EED"/>
    <w:rsid w:val="00572F35"/>
    <w:rsid w:val="00572F76"/>
    <w:rsid w:val="00572FD5"/>
    <w:rsid w:val="005735E2"/>
    <w:rsid w:val="005736A4"/>
    <w:rsid w:val="00573872"/>
    <w:rsid w:val="00573D7E"/>
    <w:rsid w:val="005740E9"/>
    <w:rsid w:val="005746D5"/>
    <w:rsid w:val="00574765"/>
    <w:rsid w:val="00574E3F"/>
    <w:rsid w:val="0057585A"/>
    <w:rsid w:val="00575B10"/>
    <w:rsid w:val="00575CB7"/>
    <w:rsid w:val="00575CDE"/>
    <w:rsid w:val="00575E04"/>
    <w:rsid w:val="005764B7"/>
    <w:rsid w:val="00576966"/>
    <w:rsid w:val="00576B85"/>
    <w:rsid w:val="005771D9"/>
    <w:rsid w:val="005771E6"/>
    <w:rsid w:val="0057773B"/>
    <w:rsid w:val="0057797C"/>
    <w:rsid w:val="00580709"/>
    <w:rsid w:val="0058094E"/>
    <w:rsid w:val="00580D64"/>
    <w:rsid w:val="00580E1F"/>
    <w:rsid w:val="00580F5E"/>
    <w:rsid w:val="005816DD"/>
    <w:rsid w:val="005818EF"/>
    <w:rsid w:val="005819AE"/>
    <w:rsid w:val="00581F86"/>
    <w:rsid w:val="005822B2"/>
    <w:rsid w:val="00582AFD"/>
    <w:rsid w:val="00582BDF"/>
    <w:rsid w:val="00582C92"/>
    <w:rsid w:val="00582DCB"/>
    <w:rsid w:val="00582E24"/>
    <w:rsid w:val="00582FF3"/>
    <w:rsid w:val="00583372"/>
    <w:rsid w:val="0058339A"/>
    <w:rsid w:val="00583A23"/>
    <w:rsid w:val="00583ADA"/>
    <w:rsid w:val="00583F30"/>
    <w:rsid w:val="00583FE4"/>
    <w:rsid w:val="00584353"/>
    <w:rsid w:val="00584355"/>
    <w:rsid w:val="00584717"/>
    <w:rsid w:val="005849FA"/>
    <w:rsid w:val="00584C5A"/>
    <w:rsid w:val="00584CE8"/>
    <w:rsid w:val="0058530D"/>
    <w:rsid w:val="00585360"/>
    <w:rsid w:val="00585380"/>
    <w:rsid w:val="00585465"/>
    <w:rsid w:val="00585566"/>
    <w:rsid w:val="0058558B"/>
    <w:rsid w:val="0058584D"/>
    <w:rsid w:val="00585D1A"/>
    <w:rsid w:val="00585F50"/>
    <w:rsid w:val="005862D2"/>
    <w:rsid w:val="00586455"/>
    <w:rsid w:val="00586770"/>
    <w:rsid w:val="00586ED5"/>
    <w:rsid w:val="005873A3"/>
    <w:rsid w:val="00587430"/>
    <w:rsid w:val="005876A5"/>
    <w:rsid w:val="00587761"/>
    <w:rsid w:val="00587A08"/>
    <w:rsid w:val="00587AD1"/>
    <w:rsid w:val="00587B4F"/>
    <w:rsid w:val="00587C60"/>
    <w:rsid w:val="00587D2F"/>
    <w:rsid w:val="00590291"/>
    <w:rsid w:val="00590413"/>
    <w:rsid w:val="005908D7"/>
    <w:rsid w:val="005909FF"/>
    <w:rsid w:val="005910E2"/>
    <w:rsid w:val="00591179"/>
    <w:rsid w:val="005914E8"/>
    <w:rsid w:val="0059161E"/>
    <w:rsid w:val="00591A9E"/>
    <w:rsid w:val="00591DC8"/>
    <w:rsid w:val="0059222B"/>
    <w:rsid w:val="00592586"/>
    <w:rsid w:val="00592835"/>
    <w:rsid w:val="00592A57"/>
    <w:rsid w:val="00592BB2"/>
    <w:rsid w:val="00592D46"/>
    <w:rsid w:val="00592D79"/>
    <w:rsid w:val="00592E70"/>
    <w:rsid w:val="00592F33"/>
    <w:rsid w:val="00593059"/>
    <w:rsid w:val="0059343B"/>
    <w:rsid w:val="005936D7"/>
    <w:rsid w:val="0059382E"/>
    <w:rsid w:val="00593F0F"/>
    <w:rsid w:val="00594027"/>
    <w:rsid w:val="00594421"/>
    <w:rsid w:val="00594484"/>
    <w:rsid w:val="00594924"/>
    <w:rsid w:val="005950FC"/>
    <w:rsid w:val="005953A0"/>
    <w:rsid w:val="00595854"/>
    <w:rsid w:val="0059585F"/>
    <w:rsid w:val="0059595A"/>
    <w:rsid w:val="00595B0F"/>
    <w:rsid w:val="00595C33"/>
    <w:rsid w:val="00595C3D"/>
    <w:rsid w:val="0059725A"/>
    <w:rsid w:val="00597263"/>
    <w:rsid w:val="0059783C"/>
    <w:rsid w:val="005978C3"/>
    <w:rsid w:val="00597BB4"/>
    <w:rsid w:val="005A01F2"/>
    <w:rsid w:val="005A070F"/>
    <w:rsid w:val="005A0E57"/>
    <w:rsid w:val="005A0F16"/>
    <w:rsid w:val="005A0F40"/>
    <w:rsid w:val="005A1023"/>
    <w:rsid w:val="005A1435"/>
    <w:rsid w:val="005A1680"/>
    <w:rsid w:val="005A1B40"/>
    <w:rsid w:val="005A1C3A"/>
    <w:rsid w:val="005A1D8A"/>
    <w:rsid w:val="005A1EA2"/>
    <w:rsid w:val="005A2296"/>
    <w:rsid w:val="005A259E"/>
    <w:rsid w:val="005A2836"/>
    <w:rsid w:val="005A290D"/>
    <w:rsid w:val="005A3090"/>
    <w:rsid w:val="005A31E8"/>
    <w:rsid w:val="005A3549"/>
    <w:rsid w:val="005A3B38"/>
    <w:rsid w:val="005A3CD5"/>
    <w:rsid w:val="005A3E83"/>
    <w:rsid w:val="005A3EFE"/>
    <w:rsid w:val="005A4150"/>
    <w:rsid w:val="005A4490"/>
    <w:rsid w:val="005A4543"/>
    <w:rsid w:val="005A4817"/>
    <w:rsid w:val="005A48D5"/>
    <w:rsid w:val="005A4959"/>
    <w:rsid w:val="005A49B3"/>
    <w:rsid w:val="005A529B"/>
    <w:rsid w:val="005A52D5"/>
    <w:rsid w:val="005A5378"/>
    <w:rsid w:val="005A54B5"/>
    <w:rsid w:val="005A57CF"/>
    <w:rsid w:val="005A5AC3"/>
    <w:rsid w:val="005A5ECC"/>
    <w:rsid w:val="005A5ED2"/>
    <w:rsid w:val="005A658F"/>
    <w:rsid w:val="005A661B"/>
    <w:rsid w:val="005A661E"/>
    <w:rsid w:val="005A6950"/>
    <w:rsid w:val="005A731D"/>
    <w:rsid w:val="005A738F"/>
    <w:rsid w:val="005A73DC"/>
    <w:rsid w:val="005A7424"/>
    <w:rsid w:val="005A75FC"/>
    <w:rsid w:val="005A764C"/>
    <w:rsid w:val="005A79B9"/>
    <w:rsid w:val="005B017D"/>
    <w:rsid w:val="005B0481"/>
    <w:rsid w:val="005B0780"/>
    <w:rsid w:val="005B0810"/>
    <w:rsid w:val="005B0865"/>
    <w:rsid w:val="005B08F2"/>
    <w:rsid w:val="005B0E04"/>
    <w:rsid w:val="005B15A6"/>
    <w:rsid w:val="005B1B33"/>
    <w:rsid w:val="005B1F3A"/>
    <w:rsid w:val="005B202C"/>
    <w:rsid w:val="005B28B3"/>
    <w:rsid w:val="005B2BDF"/>
    <w:rsid w:val="005B36BE"/>
    <w:rsid w:val="005B3904"/>
    <w:rsid w:val="005B3D3C"/>
    <w:rsid w:val="005B3EFC"/>
    <w:rsid w:val="005B3F92"/>
    <w:rsid w:val="005B40B9"/>
    <w:rsid w:val="005B40FD"/>
    <w:rsid w:val="005B44F4"/>
    <w:rsid w:val="005B4518"/>
    <w:rsid w:val="005B461E"/>
    <w:rsid w:val="005B4946"/>
    <w:rsid w:val="005B4DBD"/>
    <w:rsid w:val="005B4F03"/>
    <w:rsid w:val="005B50F7"/>
    <w:rsid w:val="005B51E9"/>
    <w:rsid w:val="005B57D2"/>
    <w:rsid w:val="005B6467"/>
    <w:rsid w:val="005B6521"/>
    <w:rsid w:val="005B66DA"/>
    <w:rsid w:val="005B68C3"/>
    <w:rsid w:val="005B69AD"/>
    <w:rsid w:val="005B6DA2"/>
    <w:rsid w:val="005B7020"/>
    <w:rsid w:val="005B70EC"/>
    <w:rsid w:val="005B7183"/>
    <w:rsid w:val="005B7348"/>
    <w:rsid w:val="005B74D1"/>
    <w:rsid w:val="005B754C"/>
    <w:rsid w:val="005B771A"/>
    <w:rsid w:val="005B78BC"/>
    <w:rsid w:val="005B7A3C"/>
    <w:rsid w:val="005B7FBA"/>
    <w:rsid w:val="005C0131"/>
    <w:rsid w:val="005C01A3"/>
    <w:rsid w:val="005C02F5"/>
    <w:rsid w:val="005C033A"/>
    <w:rsid w:val="005C0E3A"/>
    <w:rsid w:val="005C0E82"/>
    <w:rsid w:val="005C0F93"/>
    <w:rsid w:val="005C0FBA"/>
    <w:rsid w:val="005C1163"/>
    <w:rsid w:val="005C11A0"/>
    <w:rsid w:val="005C176F"/>
    <w:rsid w:val="005C1BF2"/>
    <w:rsid w:val="005C1C0D"/>
    <w:rsid w:val="005C2224"/>
    <w:rsid w:val="005C2335"/>
    <w:rsid w:val="005C2693"/>
    <w:rsid w:val="005C26AA"/>
    <w:rsid w:val="005C2B8A"/>
    <w:rsid w:val="005C2CC1"/>
    <w:rsid w:val="005C2D14"/>
    <w:rsid w:val="005C2E0C"/>
    <w:rsid w:val="005C33F8"/>
    <w:rsid w:val="005C38D6"/>
    <w:rsid w:val="005C3B27"/>
    <w:rsid w:val="005C42AF"/>
    <w:rsid w:val="005C43D7"/>
    <w:rsid w:val="005C459B"/>
    <w:rsid w:val="005C46F2"/>
    <w:rsid w:val="005C4B5E"/>
    <w:rsid w:val="005C4BC6"/>
    <w:rsid w:val="005C4CA6"/>
    <w:rsid w:val="005C52C5"/>
    <w:rsid w:val="005C54FB"/>
    <w:rsid w:val="005C569F"/>
    <w:rsid w:val="005C5CC2"/>
    <w:rsid w:val="005C5D9D"/>
    <w:rsid w:val="005C609E"/>
    <w:rsid w:val="005C65EB"/>
    <w:rsid w:val="005C6AD5"/>
    <w:rsid w:val="005C6B6F"/>
    <w:rsid w:val="005C6B88"/>
    <w:rsid w:val="005C6BCB"/>
    <w:rsid w:val="005C6E35"/>
    <w:rsid w:val="005C796B"/>
    <w:rsid w:val="005C7C93"/>
    <w:rsid w:val="005C7EF6"/>
    <w:rsid w:val="005C7F51"/>
    <w:rsid w:val="005D0057"/>
    <w:rsid w:val="005D05DF"/>
    <w:rsid w:val="005D0834"/>
    <w:rsid w:val="005D0C13"/>
    <w:rsid w:val="005D0C32"/>
    <w:rsid w:val="005D1248"/>
    <w:rsid w:val="005D12B5"/>
    <w:rsid w:val="005D16D3"/>
    <w:rsid w:val="005D19BE"/>
    <w:rsid w:val="005D1F30"/>
    <w:rsid w:val="005D200F"/>
    <w:rsid w:val="005D204A"/>
    <w:rsid w:val="005D2139"/>
    <w:rsid w:val="005D22F3"/>
    <w:rsid w:val="005D239A"/>
    <w:rsid w:val="005D2461"/>
    <w:rsid w:val="005D24AB"/>
    <w:rsid w:val="005D2528"/>
    <w:rsid w:val="005D253B"/>
    <w:rsid w:val="005D254B"/>
    <w:rsid w:val="005D25A5"/>
    <w:rsid w:val="005D26B6"/>
    <w:rsid w:val="005D2A56"/>
    <w:rsid w:val="005D2E22"/>
    <w:rsid w:val="005D2E60"/>
    <w:rsid w:val="005D343A"/>
    <w:rsid w:val="005D355A"/>
    <w:rsid w:val="005D3562"/>
    <w:rsid w:val="005D360A"/>
    <w:rsid w:val="005D3E13"/>
    <w:rsid w:val="005D3E18"/>
    <w:rsid w:val="005D3F4F"/>
    <w:rsid w:val="005D4070"/>
    <w:rsid w:val="005D4507"/>
    <w:rsid w:val="005D45B3"/>
    <w:rsid w:val="005D4611"/>
    <w:rsid w:val="005D462E"/>
    <w:rsid w:val="005D4664"/>
    <w:rsid w:val="005D49EB"/>
    <w:rsid w:val="005D4F6E"/>
    <w:rsid w:val="005D50CC"/>
    <w:rsid w:val="005D526F"/>
    <w:rsid w:val="005D52E8"/>
    <w:rsid w:val="005D535F"/>
    <w:rsid w:val="005D5384"/>
    <w:rsid w:val="005D589A"/>
    <w:rsid w:val="005D5E28"/>
    <w:rsid w:val="005D5F15"/>
    <w:rsid w:val="005D62F7"/>
    <w:rsid w:val="005D63BF"/>
    <w:rsid w:val="005D64C7"/>
    <w:rsid w:val="005D6654"/>
    <w:rsid w:val="005D6905"/>
    <w:rsid w:val="005D692A"/>
    <w:rsid w:val="005D6D8E"/>
    <w:rsid w:val="005D76EC"/>
    <w:rsid w:val="005D7ADE"/>
    <w:rsid w:val="005D7F64"/>
    <w:rsid w:val="005E00ED"/>
    <w:rsid w:val="005E01BB"/>
    <w:rsid w:val="005E03AE"/>
    <w:rsid w:val="005E059B"/>
    <w:rsid w:val="005E0653"/>
    <w:rsid w:val="005E0925"/>
    <w:rsid w:val="005E09CD"/>
    <w:rsid w:val="005E0D7C"/>
    <w:rsid w:val="005E11CA"/>
    <w:rsid w:val="005E1815"/>
    <w:rsid w:val="005E1874"/>
    <w:rsid w:val="005E1895"/>
    <w:rsid w:val="005E1946"/>
    <w:rsid w:val="005E1D62"/>
    <w:rsid w:val="005E2137"/>
    <w:rsid w:val="005E233B"/>
    <w:rsid w:val="005E24AA"/>
    <w:rsid w:val="005E24B0"/>
    <w:rsid w:val="005E263F"/>
    <w:rsid w:val="005E28D7"/>
    <w:rsid w:val="005E2F31"/>
    <w:rsid w:val="005E3376"/>
    <w:rsid w:val="005E33B0"/>
    <w:rsid w:val="005E3562"/>
    <w:rsid w:val="005E36B3"/>
    <w:rsid w:val="005E3755"/>
    <w:rsid w:val="005E38D2"/>
    <w:rsid w:val="005E4084"/>
    <w:rsid w:val="005E41B1"/>
    <w:rsid w:val="005E42B1"/>
    <w:rsid w:val="005E42EF"/>
    <w:rsid w:val="005E4AC3"/>
    <w:rsid w:val="005E4ACE"/>
    <w:rsid w:val="005E532C"/>
    <w:rsid w:val="005E5702"/>
    <w:rsid w:val="005E6313"/>
    <w:rsid w:val="005E635F"/>
    <w:rsid w:val="005E6571"/>
    <w:rsid w:val="005E6785"/>
    <w:rsid w:val="005E683E"/>
    <w:rsid w:val="005E69B1"/>
    <w:rsid w:val="005E6B37"/>
    <w:rsid w:val="005E6CFF"/>
    <w:rsid w:val="005E6E1E"/>
    <w:rsid w:val="005E6E3A"/>
    <w:rsid w:val="005E71A7"/>
    <w:rsid w:val="005E7238"/>
    <w:rsid w:val="005E73D0"/>
    <w:rsid w:val="005E755E"/>
    <w:rsid w:val="005E76C8"/>
    <w:rsid w:val="005E7C5B"/>
    <w:rsid w:val="005F00A9"/>
    <w:rsid w:val="005F0EC0"/>
    <w:rsid w:val="005F18CB"/>
    <w:rsid w:val="005F1A43"/>
    <w:rsid w:val="005F1CC7"/>
    <w:rsid w:val="005F21A8"/>
    <w:rsid w:val="005F256C"/>
    <w:rsid w:val="005F2609"/>
    <w:rsid w:val="005F2706"/>
    <w:rsid w:val="005F291F"/>
    <w:rsid w:val="005F2AF7"/>
    <w:rsid w:val="005F3933"/>
    <w:rsid w:val="005F3C1A"/>
    <w:rsid w:val="005F4153"/>
    <w:rsid w:val="005F42EB"/>
    <w:rsid w:val="005F44B5"/>
    <w:rsid w:val="005F48AB"/>
    <w:rsid w:val="005F4999"/>
    <w:rsid w:val="005F4A56"/>
    <w:rsid w:val="005F4CF2"/>
    <w:rsid w:val="005F5067"/>
    <w:rsid w:val="005F5595"/>
    <w:rsid w:val="005F5AA1"/>
    <w:rsid w:val="005F5D3F"/>
    <w:rsid w:val="005F6399"/>
    <w:rsid w:val="005F644D"/>
    <w:rsid w:val="005F65E7"/>
    <w:rsid w:val="005F665B"/>
    <w:rsid w:val="005F66B7"/>
    <w:rsid w:val="005F6E85"/>
    <w:rsid w:val="005F71DC"/>
    <w:rsid w:val="005F7851"/>
    <w:rsid w:val="005F792E"/>
    <w:rsid w:val="005F7C5F"/>
    <w:rsid w:val="005FE630"/>
    <w:rsid w:val="00600787"/>
    <w:rsid w:val="0060082E"/>
    <w:rsid w:val="00600BC7"/>
    <w:rsid w:val="00600E50"/>
    <w:rsid w:val="00601077"/>
    <w:rsid w:val="006012C6"/>
    <w:rsid w:val="0060160B"/>
    <w:rsid w:val="00601C36"/>
    <w:rsid w:val="0060212B"/>
    <w:rsid w:val="006021EC"/>
    <w:rsid w:val="00602367"/>
    <w:rsid w:val="00602517"/>
    <w:rsid w:val="00602889"/>
    <w:rsid w:val="00602CC0"/>
    <w:rsid w:val="00602FD1"/>
    <w:rsid w:val="00603056"/>
    <w:rsid w:val="00603081"/>
    <w:rsid w:val="00603179"/>
    <w:rsid w:val="006032E1"/>
    <w:rsid w:val="00603349"/>
    <w:rsid w:val="006036F8"/>
    <w:rsid w:val="00603D3D"/>
    <w:rsid w:val="00603D9C"/>
    <w:rsid w:val="00604567"/>
    <w:rsid w:val="0060456F"/>
    <w:rsid w:val="006048AF"/>
    <w:rsid w:val="00604AEB"/>
    <w:rsid w:val="00604FF6"/>
    <w:rsid w:val="0060502C"/>
    <w:rsid w:val="006052B0"/>
    <w:rsid w:val="00605530"/>
    <w:rsid w:val="0060581D"/>
    <w:rsid w:val="00605DFD"/>
    <w:rsid w:val="00605E8A"/>
    <w:rsid w:val="00605E9F"/>
    <w:rsid w:val="0060600E"/>
    <w:rsid w:val="006064A2"/>
    <w:rsid w:val="006064C6"/>
    <w:rsid w:val="00606559"/>
    <w:rsid w:val="0060678A"/>
    <w:rsid w:val="00606A00"/>
    <w:rsid w:val="00607158"/>
    <w:rsid w:val="006072AE"/>
    <w:rsid w:val="0060784C"/>
    <w:rsid w:val="006078DD"/>
    <w:rsid w:val="0061003A"/>
    <w:rsid w:val="0061025E"/>
    <w:rsid w:val="0061037C"/>
    <w:rsid w:val="0061057D"/>
    <w:rsid w:val="00610711"/>
    <w:rsid w:val="00610889"/>
    <w:rsid w:val="00610CA7"/>
    <w:rsid w:val="00610F36"/>
    <w:rsid w:val="00610F3B"/>
    <w:rsid w:val="00611097"/>
    <w:rsid w:val="006112FD"/>
    <w:rsid w:val="006118EB"/>
    <w:rsid w:val="00611972"/>
    <w:rsid w:val="00611D70"/>
    <w:rsid w:val="00611F64"/>
    <w:rsid w:val="00612453"/>
    <w:rsid w:val="0061246A"/>
    <w:rsid w:val="006126EA"/>
    <w:rsid w:val="00612A2C"/>
    <w:rsid w:val="00612C18"/>
    <w:rsid w:val="00612E1B"/>
    <w:rsid w:val="00612FD5"/>
    <w:rsid w:val="00613078"/>
    <w:rsid w:val="0061333C"/>
    <w:rsid w:val="0061377C"/>
    <w:rsid w:val="0061389A"/>
    <w:rsid w:val="00613F07"/>
    <w:rsid w:val="00614209"/>
    <w:rsid w:val="00614879"/>
    <w:rsid w:val="00614B13"/>
    <w:rsid w:val="00614C7C"/>
    <w:rsid w:val="00614E96"/>
    <w:rsid w:val="00614F4B"/>
    <w:rsid w:val="00615474"/>
    <w:rsid w:val="0061551F"/>
    <w:rsid w:val="00615661"/>
    <w:rsid w:val="00615870"/>
    <w:rsid w:val="00615B2A"/>
    <w:rsid w:val="00615EDB"/>
    <w:rsid w:val="006163A8"/>
    <w:rsid w:val="00616630"/>
    <w:rsid w:val="006169AA"/>
    <w:rsid w:val="00616B65"/>
    <w:rsid w:val="00616F16"/>
    <w:rsid w:val="00617CF6"/>
    <w:rsid w:val="006200A7"/>
    <w:rsid w:val="00620201"/>
    <w:rsid w:val="00620317"/>
    <w:rsid w:val="0062054A"/>
    <w:rsid w:val="00620556"/>
    <w:rsid w:val="0062085A"/>
    <w:rsid w:val="00621390"/>
    <w:rsid w:val="00621760"/>
    <w:rsid w:val="0062233F"/>
    <w:rsid w:val="00622596"/>
    <w:rsid w:val="00622706"/>
    <w:rsid w:val="00622947"/>
    <w:rsid w:val="00622EC5"/>
    <w:rsid w:val="00622F54"/>
    <w:rsid w:val="006230C9"/>
    <w:rsid w:val="0062355D"/>
    <w:rsid w:val="00623904"/>
    <w:rsid w:val="00623A45"/>
    <w:rsid w:val="00623AA3"/>
    <w:rsid w:val="00623F49"/>
    <w:rsid w:val="0062408E"/>
    <w:rsid w:val="006240AB"/>
    <w:rsid w:val="006242DF"/>
    <w:rsid w:val="00624466"/>
    <w:rsid w:val="006244E0"/>
    <w:rsid w:val="0062478D"/>
    <w:rsid w:val="00624B23"/>
    <w:rsid w:val="00624D9B"/>
    <w:rsid w:val="00624EFB"/>
    <w:rsid w:val="0062514C"/>
    <w:rsid w:val="00625344"/>
    <w:rsid w:val="006253BD"/>
    <w:rsid w:val="006253C9"/>
    <w:rsid w:val="006254AA"/>
    <w:rsid w:val="006255F2"/>
    <w:rsid w:val="00625CDE"/>
    <w:rsid w:val="00626063"/>
    <w:rsid w:val="00626A2C"/>
    <w:rsid w:val="00626F93"/>
    <w:rsid w:val="00627110"/>
    <w:rsid w:val="006276BD"/>
    <w:rsid w:val="006303A5"/>
    <w:rsid w:val="006305D9"/>
    <w:rsid w:val="006305E9"/>
    <w:rsid w:val="0063089E"/>
    <w:rsid w:val="00630B68"/>
    <w:rsid w:val="0063114D"/>
    <w:rsid w:val="006314B1"/>
    <w:rsid w:val="0063181E"/>
    <w:rsid w:val="00631E8A"/>
    <w:rsid w:val="00632625"/>
    <w:rsid w:val="00632970"/>
    <w:rsid w:val="00632BA8"/>
    <w:rsid w:val="00632BD0"/>
    <w:rsid w:val="0063309C"/>
    <w:rsid w:val="00633254"/>
    <w:rsid w:val="0063337F"/>
    <w:rsid w:val="00633395"/>
    <w:rsid w:val="006338C9"/>
    <w:rsid w:val="006339FF"/>
    <w:rsid w:val="00633B01"/>
    <w:rsid w:val="00633C9F"/>
    <w:rsid w:val="00633D32"/>
    <w:rsid w:val="00633D49"/>
    <w:rsid w:val="00633EDD"/>
    <w:rsid w:val="00633F30"/>
    <w:rsid w:val="00634129"/>
    <w:rsid w:val="0063450C"/>
    <w:rsid w:val="006345B6"/>
    <w:rsid w:val="0063474D"/>
    <w:rsid w:val="0063480D"/>
    <w:rsid w:val="00635201"/>
    <w:rsid w:val="00635269"/>
    <w:rsid w:val="006354CE"/>
    <w:rsid w:val="0063552A"/>
    <w:rsid w:val="006357EE"/>
    <w:rsid w:val="00635FAA"/>
    <w:rsid w:val="0063649A"/>
    <w:rsid w:val="006368B5"/>
    <w:rsid w:val="00636901"/>
    <w:rsid w:val="00636B95"/>
    <w:rsid w:val="00636E50"/>
    <w:rsid w:val="00636EB5"/>
    <w:rsid w:val="006372D1"/>
    <w:rsid w:val="006372E0"/>
    <w:rsid w:val="0063735F"/>
    <w:rsid w:val="0063747B"/>
    <w:rsid w:val="0063754B"/>
    <w:rsid w:val="00637B61"/>
    <w:rsid w:val="0064013A"/>
    <w:rsid w:val="006409A6"/>
    <w:rsid w:val="006409E3"/>
    <w:rsid w:val="00640D4D"/>
    <w:rsid w:val="00640DA0"/>
    <w:rsid w:val="00641527"/>
    <w:rsid w:val="00641E8E"/>
    <w:rsid w:val="006421D5"/>
    <w:rsid w:val="006421F3"/>
    <w:rsid w:val="006422BF"/>
    <w:rsid w:val="0064248F"/>
    <w:rsid w:val="0064255D"/>
    <w:rsid w:val="00642600"/>
    <w:rsid w:val="006427FB"/>
    <w:rsid w:val="00642A36"/>
    <w:rsid w:val="00642D6A"/>
    <w:rsid w:val="00643438"/>
    <w:rsid w:val="0064344B"/>
    <w:rsid w:val="00643518"/>
    <w:rsid w:val="0064361E"/>
    <w:rsid w:val="0064362D"/>
    <w:rsid w:val="00643934"/>
    <w:rsid w:val="00643985"/>
    <w:rsid w:val="00643AD4"/>
    <w:rsid w:val="00643D16"/>
    <w:rsid w:val="006440AF"/>
    <w:rsid w:val="00644BE9"/>
    <w:rsid w:val="00644E78"/>
    <w:rsid w:val="006451D2"/>
    <w:rsid w:val="0064543A"/>
    <w:rsid w:val="00645696"/>
    <w:rsid w:val="00645A47"/>
    <w:rsid w:val="00645AF5"/>
    <w:rsid w:val="00645B2A"/>
    <w:rsid w:val="006462AE"/>
    <w:rsid w:val="006468A9"/>
    <w:rsid w:val="0064695D"/>
    <w:rsid w:val="00646F72"/>
    <w:rsid w:val="00650093"/>
    <w:rsid w:val="0065061C"/>
    <w:rsid w:val="006506A1"/>
    <w:rsid w:val="0065074B"/>
    <w:rsid w:val="006509B0"/>
    <w:rsid w:val="00650FA5"/>
    <w:rsid w:val="0065120E"/>
    <w:rsid w:val="00651B40"/>
    <w:rsid w:val="00651C72"/>
    <w:rsid w:val="00651D1D"/>
    <w:rsid w:val="00651E11"/>
    <w:rsid w:val="0065200F"/>
    <w:rsid w:val="006521A1"/>
    <w:rsid w:val="00652473"/>
    <w:rsid w:val="00652657"/>
    <w:rsid w:val="00652692"/>
    <w:rsid w:val="00652B0D"/>
    <w:rsid w:val="0065314E"/>
    <w:rsid w:val="00653257"/>
    <w:rsid w:val="00653500"/>
    <w:rsid w:val="006535DE"/>
    <w:rsid w:val="006535F3"/>
    <w:rsid w:val="00653847"/>
    <w:rsid w:val="00653C33"/>
    <w:rsid w:val="00653CEA"/>
    <w:rsid w:val="00653D8F"/>
    <w:rsid w:val="00653DE5"/>
    <w:rsid w:val="00653EAB"/>
    <w:rsid w:val="00653F5E"/>
    <w:rsid w:val="00653F8F"/>
    <w:rsid w:val="00654091"/>
    <w:rsid w:val="0065443D"/>
    <w:rsid w:val="00654B4C"/>
    <w:rsid w:val="00655202"/>
    <w:rsid w:val="006556D2"/>
    <w:rsid w:val="0065576A"/>
    <w:rsid w:val="00655FE7"/>
    <w:rsid w:val="006562C4"/>
    <w:rsid w:val="006565B6"/>
    <w:rsid w:val="00657718"/>
    <w:rsid w:val="006605C7"/>
    <w:rsid w:val="00660A3C"/>
    <w:rsid w:val="00660B08"/>
    <w:rsid w:val="00660E8C"/>
    <w:rsid w:val="006613AC"/>
    <w:rsid w:val="0066141B"/>
    <w:rsid w:val="00661539"/>
    <w:rsid w:val="00661573"/>
    <w:rsid w:val="00661691"/>
    <w:rsid w:val="00661DBB"/>
    <w:rsid w:val="00662360"/>
    <w:rsid w:val="00662A28"/>
    <w:rsid w:val="00662F70"/>
    <w:rsid w:val="00662FAE"/>
    <w:rsid w:val="006630AA"/>
    <w:rsid w:val="0066314E"/>
    <w:rsid w:val="006631D2"/>
    <w:rsid w:val="006631FA"/>
    <w:rsid w:val="00663284"/>
    <w:rsid w:val="006632BD"/>
    <w:rsid w:val="00663FB9"/>
    <w:rsid w:val="006645E2"/>
    <w:rsid w:val="00664CEC"/>
    <w:rsid w:val="00664E51"/>
    <w:rsid w:val="00664EDB"/>
    <w:rsid w:val="0066520D"/>
    <w:rsid w:val="006652BA"/>
    <w:rsid w:val="006657B4"/>
    <w:rsid w:val="00665B52"/>
    <w:rsid w:val="00665E6F"/>
    <w:rsid w:val="00666417"/>
    <w:rsid w:val="00666867"/>
    <w:rsid w:val="00666877"/>
    <w:rsid w:val="00666B9B"/>
    <w:rsid w:val="00667900"/>
    <w:rsid w:val="00667B37"/>
    <w:rsid w:val="00667BE2"/>
    <w:rsid w:val="00670058"/>
    <w:rsid w:val="00670515"/>
    <w:rsid w:val="006706CC"/>
    <w:rsid w:val="00670B1B"/>
    <w:rsid w:val="006716A8"/>
    <w:rsid w:val="006717FD"/>
    <w:rsid w:val="00671D75"/>
    <w:rsid w:val="00671FC3"/>
    <w:rsid w:val="0067220A"/>
    <w:rsid w:val="0067234D"/>
    <w:rsid w:val="00672652"/>
    <w:rsid w:val="006726B1"/>
    <w:rsid w:val="006726B7"/>
    <w:rsid w:val="006726D7"/>
    <w:rsid w:val="00672F75"/>
    <w:rsid w:val="006732EF"/>
    <w:rsid w:val="006733C0"/>
    <w:rsid w:val="0067354C"/>
    <w:rsid w:val="006736BB"/>
    <w:rsid w:val="006738E0"/>
    <w:rsid w:val="00673A97"/>
    <w:rsid w:val="00673BDB"/>
    <w:rsid w:val="00673D52"/>
    <w:rsid w:val="00674C0B"/>
    <w:rsid w:val="00674D30"/>
    <w:rsid w:val="0067509A"/>
    <w:rsid w:val="006751FC"/>
    <w:rsid w:val="006754EA"/>
    <w:rsid w:val="00675588"/>
    <w:rsid w:val="00675791"/>
    <w:rsid w:val="0067595F"/>
    <w:rsid w:val="00675AE2"/>
    <w:rsid w:val="006766DE"/>
    <w:rsid w:val="00676C11"/>
    <w:rsid w:val="00676ED0"/>
    <w:rsid w:val="00677487"/>
    <w:rsid w:val="00677ABC"/>
    <w:rsid w:val="00677C95"/>
    <w:rsid w:val="00680011"/>
    <w:rsid w:val="006805E7"/>
    <w:rsid w:val="0068075A"/>
    <w:rsid w:val="006809BD"/>
    <w:rsid w:val="00680A07"/>
    <w:rsid w:val="00680CDC"/>
    <w:rsid w:val="00680EAE"/>
    <w:rsid w:val="0068106E"/>
    <w:rsid w:val="0068116E"/>
    <w:rsid w:val="006811D3"/>
    <w:rsid w:val="0068156B"/>
    <w:rsid w:val="006815AE"/>
    <w:rsid w:val="006817B9"/>
    <w:rsid w:val="0068184D"/>
    <w:rsid w:val="00681B1A"/>
    <w:rsid w:val="00682812"/>
    <w:rsid w:val="0068285E"/>
    <w:rsid w:val="006829C0"/>
    <w:rsid w:val="006829D0"/>
    <w:rsid w:val="00682EAD"/>
    <w:rsid w:val="0068306C"/>
    <w:rsid w:val="0068332F"/>
    <w:rsid w:val="00683471"/>
    <w:rsid w:val="00683783"/>
    <w:rsid w:val="00683DCA"/>
    <w:rsid w:val="00684375"/>
    <w:rsid w:val="00684667"/>
    <w:rsid w:val="006849BF"/>
    <w:rsid w:val="0068506E"/>
    <w:rsid w:val="006852A5"/>
    <w:rsid w:val="0068531B"/>
    <w:rsid w:val="006854BD"/>
    <w:rsid w:val="0068591D"/>
    <w:rsid w:val="00685933"/>
    <w:rsid w:val="00685BC9"/>
    <w:rsid w:val="00685F15"/>
    <w:rsid w:val="0068631D"/>
    <w:rsid w:val="006866CA"/>
    <w:rsid w:val="006867D6"/>
    <w:rsid w:val="006868C2"/>
    <w:rsid w:val="00686C01"/>
    <w:rsid w:val="00686DD1"/>
    <w:rsid w:val="00686F94"/>
    <w:rsid w:val="006870F9"/>
    <w:rsid w:val="006872DE"/>
    <w:rsid w:val="006875EE"/>
    <w:rsid w:val="00687A84"/>
    <w:rsid w:val="00687BD7"/>
    <w:rsid w:val="00687D98"/>
    <w:rsid w:val="00690111"/>
    <w:rsid w:val="00690A4C"/>
    <w:rsid w:val="00690BA6"/>
    <w:rsid w:val="00690BF1"/>
    <w:rsid w:val="00690D14"/>
    <w:rsid w:val="0069113F"/>
    <w:rsid w:val="006911AA"/>
    <w:rsid w:val="006912FD"/>
    <w:rsid w:val="006914FE"/>
    <w:rsid w:val="00691C06"/>
    <w:rsid w:val="00691EF9"/>
    <w:rsid w:val="00692016"/>
    <w:rsid w:val="006925E6"/>
    <w:rsid w:val="006931C7"/>
    <w:rsid w:val="006933D7"/>
    <w:rsid w:val="0069346B"/>
    <w:rsid w:val="006937B7"/>
    <w:rsid w:val="00693A30"/>
    <w:rsid w:val="00693E24"/>
    <w:rsid w:val="00694168"/>
    <w:rsid w:val="006942C3"/>
    <w:rsid w:val="006943E4"/>
    <w:rsid w:val="00694633"/>
    <w:rsid w:val="006948C7"/>
    <w:rsid w:val="00694C1E"/>
    <w:rsid w:val="00694C7F"/>
    <w:rsid w:val="00694F78"/>
    <w:rsid w:val="00695390"/>
    <w:rsid w:val="006955FA"/>
    <w:rsid w:val="00695A3F"/>
    <w:rsid w:val="006965C6"/>
    <w:rsid w:val="006968CA"/>
    <w:rsid w:val="00696CD1"/>
    <w:rsid w:val="00696DC0"/>
    <w:rsid w:val="00697257"/>
    <w:rsid w:val="0069739D"/>
    <w:rsid w:val="00697754"/>
    <w:rsid w:val="006978B0"/>
    <w:rsid w:val="00697E6C"/>
    <w:rsid w:val="006A0017"/>
    <w:rsid w:val="006A0541"/>
    <w:rsid w:val="006A074B"/>
    <w:rsid w:val="006A0B40"/>
    <w:rsid w:val="006A14B2"/>
    <w:rsid w:val="006A15F5"/>
    <w:rsid w:val="006A1AA7"/>
    <w:rsid w:val="006A1BCB"/>
    <w:rsid w:val="006A1BF6"/>
    <w:rsid w:val="006A249A"/>
    <w:rsid w:val="006A2749"/>
    <w:rsid w:val="006A2F2F"/>
    <w:rsid w:val="006A2F63"/>
    <w:rsid w:val="006A2FBF"/>
    <w:rsid w:val="006A3085"/>
    <w:rsid w:val="006A30FA"/>
    <w:rsid w:val="006A363A"/>
    <w:rsid w:val="006A3AB8"/>
    <w:rsid w:val="006A3D7B"/>
    <w:rsid w:val="006A3F8D"/>
    <w:rsid w:val="006A4173"/>
    <w:rsid w:val="006A44B2"/>
    <w:rsid w:val="006A4575"/>
    <w:rsid w:val="006A473C"/>
    <w:rsid w:val="006A4B9E"/>
    <w:rsid w:val="006A4DFE"/>
    <w:rsid w:val="006A4E44"/>
    <w:rsid w:val="006A4EDF"/>
    <w:rsid w:val="006A4F50"/>
    <w:rsid w:val="006A500F"/>
    <w:rsid w:val="006A5530"/>
    <w:rsid w:val="006A558C"/>
    <w:rsid w:val="006A5BDC"/>
    <w:rsid w:val="006A5C3A"/>
    <w:rsid w:val="006A5F6F"/>
    <w:rsid w:val="006A6281"/>
    <w:rsid w:val="006A682B"/>
    <w:rsid w:val="006A6B3B"/>
    <w:rsid w:val="006A7478"/>
    <w:rsid w:val="006A74EB"/>
    <w:rsid w:val="006A757D"/>
    <w:rsid w:val="006A7B6C"/>
    <w:rsid w:val="006A7BE0"/>
    <w:rsid w:val="006A7C27"/>
    <w:rsid w:val="006B08D5"/>
    <w:rsid w:val="006B0D2A"/>
    <w:rsid w:val="006B0FD0"/>
    <w:rsid w:val="006B1088"/>
    <w:rsid w:val="006B1149"/>
    <w:rsid w:val="006B12EB"/>
    <w:rsid w:val="006B13E0"/>
    <w:rsid w:val="006B1805"/>
    <w:rsid w:val="006B18C2"/>
    <w:rsid w:val="006B1996"/>
    <w:rsid w:val="006B19B9"/>
    <w:rsid w:val="006B1AFB"/>
    <w:rsid w:val="006B1C1F"/>
    <w:rsid w:val="006B1D1D"/>
    <w:rsid w:val="006B1EDF"/>
    <w:rsid w:val="006B217D"/>
    <w:rsid w:val="006B2325"/>
    <w:rsid w:val="006B23DB"/>
    <w:rsid w:val="006B2667"/>
    <w:rsid w:val="006B2672"/>
    <w:rsid w:val="006B2697"/>
    <w:rsid w:val="006B2892"/>
    <w:rsid w:val="006B2A69"/>
    <w:rsid w:val="006B2A74"/>
    <w:rsid w:val="006B2B6C"/>
    <w:rsid w:val="006B2CAD"/>
    <w:rsid w:val="006B2F0C"/>
    <w:rsid w:val="006B39A1"/>
    <w:rsid w:val="006B3B9D"/>
    <w:rsid w:val="006B3BE0"/>
    <w:rsid w:val="006B3CC1"/>
    <w:rsid w:val="006B471B"/>
    <w:rsid w:val="006B4B9A"/>
    <w:rsid w:val="006B4C91"/>
    <w:rsid w:val="006B4DF2"/>
    <w:rsid w:val="006B54B5"/>
    <w:rsid w:val="006B56C3"/>
    <w:rsid w:val="006B583E"/>
    <w:rsid w:val="006B5912"/>
    <w:rsid w:val="006B5919"/>
    <w:rsid w:val="006B5AD5"/>
    <w:rsid w:val="006B5B90"/>
    <w:rsid w:val="006B6180"/>
    <w:rsid w:val="006B63A1"/>
    <w:rsid w:val="006B6789"/>
    <w:rsid w:val="006B67EB"/>
    <w:rsid w:val="006B6998"/>
    <w:rsid w:val="006B6A1F"/>
    <w:rsid w:val="006B6DB2"/>
    <w:rsid w:val="006B6F4C"/>
    <w:rsid w:val="006B71F4"/>
    <w:rsid w:val="006B7485"/>
    <w:rsid w:val="006B75B9"/>
    <w:rsid w:val="006B7A4D"/>
    <w:rsid w:val="006C0016"/>
    <w:rsid w:val="006C06E6"/>
    <w:rsid w:val="006C0714"/>
    <w:rsid w:val="006C0869"/>
    <w:rsid w:val="006C0D63"/>
    <w:rsid w:val="006C0D71"/>
    <w:rsid w:val="006C0E15"/>
    <w:rsid w:val="006C10F1"/>
    <w:rsid w:val="006C176C"/>
    <w:rsid w:val="006C1FD1"/>
    <w:rsid w:val="006C21D3"/>
    <w:rsid w:val="006C2398"/>
    <w:rsid w:val="006C25B3"/>
    <w:rsid w:val="006C2A16"/>
    <w:rsid w:val="006C2A67"/>
    <w:rsid w:val="006C2CA7"/>
    <w:rsid w:val="006C2D85"/>
    <w:rsid w:val="006C3302"/>
    <w:rsid w:val="006C34EE"/>
    <w:rsid w:val="006C359F"/>
    <w:rsid w:val="006C35F1"/>
    <w:rsid w:val="006C38DB"/>
    <w:rsid w:val="006C38FA"/>
    <w:rsid w:val="006C3C23"/>
    <w:rsid w:val="006C3C92"/>
    <w:rsid w:val="006C3F1D"/>
    <w:rsid w:val="006C40BF"/>
    <w:rsid w:val="006C4254"/>
    <w:rsid w:val="006C46F7"/>
    <w:rsid w:val="006C4B01"/>
    <w:rsid w:val="006C4DE3"/>
    <w:rsid w:val="006C518F"/>
    <w:rsid w:val="006C5232"/>
    <w:rsid w:val="006C5234"/>
    <w:rsid w:val="006C545F"/>
    <w:rsid w:val="006C5CA0"/>
    <w:rsid w:val="006C5EC7"/>
    <w:rsid w:val="006C5EE8"/>
    <w:rsid w:val="006C624F"/>
    <w:rsid w:val="006C6513"/>
    <w:rsid w:val="006C668B"/>
    <w:rsid w:val="006C6781"/>
    <w:rsid w:val="006C7134"/>
    <w:rsid w:val="006C71C0"/>
    <w:rsid w:val="006C78E7"/>
    <w:rsid w:val="006C7969"/>
    <w:rsid w:val="006C79B2"/>
    <w:rsid w:val="006C7A3B"/>
    <w:rsid w:val="006C7AC6"/>
    <w:rsid w:val="006C7D22"/>
    <w:rsid w:val="006C7F2D"/>
    <w:rsid w:val="006C7FF6"/>
    <w:rsid w:val="006D0123"/>
    <w:rsid w:val="006D071C"/>
    <w:rsid w:val="006D0810"/>
    <w:rsid w:val="006D0A26"/>
    <w:rsid w:val="006D0D55"/>
    <w:rsid w:val="006D0EF4"/>
    <w:rsid w:val="006D0F24"/>
    <w:rsid w:val="006D10D1"/>
    <w:rsid w:val="006D10EC"/>
    <w:rsid w:val="006D12C0"/>
    <w:rsid w:val="006D161A"/>
    <w:rsid w:val="006D1692"/>
    <w:rsid w:val="006D1853"/>
    <w:rsid w:val="006D1D84"/>
    <w:rsid w:val="006D1DBA"/>
    <w:rsid w:val="006D1DD8"/>
    <w:rsid w:val="006D2239"/>
    <w:rsid w:val="006D243A"/>
    <w:rsid w:val="006D2D1D"/>
    <w:rsid w:val="006D2D5A"/>
    <w:rsid w:val="006D30C4"/>
    <w:rsid w:val="006D346D"/>
    <w:rsid w:val="006D38A4"/>
    <w:rsid w:val="006D38FF"/>
    <w:rsid w:val="006D3A65"/>
    <w:rsid w:val="006D3BF8"/>
    <w:rsid w:val="006D3CEA"/>
    <w:rsid w:val="006D3E19"/>
    <w:rsid w:val="006D3F04"/>
    <w:rsid w:val="006D403C"/>
    <w:rsid w:val="006D418D"/>
    <w:rsid w:val="006D4657"/>
    <w:rsid w:val="006D469C"/>
    <w:rsid w:val="006D4B37"/>
    <w:rsid w:val="006D4FCD"/>
    <w:rsid w:val="006D50F9"/>
    <w:rsid w:val="006D5118"/>
    <w:rsid w:val="006D5371"/>
    <w:rsid w:val="006D5805"/>
    <w:rsid w:val="006D5AF7"/>
    <w:rsid w:val="006D5C57"/>
    <w:rsid w:val="006D634F"/>
    <w:rsid w:val="006D667F"/>
    <w:rsid w:val="006D6D12"/>
    <w:rsid w:val="006D6DAE"/>
    <w:rsid w:val="006D6EF5"/>
    <w:rsid w:val="006D70AF"/>
    <w:rsid w:val="006D7A70"/>
    <w:rsid w:val="006D7C3E"/>
    <w:rsid w:val="006E0164"/>
    <w:rsid w:val="006E056B"/>
    <w:rsid w:val="006E0627"/>
    <w:rsid w:val="006E07C4"/>
    <w:rsid w:val="006E0A10"/>
    <w:rsid w:val="006E0BF9"/>
    <w:rsid w:val="006E112B"/>
    <w:rsid w:val="006E1982"/>
    <w:rsid w:val="006E1B30"/>
    <w:rsid w:val="006E1BBE"/>
    <w:rsid w:val="006E1C25"/>
    <w:rsid w:val="006E1CDB"/>
    <w:rsid w:val="006E21CD"/>
    <w:rsid w:val="006E23E2"/>
    <w:rsid w:val="006E276B"/>
    <w:rsid w:val="006E27CA"/>
    <w:rsid w:val="006E2825"/>
    <w:rsid w:val="006E295E"/>
    <w:rsid w:val="006E2BEC"/>
    <w:rsid w:val="006E2DC2"/>
    <w:rsid w:val="006E2ECA"/>
    <w:rsid w:val="006E34F5"/>
    <w:rsid w:val="006E3B01"/>
    <w:rsid w:val="006E421C"/>
    <w:rsid w:val="006E4585"/>
    <w:rsid w:val="006E4615"/>
    <w:rsid w:val="006E48FE"/>
    <w:rsid w:val="006E4D86"/>
    <w:rsid w:val="006E4F91"/>
    <w:rsid w:val="006E517C"/>
    <w:rsid w:val="006E5352"/>
    <w:rsid w:val="006E56E4"/>
    <w:rsid w:val="006E5CAE"/>
    <w:rsid w:val="006E5CED"/>
    <w:rsid w:val="006E5ED9"/>
    <w:rsid w:val="006E67C0"/>
    <w:rsid w:val="006E6C21"/>
    <w:rsid w:val="006E701A"/>
    <w:rsid w:val="006E7512"/>
    <w:rsid w:val="006E75C5"/>
    <w:rsid w:val="006E7800"/>
    <w:rsid w:val="006E78C2"/>
    <w:rsid w:val="006E7D8D"/>
    <w:rsid w:val="006F03EE"/>
    <w:rsid w:val="006F06DA"/>
    <w:rsid w:val="006F08B4"/>
    <w:rsid w:val="006F0A45"/>
    <w:rsid w:val="006F0E63"/>
    <w:rsid w:val="006F0F37"/>
    <w:rsid w:val="006F0FD3"/>
    <w:rsid w:val="006F122A"/>
    <w:rsid w:val="006F1DE9"/>
    <w:rsid w:val="006F2060"/>
    <w:rsid w:val="006F216D"/>
    <w:rsid w:val="006F224A"/>
    <w:rsid w:val="006F2437"/>
    <w:rsid w:val="006F249B"/>
    <w:rsid w:val="006F2E4F"/>
    <w:rsid w:val="006F2FA1"/>
    <w:rsid w:val="006F33EF"/>
    <w:rsid w:val="006F37B5"/>
    <w:rsid w:val="006F3DCB"/>
    <w:rsid w:val="006F4271"/>
    <w:rsid w:val="006F43C6"/>
    <w:rsid w:val="006F4427"/>
    <w:rsid w:val="006F4790"/>
    <w:rsid w:val="006F4819"/>
    <w:rsid w:val="006F4D3E"/>
    <w:rsid w:val="006F5159"/>
    <w:rsid w:val="006F5834"/>
    <w:rsid w:val="006F63D2"/>
    <w:rsid w:val="006F6680"/>
    <w:rsid w:val="006F66CB"/>
    <w:rsid w:val="006F69CC"/>
    <w:rsid w:val="006F6B04"/>
    <w:rsid w:val="006F6B2B"/>
    <w:rsid w:val="006F6BB8"/>
    <w:rsid w:val="006F7856"/>
    <w:rsid w:val="006F7928"/>
    <w:rsid w:val="006F7CB5"/>
    <w:rsid w:val="006F7EA0"/>
    <w:rsid w:val="00700196"/>
    <w:rsid w:val="00700626"/>
    <w:rsid w:val="00700764"/>
    <w:rsid w:val="007007D9"/>
    <w:rsid w:val="00700CC9"/>
    <w:rsid w:val="00700E2A"/>
    <w:rsid w:val="00700F54"/>
    <w:rsid w:val="007011E8"/>
    <w:rsid w:val="00701930"/>
    <w:rsid w:val="007019B3"/>
    <w:rsid w:val="00701A18"/>
    <w:rsid w:val="00701DD5"/>
    <w:rsid w:val="00701F06"/>
    <w:rsid w:val="00702257"/>
    <w:rsid w:val="007027E9"/>
    <w:rsid w:val="00702B4D"/>
    <w:rsid w:val="00702B73"/>
    <w:rsid w:val="00703127"/>
    <w:rsid w:val="00703218"/>
    <w:rsid w:val="007032FD"/>
    <w:rsid w:val="00703301"/>
    <w:rsid w:val="00703426"/>
    <w:rsid w:val="00703443"/>
    <w:rsid w:val="00703496"/>
    <w:rsid w:val="007034CA"/>
    <w:rsid w:val="00703960"/>
    <w:rsid w:val="0070396F"/>
    <w:rsid w:val="00703ACD"/>
    <w:rsid w:val="00703C20"/>
    <w:rsid w:val="00703DB0"/>
    <w:rsid w:val="00703DD7"/>
    <w:rsid w:val="00703F85"/>
    <w:rsid w:val="00704032"/>
    <w:rsid w:val="0070481C"/>
    <w:rsid w:val="00704823"/>
    <w:rsid w:val="00704924"/>
    <w:rsid w:val="0070493D"/>
    <w:rsid w:val="00704A20"/>
    <w:rsid w:val="00704A58"/>
    <w:rsid w:val="00704AFF"/>
    <w:rsid w:val="00704C97"/>
    <w:rsid w:val="0070543C"/>
    <w:rsid w:val="007054AA"/>
    <w:rsid w:val="00705647"/>
    <w:rsid w:val="00705763"/>
    <w:rsid w:val="00705DE1"/>
    <w:rsid w:val="00705E33"/>
    <w:rsid w:val="00705ED9"/>
    <w:rsid w:val="007061E9"/>
    <w:rsid w:val="0070623C"/>
    <w:rsid w:val="0070651B"/>
    <w:rsid w:val="00707277"/>
    <w:rsid w:val="007072CB"/>
    <w:rsid w:val="00707914"/>
    <w:rsid w:val="00707CB7"/>
    <w:rsid w:val="007100F3"/>
    <w:rsid w:val="0071013D"/>
    <w:rsid w:val="007104A4"/>
    <w:rsid w:val="00710735"/>
    <w:rsid w:val="007108D3"/>
    <w:rsid w:val="00710B52"/>
    <w:rsid w:val="007110E8"/>
    <w:rsid w:val="007113B5"/>
    <w:rsid w:val="007116E4"/>
    <w:rsid w:val="007119F7"/>
    <w:rsid w:val="00711BC6"/>
    <w:rsid w:val="00711C4F"/>
    <w:rsid w:val="00712028"/>
    <w:rsid w:val="00712092"/>
    <w:rsid w:val="00712470"/>
    <w:rsid w:val="00712547"/>
    <w:rsid w:val="00712E70"/>
    <w:rsid w:val="00712F45"/>
    <w:rsid w:val="007131D2"/>
    <w:rsid w:val="0071323E"/>
    <w:rsid w:val="00713315"/>
    <w:rsid w:val="0071389D"/>
    <w:rsid w:val="007139CA"/>
    <w:rsid w:val="00713C7F"/>
    <w:rsid w:val="00713DE5"/>
    <w:rsid w:val="00713F2B"/>
    <w:rsid w:val="007140A7"/>
    <w:rsid w:val="007140BF"/>
    <w:rsid w:val="00714796"/>
    <w:rsid w:val="0071482C"/>
    <w:rsid w:val="00715290"/>
    <w:rsid w:val="0071613B"/>
    <w:rsid w:val="0071615D"/>
    <w:rsid w:val="0071625F"/>
    <w:rsid w:val="00716388"/>
    <w:rsid w:val="00716D37"/>
    <w:rsid w:val="00717595"/>
    <w:rsid w:val="007175F8"/>
    <w:rsid w:val="00717DB3"/>
    <w:rsid w:val="00717E90"/>
    <w:rsid w:val="00717ED7"/>
    <w:rsid w:val="0072073A"/>
    <w:rsid w:val="00720792"/>
    <w:rsid w:val="00720880"/>
    <w:rsid w:val="00720C77"/>
    <w:rsid w:val="00720F0A"/>
    <w:rsid w:val="007210C7"/>
    <w:rsid w:val="007214C2"/>
    <w:rsid w:val="007214EC"/>
    <w:rsid w:val="00721782"/>
    <w:rsid w:val="00721C2B"/>
    <w:rsid w:val="00721F38"/>
    <w:rsid w:val="007221A5"/>
    <w:rsid w:val="00722254"/>
    <w:rsid w:val="0072234E"/>
    <w:rsid w:val="007225FC"/>
    <w:rsid w:val="00722CA0"/>
    <w:rsid w:val="00722E5A"/>
    <w:rsid w:val="0072374B"/>
    <w:rsid w:val="0072389D"/>
    <w:rsid w:val="00723A11"/>
    <w:rsid w:val="00723C16"/>
    <w:rsid w:val="00723D3A"/>
    <w:rsid w:val="0072412C"/>
    <w:rsid w:val="0072430D"/>
    <w:rsid w:val="007243DB"/>
    <w:rsid w:val="007249CD"/>
    <w:rsid w:val="00724B8D"/>
    <w:rsid w:val="00724C4B"/>
    <w:rsid w:val="00724CD7"/>
    <w:rsid w:val="00724CDF"/>
    <w:rsid w:val="0072506C"/>
    <w:rsid w:val="007259B5"/>
    <w:rsid w:val="00725CDD"/>
    <w:rsid w:val="00726424"/>
    <w:rsid w:val="00726560"/>
    <w:rsid w:val="00726825"/>
    <w:rsid w:val="00726B44"/>
    <w:rsid w:val="00726BC1"/>
    <w:rsid w:val="00726BF6"/>
    <w:rsid w:val="0072717B"/>
    <w:rsid w:val="0072727A"/>
    <w:rsid w:val="007274BE"/>
    <w:rsid w:val="00727521"/>
    <w:rsid w:val="00727624"/>
    <w:rsid w:val="00727728"/>
    <w:rsid w:val="00727867"/>
    <w:rsid w:val="00727A3D"/>
    <w:rsid w:val="00727EBA"/>
    <w:rsid w:val="00727F33"/>
    <w:rsid w:val="0072B98F"/>
    <w:rsid w:val="0073008D"/>
    <w:rsid w:val="00730115"/>
    <w:rsid w:val="00730A48"/>
    <w:rsid w:val="00730A80"/>
    <w:rsid w:val="00731146"/>
    <w:rsid w:val="007313C4"/>
    <w:rsid w:val="007314ED"/>
    <w:rsid w:val="007315D0"/>
    <w:rsid w:val="007318D3"/>
    <w:rsid w:val="00731D39"/>
    <w:rsid w:val="00731DD8"/>
    <w:rsid w:val="00731DF7"/>
    <w:rsid w:val="00731EA2"/>
    <w:rsid w:val="00731F14"/>
    <w:rsid w:val="0073231A"/>
    <w:rsid w:val="00732A3E"/>
    <w:rsid w:val="00732A69"/>
    <w:rsid w:val="00732B3C"/>
    <w:rsid w:val="00732CFA"/>
    <w:rsid w:val="00732E6D"/>
    <w:rsid w:val="00732EE8"/>
    <w:rsid w:val="007330E4"/>
    <w:rsid w:val="0073312C"/>
    <w:rsid w:val="0073336A"/>
    <w:rsid w:val="0073337F"/>
    <w:rsid w:val="0073358E"/>
    <w:rsid w:val="0073386F"/>
    <w:rsid w:val="00733FD0"/>
    <w:rsid w:val="00734220"/>
    <w:rsid w:val="007342A1"/>
    <w:rsid w:val="007342E7"/>
    <w:rsid w:val="00734566"/>
    <w:rsid w:val="00734629"/>
    <w:rsid w:val="00734AF2"/>
    <w:rsid w:val="00734B59"/>
    <w:rsid w:val="00734B89"/>
    <w:rsid w:val="0073521E"/>
    <w:rsid w:val="00735A29"/>
    <w:rsid w:val="00735B40"/>
    <w:rsid w:val="00735D03"/>
    <w:rsid w:val="00735DCC"/>
    <w:rsid w:val="00736189"/>
    <w:rsid w:val="0073640C"/>
    <w:rsid w:val="00736467"/>
    <w:rsid w:val="00736777"/>
    <w:rsid w:val="00736BA6"/>
    <w:rsid w:val="00736BBC"/>
    <w:rsid w:val="00736C08"/>
    <w:rsid w:val="00736E52"/>
    <w:rsid w:val="00736F63"/>
    <w:rsid w:val="007371A2"/>
    <w:rsid w:val="0073732E"/>
    <w:rsid w:val="00737341"/>
    <w:rsid w:val="0073761B"/>
    <w:rsid w:val="00737764"/>
    <w:rsid w:val="007378D2"/>
    <w:rsid w:val="007379A6"/>
    <w:rsid w:val="00737A33"/>
    <w:rsid w:val="00737ADF"/>
    <w:rsid w:val="00737CAE"/>
    <w:rsid w:val="00740089"/>
    <w:rsid w:val="007402F1"/>
    <w:rsid w:val="00740A6E"/>
    <w:rsid w:val="00740DBF"/>
    <w:rsid w:val="00740E6F"/>
    <w:rsid w:val="00741145"/>
    <w:rsid w:val="0074121F"/>
    <w:rsid w:val="007416C8"/>
    <w:rsid w:val="00741879"/>
    <w:rsid w:val="0074199E"/>
    <w:rsid w:val="00741C4B"/>
    <w:rsid w:val="00742578"/>
    <w:rsid w:val="007427F1"/>
    <w:rsid w:val="007427FB"/>
    <w:rsid w:val="00742DC6"/>
    <w:rsid w:val="00743121"/>
    <w:rsid w:val="00743462"/>
    <w:rsid w:val="0074347A"/>
    <w:rsid w:val="00743694"/>
    <w:rsid w:val="007439CF"/>
    <w:rsid w:val="00743A5C"/>
    <w:rsid w:val="00743D86"/>
    <w:rsid w:val="00744AAB"/>
    <w:rsid w:val="00744D1B"/>
    <w:rsid w:val="007452B6"/>
    <w:rsid w:val="007455BB"/>
    <w:rsid w:val="007456B7"/>
    <w:rsid w:val="007456C7"/>
    <w:rsid w:val="00745CBA"/>
    <w:rsid w:val="0074630F"/>
    <w:rsid w:val="00746AE3"/>
    <w:rsid w:val="00746CDD"/>
    <w:rsid w:val="00746D44"/>
    <w:rsid w:val="007471BF"/>
    <w:rsid w:val="00747318"/>
    <w:rsid w:val="007473DE"/>
    <w:rsid w:val="00747695"/>
    <w:rsid w:val="00747991"/>
    <w:rsid w:val="00747EE0"/>
    <w:rsid w:val="00750490"/>
    <w:rsid w:val="00750509"/>
    <w:rsid w:val="007507E2"/>
    <w:rsid w:val="00750B76"/>
    <w:rsid w:val="00750CAE"/>
    <w:rsid w:val="00750D7E"/>
    <w:rsid w:val="00750EF1"/>
    <w:rsid w:val="007510E0"/>
    <w:rsid w:val="0075112D"/>
    <w:rsid w:val="007511D3"/>
    <w:rsid w:val="0075125A"/>
    <w:rsid w:val="00751325"/>
    <w:rsid w:val="0075171E"/>
    <w:rsid w:val="00751740"/>
    <w:rsid w:val="007520F1"/>
    <w:rsid w:val="0075247F"/>
    <w:rsid w:val="00752A6B"/>
    <w:rsid w:val="00752C64"/>
    <w:rsid w:val="00752DBC"/>
    <w:rsid w:val="00752F09"/>
    <w:rsid w:val="007532AB"/>
    <w:rsid w:val="007538D3"/>
    <w:rsid w:val="00754606"/>
    <w:rsid w:val="00754A95"/>
    <w:rsid w:val="00754B73"/>
    <w:rsid w:val="00754B81"/>
    <w:rsid w:val="00754E26"/>
    <w:rsid w:val="007550C4"/>
    <w:rsid w:val="007552E2"/>
    <w:rsid w:val="00755CEB"/>
    <w:rsid w:val="0075613C"/>
    <w:rsid w:val="007565D7"/>
    <w:rsid w:val="007566C6"/>
    <w:rsid w:val="0075672F"/>
    <w:rsid w:val="00756A05"/>
    <w:rsid w:val="00756A30"/>
    <w:rsid w:val="00756EF3"/>
    <w:rsid w:val="00756F63"/>
    <w:rsid w:val="00757E79"/>
    <w:rsid w:val="007585EB"/>
    <w:rsid w:val="0076095F"/>
    <w:rsid w:val="00760A3A"/>
    <w:rsid w:val="00760F54"/>
    <w:rsid w:val="00761174"/>
    <w:rsid w:val="0076144B"/>
    <w:rsid w:val="00761459"/>
    <w:rsid w:val="007614F4"/>
    <w:rsid w:val="00761548"/>
    <w:rsid w:val="00761637"/>
    <w:rsid w:val="007619CD"/>
    <w:rsid w:val="00761F46"/>
    <w:rsid w:val="0076201F"/>
    <w:rsid w:val="0076211C"/>
    <w:rsid w:val="007624F8"/>
    <w:rsid w:val="0076294D"/>
    <w:rsid w:val="007639B7"/>
    <w:rsid w:val="00763B0E"/>
    <w:rsid w:val="00763E70"/>
    <w:rsid w:val="00764139"/>
    <w:rsid w:val="00764BEE"/>
    <w:rsid w:val="00764E92"/>
    <w:rsid w:val="00765149"/>
    <w:rsid w:val="0076522F"/>
    <w:rsid w:val="007657FA"/>
    <w:rsid w:val="00765862"/>
    <w:rsid w:val="00765C32"/>
    <w:rsid w:val="00765CC3"/>
    <w:rsid w:val="00766B76"/>
    <w:rsid w:val="00766FCE"/>
    <w:rsid w:val="0076701C"/>
    <w:rsid w:val="007671A2"/>
    <w:rsid w:val="00767371"/>
    <w:rsid w:val="0076738F"/>
    <w:rsid w:val="00767A07"/>
    <w:rsid w:val="00767FAB"/>
    <w:rsid w:val="0077005E"/>
    <w:rsid w:val="007704D7"/>
    <w:rsid w:val="007705F8"/>
    <w:rsid w:val="0077060A"/>
    <w:rsid w:val="007706F2"/>
    <w:rsid w:val="00770CE8"/>
    <w:rsid w:val="0077104B"/>
    <w:rsid w:val="007712F3"/>
    <w:rsid w:val="0077130B"/>
    <w:rsid w:val="00771690"/>
    <w:rsid w:val="00771832"/>
    <w:rsid w:val="007718C9"/>
    <w:rsid w:val="00771947"/>
    <w:rsid w:val="00771A95"/>
    <w:rsid w:val="00771ABE"/>
    <w:rsid w:val="00771F18"/>
    <w:rsid w:val="00772066"/>
    <w:rsid w:val="007722E4"/>
    <w:rsid w:val="00772732"/>
    <w:rsid w:val="007728A8"/>
    <w:rsid w:val="00773034"/>
    <w:rsid w:val="00773481"/>
    <w:rsid w:val="007734E7"/>
    <w:rsid w:val="00773749"/>
    <w:rsid w:val="00773D7A"/>
    <w:rsid w:val="00773E6C"/>
    <w:rsid w:val="00773F38"/>
    <w:rsid w:val="0077400F"/>
    <w:rsid w:val="00774589"/>
    <w:rsid w:val="0077476F"/>
    <w:rsid w:val="00774A35"/>
    <w:rsid w:val="00774C7A"/>
    <w:rsid w:val="007750D4"/>
    <w:rsid w:val="007751FD"/>
    <w:rsid w:val="0077568F"/>
    <w:rsid w:val="00775B2C"/>
    <w:rsid w:val="00776280"/>
    <w:rsid w:val="0077628B"/>
    <w:rsid w:val="0077666D"/>
    <w:rsid w:val="007766AD"/>
    <w:rsid w:val="0077672C"/>
    <w:rsid w:val="00776893"/>
    <w:rsid w:val="00776B3F"/>
    <w:rsid w:val="00776FB5"/>
    <w:rsid w:val="007770A9"/>
    <w:rsid w:val="007772F1"/>
    <w:rsid w:val="0077767A"/>
    <w:rsid w:val="00777C98"/>
    <w:rsid w:val="0078018D"/>
    <w:rsid w:val="00780472"/>
    <w:rsid w:val="00780863"/>
    <w:rsid w:val="00780A47"/>
    <w:rsid w:val="00780AAC"/>
    <w:rsid w:val="00780B7D"/>
    <w:rsid w:val="00780D26"/>
    <w:rsid w:val="0078108F"/>
    <w:rsid w:val="007810F9"/>
    <w:rsid w:val="007811C8"/>
    <w:rsid w:val="00781517"/>
    <w:rsid w:val="007819FE"/>
    <w:rsid w:val="00781A8A"/>
    <w:rsid w:val="00781BC9"/>
    <w:rsid w:val="00781C3F"/>
    <w:rsid w:val="00781FAC"/>
    <w:rsid w:val="00782060"/>
    <w:rsid w:val="00782212"/>
    <w:rsid w:val="0078231A"/>
    <w:rsid w:val="007828C8"/>
    <w:rsid w:val="00782910"/>
    <w:rsid w:val="00782955"/>
    <w:rsid w:val="00782CEC"/>
    <w:rsid w:val="00782DC0"/>
    <w:rsid w:val="007832A6"/>
    <w:rsid w:val="00783628"/>
    <w:rsid w:val="00783739"/>
    <w:rsid w:val="00783803"/>
    <w:rsid w:val="007839B8"/>
    <w:rsid w:val="00783D80"/>
    <w:rsid w:val="00783E5E"/>
    <w:rsid w:val="007843A1"/>
    <w:rsid w:val="007845FF"/>
    <w:rsid w:val="00784718"/>
    <w:rsid w:val="007847F4"/>
    <w:rsid w:val="00784807"/>
    <w:rsid w:val="00784BF3"/>
    <w:rsid w:val="00784BFB"/>
    <w:rsid w:val="00784D9F"/>
    <w:rsid w:val="00784E24"/>
    <w:rsid w:val="00784E9B"/>
    <w:rsid w:val="00784FA1"/>
    <w:rsid w:val="00785114"/>
    <w:rsid w:val="00785AB1"/>
    <w:rsid w:val="00785AB2"/>
    <w:rsid w:val="00786070"/>
    <w:rsid w:val="00786948"/>
    <w:rsid w:val="00786F83"/>
    <w:rsid w:val="00786FE5"/>
    <w:rsid w:val="007870CD"/>
    <w:rsid w:val="00787325"/>
    <w:rsid w:val="007873A2"/>
    <w:rsid w:val="0078785E"/>
    <w:rsid w:val="007878CB"/>
    <w:rsid w:val="00787941"/>
    <w:rsid w:val="00787BE5"/>
    <w:rsid w:val="00787F13"/>
    <w:rsid w:val="007900F9"/>
    <w:rsid w:val="007901AA"/>
    <w:rsid w:val="007904A3"/>
    <w:rsid w:val="007904A5"/>
    <w:rsid w:val="0079094A"/>
    <w:rsid w:val="00790C1F"/>
    <w:rsid w:val="0079156B"/>
    <w:rsid w:val="007917F4"/>
    <w:rsid w:val="00791ADD"/>
    <w:rsid w:val="00792C50"/>
    <w:rsid w:val="00792DD8"/>
    <w:rsid w:val="00792E2C"/>
    <w:rsid w:val="00793209"/>
    <w:rsid w:val="0079360D"/>
    <w:rsid w:val="00793ACF"/>
    <w:rsid w:val="007942F6"/>
    <w:rsid w:val="00794923"/>
    <w:rsid w:val="00794EF8"/>
    <w:rsid w:val="00794FBD"/>
    <w:rsid w:val="007953D5"/>
    <w:rsid w:val="007955AD"/>
    <w:rsid w:val="00795B64"/>
    <w:rsid w:val="00795C9B"/>
    <w:rsid w:val="00795DDB"/>
    <w:rsid w:val="00795E76"/>
    <w:rsid w:val="00796041"/>
    <w:rsid w:val="007962D8"/>
    <w:rsid w:val="00796373"/>
    <w:rsid w:val="0079643A"/>
    <w:rsid w:val="00796552"/>
    <w:rsid w:val="007965A0"/>
    <w:rsid w:val="007966BB"/>
    <w:rsid w:val="0079681D"/>
    <w:rsid w:val="00797008"/>
    <w:rsid w:val="0079733F"/>
    <w:rsid w:val="0079756D"/>
    <w:rsid w:val="00797930"/>
    <w:rsid w:val="00797949"/>
    <w:rsid w:val="0079796B"/>
    <w:rsid w:val="00797A31"/>
    <w:rsid w:val="00797B81"/>
    <w:rsid w:val="00797DDB"/>
    <w:rsid w:val="00797E44"/>
    <w:rsid w:val="007A00E9"/>
    <w:rsid w:val="007A00EA"/>
    <w:rsid w:val="007A0277"/>
    <w:rsid w:val="007A043A"/>
    <w:rsid w:val="007A0B05"/>
    <w:rsid w:val="007A0CA5"/>
    <w:rsid w:val="007A0E15"/>
    <w:rsid w:val="007A0E44"/>
    <w:rsid w:val="007A0F2C"/>
    <w:rsid w:val="007A1236"/>
    <w:rsid w:val="007A12B3"/>
    <w:rsid w:val="007A14DE"/>
    <w:rsid w:val="007A16DC"/>
    <w:rsid w:val="007A175E"/>
    <w:rsid w:val="007A192B"/>
    <w:rsid w:val="007A1D5E"/>
    <w:rsid w:val="007A1FD6"/>
    <w:rsid w:val="007A24A8"/>
    <w:rsid w:val="007A2766"/>
    <w:rsid w:val="007A298C"/>
    <w:rsid w:val="007A29B8"/>
    <w:rsid w:val="007A2A64"/>
    <w:rsid w:val="007A2BC4"/>
    <w:rsid w:val="007A2E86"/>
    <w:rsid w:val="007A2F2F"/>
    <w:rsid w:val="007A3320"/>
    <w:rsid w:val="007A3411"/>
    <w:rsid w:val="007A38E0"/>
    <w:rsid w:val="007A3A91"/>
    <w:rsid w:val="007A4170"/>
    <w:rsid w:val="007A4222"/>
    <w:rsid w:val="007A42B2"/>
    <w:rsid w:val="007A48A2"/>
    <w:rsid w:val="007A49A0"/>
    <w:rsid w:val="007A4CAF"/>
    <w:rsid w:val="007A4FAE"/>
    <w:rsid w:val="007A504B"/>
    <w:rsid w:val="007A5077"/>
    <w:rsid w:val="007A5511"/>
    <w:rsid w:val="007A552C"/>
    <w:rsid w:val="007A5667"/>
    <w:rsid w:val="007A5742"/>
    <w:rsid w:val="007A599E"/>
    <w:rsid w:val="007A63DE"/>
    <w:rsid w:val="007A641A"/>
    <w:rsid w:val="007A644E"/>
    <w:rsid w:val="007A67AB"/>
    <w:rsid w:val="007A6C0D"/>
    <w:rsid w:val="007A6CEF"/>
    <w:rsid w:val="007A6FFA"/>
    <w:rsid w:val="007A72EC"/>
    <w:rsid w:val="007A75ED"/>
    <w:rsid w:val="007A7718"/>
    <w:rsid w:val="007A7A17"/>
    <w:rsid w:val="007A7E7D"/>
    <w:rsid w:val="007B01D4"/>
    <w:rsid w:val="007B01E4"/>
    <w:rsid w:val="007B0208"/>
    <w:rsid w:val="007B02F8"/>
    <w:rsid w:val="007B03F3"/>
    <w:rsid w:val="007B0852"/>
    <w:rsid w:val="007B0A13"/>
    <w:rsid w:val="007B0D6D"/>
    <w:rsid w:val="007B0D8F"/>
    <w:rsid w:val="007B0E93"/>
    <w:rsid w:val="007B0EF4"/>
    <w:rsid w:val="007B12A9"/>
    <w:rsid w:val="007B16F7"/>
    <w:rsid w:val="007B1732"/>
    <w:rsid w:val="007B2337"/>
    <w:rsid w:val="007B2D82"/>
    <w:rsid w:val="007B2E73"/>
    <w:rsid w:val="007B335D"/>
    <w:rsid w:val="007B3400"/>
    <w:rsid w:val="007B3730"/>
    <w:rsid w:val="007B3930"/>
    <w:rsid w:val="007B3934"/>
    <w:rsid w:val="007B3C10"/>
    <w:rsid w:val="007B422D"/>
    <w:rsid w:val="007B45B1"/>
    <w:rsid w:val="007B4E0F"/>
    <w:rsid w:val="007B4E35"/>
    <w:rsid w:val="007B52E4"/>
    <w:rsid w:val="007B53D4"/>
    <w:rsid w:val="007B5578"/>
    <w:rsid w:val="007B5D72"/>
    <w:rsid w:val="007B5D9E"/>
    <w:rsid w:val="007B5E3F"/>
    <w:rsid w:val="007B614E"/>
    <w:rsid w:val="007B6176"/>
    <w:rsid w:val="007B633B"/>
    <w:rsid w:val="007B6456"/>
    <w:rsid w:val="007B6AF4"/>
    <w:rsid w:val="007B6C2C"/>
    <w:rsid w:val="007B6EAB"/>
    <w:rsid w:val="007B6F57"/>
    <w:rsid w:val="007B72AD"/>
    <w:rsid w:val="007B750B"/>
    <w:rsid w:val="007B76A8"/>
    <w:rsid w:val="007BA197"/>
    <w:rsid w:val="007C0203"/>
    <w:rsid w:val="007C07A8"/>
    <w:rsid w:val="007C0E89"/>
    <w:rsid w:val="007C0FCA"/>
    <w:rsid w:val="007C1181"/>
    <w:rsid w:val="007C1380"/>
    <w:rsid w:val="007C1676"/>
    <w:rsid w:val="007C173D"/>
    <w:rsid w:val="007C1BDA"/>
    <w:rsid w:val="007C1C9E"/>
    <w:rsid w:val="007C1CC4"/>
    <w:rsid w:val="007C2A31"/>
    <w:rsid w:val="007C2AA9"/>
    <w:rsid w:val="007C2E53"/>
    <w:rsid w:val="007C3589"/>
    <w:rsid w:val="007C35AE"/>
    <w:rsid w:val="007C3952"/>
    <w:rsid w:val="007C3F4F"/>
    <w:rsid w:val="007C42E7"/>
    <w:rsid w:val="007C4407"/>
    <w:rsid w:val="007C466A"/>
    <w:rsid w:val="007C4A38"/>
    <w:rsid w:val="007C4B5B"/>
    <w:rsid w:val="007C4C73"/>
    <w:rsid w:val="007C4D36"/>
    <w:rsid w:val="007C4EAC"/>
    <w:rsid w:val="007C506F"/>
    <w:rsid w:val="007C514E"/>
    <w:rsid w:val="007C54C5"/>
    <w:rsid w:val="007C56B0"/>
    <w:rsid w:val="007C595B"/>
    <w:rsid w:val="007C6135"/>
    <w:rsid w:val="007C6258"/>
    <w:rsid w:val="007C648F"/>
    <w:rsid w:val="007C6834"/>
    <w:rsid w:val="007C68DD"/>
    <w:rsid w:val="007C6A3C"/>
    <w:rsid w:val="007C6AD2"/>
    <w:rsid w:val="007C6C5C"/>
    <w:rsid w:val="007C6D42"/>
    <w:rsid w:val="007C7218"/>
    <w:rsid w:val="007C735D"/>
    <w:rsid w:val="007C7374"/>
    <w:rsid w:val="007C775B"/>
    <w:rsid w:val="007C7824"/>
    <w:rsid w:val="007C784D"/>
    <w:rsid w:val="007C7DC4"/>
    <w:rsid w:val="007C7E2B"/>
    <w:rsid w:val="007D0527"/>
    <w:rsid w:val="007D0849"/>
    <w:rsid w:val="007D0865"/>
    <w:rsid w:val="007D0B40"/>
    <w:rsid w:val="007D10FA"/>
    <w:rsid w:val="007D11DF"/>
    <w:rsid w:val="007D1378"/>
    <w:rsid w:val="007D17BE"/>
    <w:rsid w:val="007D1E09"/>
    <w:rsid w:val="007D2034"/>
    <w:rsid w:val="007D2284"/>
    <w:rsid w:val="007D22A3"/>
    <w:rsid w:val="007D2588"/>
    <w:rsid w:val="007D2752"/>
    <w:rsid w:val="007D2DE6"/>
    <w:rsid w:val="007D3BA4"/>
    <w:rsid w:val="007D3EED"/>
    <w:rsid w:val="007D3FAC"/>
    <w:rsid w:val="007D4317"/>
    <w:rsid w:val="007D48CF"/>
    <w:rsid w:val="007D4A4B"/>
    <w:rsid w:val="007D4AC3"/>
    <w:rsid w:val="007D4E6C"/>
    <w:rsid w:val="007D50B2"/>
    <w:rsid w:val="007D50EF"/>
    <w:rsid w:val="007D5773"/>
    <w:rsid w:val="007D59BD"/>
    <w:rsid w:val="007D5AD4"/>
    <w:rsid w:val="007D5D86"/>
    <w:rsid w:val="007D6A0B"/>
    <w:rsid w:val="007D6A3A"/>
    <w:rsid w:val="007D719A"/>
    <w:rsid w:val="007D736F"/>
    <w:rsid w:val="007D757B"/>
    <w:rsid w:val="007D7CAD"/>
    <w:rsid w:val="007D7CB2"/>
    <w:rsid w:val="007E002B"/>
    <w:rsid w:val="007E0284"/>
    <w:rsid w:val="007E0330"/>
    <w:rsid w:val="007E0611"/>
    <w:rsid w:val="007E076F"/>
    <w:rsid w:val="007E0795"/>
    <w:rsid w:val="007E0B7F"/>
    <w:rsid w:val="007E0BD6"/>
    <w:rsid w:val="007E198B"/>
    <w:rsid w:val="007E1B79"/>
    <w:rsid w:val="007E1C5A"/>
    <w:rsid w:val="007E1CE6"/>
    <w:rsid w:val="007E2645"/>
    <w:rsid w:val="007E26B1"/>
    <w:rsid w:val="007E26F2"/>
    <w:rsid w:val="007E28D5"/>
    <w:rsid w:val="007E293E"/>
    <w:rsid w:val="007E2B21"/>
    <w:rsid w:val="007E32EB"/>
    <w:rsid w:val="007E33F9"/>
    <w:rsid w:val="007E3491"/>
    <w:rsid w:val="007E3C80"/>
    <w:rsid w:val="007E3FD2"/>
    <w:rsid w:val="007E3FF9"/>
    <w:rsid w:val="007E40DF"/>
    <w:rsid w:val="007E43AF"/>
    <w:rsid w:val="007E464A"/>
    <w:rsid w:val="007E4A7B"/>
    <w:rsid w:val="007E4AD5"/>
    <w:rsid w:val="007E4AEC"/>
    <w:rsid w:val="007E4B17"/>
    <w:rsid w:val="007E4E97"/>
    <w:rsid w:val="007E5020"/>
    <w:rsid w:val="007E5239"/>
    <w:rsid w:val="007E53FA"/>
    <w:rsid w:val="007E5586"/>
    <w:rsid w:val="007E5601"/>
    <w:rsid w:val="007E586B"/>
    <w:rsid w:val="007E5BB2"/>
    <w:rsid w:val="007E65AC"/>
    <w:rsid w:val="007E69C6"/>
    <w:rsid w:val="007E732D"/>
    <w:rsid w:val="007E7477"/>
    <w:rsid w:val="007E74DE"/>
    <w:rsid w:val="007E75C3"/>
    <w:rsid w:val="007E7613"/>
    <w:rsid w:val="007E7741"/>
    <w:rsid w:val="007E786E"/>
    <w:rsid w:val="007E7AD7"/>
    <w:rsid w:val="007E7BCC"/>
    <w:rsid w:val="007E7DE4"/>
    <w:rsid w:val="007E7E5F"/>
    <w:rsid w:val="007F0177"/>
    <w:rsid w:val="007F0702"/>
    <w:rsid w:val="007F08CD"/>
    <w:rsid w:val="007F0C2A"/>
    <w:rsid w:val="007F0DEF"/>
    <w:rsid w:val="007F0E3D"/>
    <w:rsid w:val="007F1147"/>
    <w:rsid w:val="007F12A1"/>
    <w:rsid w:val="007F137B"/>
    <w:rsid w:val="007F1777"/>
    <w:rsid w:val="007F19A4"/>
    <w:rsid w:val="007F19BC"/>
    <w:rsid w:val="007F1A34"/>
    <w:rsid w:val="007F1B5C"/>
    <w:rsid w:val="007F1CB1"/>
    <w:rsid w:val="007F1D7F"/>
    <w:rsid w:val="007F1E3F"/>
    <w:rsid w:val="007F2012"/>
    <w:rsid w:val="007F227D"/>
    <w:rsid w:val="007F2477"/>
    <w:rsid w:val="007F2D81"/>
    <w:rsid w:val="007F2DB7"/>
    <w:rsid w:val="007F2F7A"/>
    <w:rsid w:val="007F30BC"/>
    <w:rsid w:val="007F3243"/>
    <w:rsid w:val="007F34A1"/>
    <w:rsid w:val="007F39BC"/>
    <w:rsid w:val="007F3C5B"/>
    <w:rsid w:val="007F40B5"/>
    <w:rsid w:val="007F4112"/>
    <w:rsid w:val="007F44F8"/>
    <w:rsid w:val="007F4504"/>
    <w:rsid w:val="007F45B3"/>
    <w:rsid w:val="007F4667"/>
    <w:rsid w:val="007F46D3"/>
    <w:rsid w:val="007F48EA"/>
    <w:rsid w:val="007F4936"/>
    <w:rsid w:val="007F4C8C"/>
    <w:rsid w:val="007F4E5F"/>
    <w:rsid w:val="007F5976"/>
    <w:rsid w:val="007F5979"/>
    <w:rsid w:val="007F5A1E"/>
    <w:rsid w:val="007F5C7E"/>
    <w:rsid w:val="007F5CA3"/>
    <w:rsid w:val="007F5D06"/>
    <w:rsid w:val="007F61F2"/>
    <w:rsid w:val="007F64E0"/>
    <w:rsid w:val="007F68BC"/>
    <w:rsid w:val="007F69BC"/>
    <w:rsid w:val="007F6B99"/>
    <w:rsid w:val="007F6CBD"/>
    <w:rsid w:val="007F6D92"/>
    <w:rsid w:val="007F6E04"/>
    <w:rsid w:val="007F6E14"/>
    <w:rsid w:val="007F6E52"/>
    <w:rsid w:val="007F7104"/>
    <w:rsid w:val="007F77D8"/>
    <w:rsid w:val="007F7BE9"/>
    <w:rsid w:val="00800EAE"/>
    <w:rsid w:val="008010DB"/>
    <w:rsid w:val="008014D1"/>
    <w:rsid w:val="00801888"/>
    <w:rsid w:val="00801E4D"/>
    <w:rsid w:val="00801FDF"/>
    <w:rsid w:val="00802395"/>
    <w:rsid w:val="008023C3"/>
    <w:rsid w:val="0080250C"/>
    <w:rsid w:val="00802957"/>
    <w:rsid w:val="00802C63"/>
    <w:rsid w:val="00802EFD"/>
    <w:rsid w:val="00803191"/>
    <w:rsid w:val="00803479"/>
    <w:rsid w:val="008034F7"/>
    <w:rsid w:val="0080361D"/>
    <w:rsid w:val="00803647"/>
    <w:rsid w:val="008036C0"/>
    <w:rsid w:val="00803C73"/>
    <w:rsid w:val="00803CE5"/>
    <w:rsid w:val="00803D2E"/>
    <w:rsid w:val="00803F00"/>
    <w:rsid w:val="008041C7"/>
    <w:rsid w:val="008042EE"/>
    <w:rsid w:val="00804449"/>
    <w:rsid w:val="008045D8"/>
    <w:rsid w:val="00804976"/>
    <w:rsid w:val="00804A20"/>
    <w:rsid w:val="00804AAC"/>
    <w:rsid w:val="00804C63"/>
    <w:rsid w:val="00804C71"/>
    <w:rsid w:val="008051D9"/>
    <w:rsid w:val="008054E7"/>
    <w:rsid w:val="0080592E"/>
    <w:rsid w:val="00805C19"/>
    <w:rsid w:val="00805F52"/>
    <w:rsid w:val="00805F5E"/>
    <w:rsid w:val="008061B2"/>
    <w:rsid w:val="008065BB"/>
    <w:rsid w:val="0080669F"/>
    <w:rsid w:val="008066FA"/>
    <w:rsid w:val="00806C83"/>
    <w:rsid w:val="00806E03"/>
    <w:rsid w:val="00806ECF"/>
    <w:rsid w:val="0080701B"/>
    <w:rsid w:val="00807060"/>
    <w:rsid w:val="0080742D"/>
    <w:rsid w:val="00807483"/>
    <w:rsid w:val="008079CC"/>
    <w:rsid w:val="00807A20"/>
    <w:rsid w:val="00807B6E"/>
    <w:rsid w:val="00807FCC"/>
    <w:rsid w:val="00810182"/>
    <w:rsid w:val="008107DB"/>
    <w:rsid w:val="00810A7F"/>
    <w:rsid w:val="00810C41"/>
    <w:rsid w:val="00810C4E"/>
    <w:rsid w:val="00810DBB"/>
    <w:rsid w:val="00810EBC"/>
    <w:rsid w:val="00811051"/>
    <w:rsid w:val="0081105F"/>
    <w:rsid w:val="008113E1"/>
    <w:rsid w:val="008118CE"/>
    <w:rsid w:val="00811B52"/>
    <w:rsid w:val="00811F1B"/>
    <w:rsid w:val="00812562"/>
    <w:rsid w:val="00812E36"/>
    <w:rsid w:val="0081357C"/>
    <w:rsid w:val="00813595"/>
    <w:rsid w:val="008136B6"/>
    <w:rsid w:val="00813C0F"/>
    <w:rsid w:val="00813C16"/>
    <w:rsid w:val="008142D7"/>
    <w:rsid w:val="00814528"/>
    <w:rsid w:val="00814686"/>
    <w:rsid w:val="008148EA"/>
    <w:rsid w:val="00814922"/>
    <w:rsid w:val="00814D88"/>
    <w:rsid w:val="00814EF7"/>
    <w:rsid w:val="0081506F"/>
    <w:rsid w:val="0081543A"/>
    <w:rsid w:val="00815445"/>
    <w:rsid w:val="00815608"/>
    <w:rsid w:val="00815A26"/>
    <w:rsid w:val="00815ABE"/>
    <w:rsid w:val="00815AF5"/>
    <w:rsid w:val="00815CA6"/>
    <w:rsid w:val="00815F56"/>
    <w:rsid w:val="00815FBD"/>
    <w:rsid w:val="00816706"/>
    <w:rsid w:val="008167F4"/>
    <w:rsid w:val="008169F1"/>
    <w:rsid w:val="00816AE1"/>
    <w:rsid w:val="00816B26"/>
    <w:rsid w:val="00816DD9"/>
    <w:rsid w:val="008174E7"/>
    <w:rsid w:val="0081768B"/>
    <w:rsid w:val="0081770C"/>
    <w:rsid w:val="0081798A"/>
    <w:rsid w:val="00817A96"/>
    <w:rsid w:val="00817B19"/>
    <w:rsid w:val="0082020B"/>
    <w:rsid w:val="008203D1"/>
    <w:rsid w:val="00820465"/>
    <w:rsid w:val="00820689"/>
    <w:rsid w:val="008207E9"/>
    <w:rsid w:val="008207F9"/>
    <w:rsid w:val="00820A27"/>
    <w:rsid w:val="00820B4A"/>
    <w:rsid w:val="00821139"/>
    <w:rsid w:val="00821519"/>
    <w:rsid w:val="008216E3"/>
    <w:rsid w:val="0082183F"/>
    <w:rsid w:val="00821BCB"/>
    <w:rsid w:val="00821E0C"/>
    <w:rsid w:val="0082243C"/>
    <w:rsid w:val="0082244E"/>
    <w:rsid w:val="0082258D"/>
    <w:rsid w:val="0082280B"/>
    <w:rsid w:val="00822C04"/>
    <w:rsid w:val="00822F8A"/>
    <w:rsid w:val="00823193"/>
    <w:rsid w:val="00823408"/>
    <w:rsid w:val="008236D9"/>
    <w:rsid w:val="008239D9"/>
    <w:rsid w:val="00823E0A"/>
    <w:rsid w:val="008247DB"/>
    <w:rsid w:val="00824BD9"/>
    <w:rsid w:val="00824DB0"/>
    <w:rsid w:val="00824EF0"/>
    <w:rsid w:val="00824FA5"/>
    <w:rsid w:val="0082504C"/>
    <w:rsid w:val="00825185"/>
    <w:rsid w:val="0082577C"/>
    <w:rsid w:val="00825A8C"/>
    <w:rsid w:val="00825C0E"/>
    <w:rsid w:val="00825C53"/>
    <w:rsid w:val="008260C6"/>
    <w:rsid w:val="00826403"/>
    <w:rsid w:val="0082641B"/>
    <w:rsid w:val="008265B8"/>
    <w:rsid w:val="00826720"/>
    <w:rsid w:val="008267DC"/>
    <w:rsid w:val="0082685E"/>
    <w:rsid w:val="00826989"/>
    <w:rsid w:val="00826B8C"/>
    <w:rsid w:val="00826E04"/>
    <w:rsid w:val="0082777A"/>
    <w:rsid w:val="00830010"/>
    <w:rsid w:val="00830308"/>
    <w:rsid w:val="0083049F"/>
    <w:rsid w:val="00830615"/>
    <w:rsid w:val="00830AF6"/>
    <w:rsid w:val="00830E11"/>
    <w:rsid w:val="008315F1"/>
    <w:rsid w:val="008316FE"/>
    <w:rsid w:val="00831799"/>
    <w:rsid w:val="008318FF"/>
    <w:rsid w:val="00831E6F"/>
    <w:rsid w:val="00831EE8"/>
    <w:rsid w:val="00831F60"/>
    <w:rsid w:val="008323A2"/>
    <w:rsid w:val="0083242D"/>
    <w:rsid w:val="008326D9"/>
    <w:rsid w:val="0083271A"/>
    <w:rsid w:val="008327FC"/>
    <w:rsid w:val="0083379B"/>
    <w:rsid w:val="0083394D"/>
    <w:rsid w:val="00833970"/>
    <w:rsid w:val="00833ACD"/>
    <w:rsid w:val="00833BCF"/>
    <w:rsid w:val="008342C7"/>
    <w:rsid w:val="0083437F"/>
    <w:rsid w:val="008344F1"/>
    <w:rsid w:val="008347E8"/>
    <w:rsid w:val="00834873"/>
    <w:rsid w:val="00834907"/>
    <w:rsid w:val="008349EE"/>
    <w:rsid w:val="00834A0A"/>
    <w:rsid w:val="00834BDB"/>
    <w:rsid w:val="00834BF4"/>
    <w:rsid w:val="00834DD9"/>
    <w:rsid w:val="008351A2"/>
    <w:rsid w:val="008354BF"/>
    <w:rsid w:val="00835BDD"/>
    <w:rsid w:val="00835E26"/>
    <w:rsid w:val="00835F50"/>
    <w:rsid w:val="00836020"/>
    <w:rsid w:val="0083603B"/>
    <w:rsid w:val="00836158"/>
    <w:rsid w:val="008362A4"/>
    <w:rsid w:val="008369FF"/>
    <w:rsid w:val="00836ADD"/>
    <w:rsid w:val="008377AA"/>
    <w:rsid w:val="008377D2"/>
    <w:rsid w:val="00837865"/>
    <w:rsid w:val="00840256"/>
    <w:rsid w:val="008402A7"/>
    <w:rsid w:val="008405F0"/>
    <w:rsid w:val="008409A1"/>
    <w:rsid w:val="008409A7"/>
    <w:rsid w:val="00840D87"/>
    <w:rsid w:val="00840E7A"/>
    <w:rsid w:val="008411A9"/>
    <w:rsid w:val="0084133B"/>
    <w:rsid w:val="0084279D"/>
    <w:rsid w:val="00842928"/>
    <w:rsid w:val="00842A26"/>
    <w:rsid w:val="00842B15"/>
    <w:rsid w:val="00842B63"/>
    <w:rsid w:val="00842FE8"/>
    <w:rsid w:val="00843635"/>
    <w:rsid w:val="008437D6"/>
    <w:rsid w:val="0084390D"/>
    <w:rsid w:val="00843D44"/>
    <w:rsid w:val="00843D46"/>
    <w:rsid w:val="00843DC3"/>
    <w:rsid w:val="00843F88"/>
    <w:rsid w:val="0084421E"/>
    <w:rsid w:val="008442B4"/>
    <w:rsid w:val="0084471C"/>
    <w:rsid w:val="00844870"/>
    <w:rsid w:val="008448B4"/>
    <w:rsid w:val="00844A1B"/>
    <w:rsid w:val="00844DF4"/>
    <w:rsid w:val="00844F19"/>
    <w:rsid w:val="008451BC"/>
    <w:rsid w:val="00845202"/>
    <w:rsid w:val="008453ED"/>
    <w:rsid w:val="0084577E"/>
    <w:rsid w:val="00845C16"/>
    <w:rsid w:val="00845F53"/>
    <w:rsid w:val="00846166"/>
    <w:rsid w:val="008463F5"/>
    <w:rsid w:val="008464D9"/>
    <w:rsid w:val="008465FF"/>
    <w:rsid w:val="0084677E"/>
    <w:rsid w:val="00846B62"/>
    <w:rsid w:val="00846C28"/>
    <w:rsid w:val="00846D00"/>
    <w:rsid w:val="00846DB0"/>
    <w:rsid w:val="008473C3"/>
    <w:rsid w:val="00847442"/>
    <w:rsid w:val="00847788"/>
    <w:rsid w:val="00847969"/>
    <w:rsid w:val="00850266"/>
    <w:rsid w:val="00850287"/>
    <w:rsid w:val="00850A83"/>
    <w:rsid w:val="00850D7A"/>
    <w:rsid w:val="00850E0C"/>
    <w:rsid w:val="00850F1A"/>
    <w:rsid w:val="00850F6A"/>
    <w:rsid w:val="008510D0"/>
    <w:rsid w:val="0085112B"/>
    <w:rsid w:val="008511B9"/>
    <w:rsid w:val="00851433"/>
    <w:rsid w:val="0085161C"/>
    <w:rsid w:val="00851934"/>
    <w:rsid w:val="008519D6"/>
    <w:rsid w:val="00851A01"/>
    <w:rsid w:val="00851EA1"/>
    <w:rsid w:val="00852391"/>
    <w:rsid w:val="008525E7"/>
    <w:rsid w:val="008532A8"/>
    <w:rsid w:val="0085337D"/>
    <w:rsid w:val="0085338C"/>
    <w:rsid w:val="008538AA"/>
    <w:rsid w:val="00853D6D"/>
    <w:rsid w:val="0085412E"/>
    <w:rsid w:val="008542FC"/>
    <w:rsid w:val="008544AD"/>
    <w:rsid w:val="008544C3"/>
    <w:rsid w:val="0085466C"/>
    <w:rsid w:val="008546D1"/>
    <w:rsid w:val="00854B35"/>
    <w:rsid w:val="00854EEC"/>
    <w:rsid w:val="008557D2"/>
    <w:rsid w:val="0085592B"/>
    <w:rsid w:val="00855E07"/>
    <w:rsid w:val="00855EEC"/>
    <w:rsid w:val="00856400"/>
    <w:rsid w:val="0085645A"/>
    <w:rsid w:val="0085661B"/>
    <w:rsid w:val="008568B0"/>
    <w:rsid w:val="00857085"/>
    <w:rsid w:val="0085755A"/>
    <w:rsid w:val="00857690"/>
    <w:rsid w:val="008578A2"/>
    <w:rsid w:val="00857ABC"/>
    <w:rsid w:val="00861417"/>
    <w:rsid w:val="00861DE0"/>
    <w:rsid w:val="0086207C"/>
    <w:rsid w:val="00862673"/>
    <w:rsid w:val="00862818"/>
    <w:rsid w:val="00862F80"/>
    <w:rsid w:val="0086300B"/>
    <w:rsid w:val="00863683"/>
    <w:rsid w:val="00863727"/>
    <w:rsid w:val="00863940"/>
    <w:rsid w:val="00863951"/>
    <w:rsid w:val="00863C9C"/>
    <w:rsid w:val="00863DEB"/>
    <w:rsid w:val="00863E31"/>
    <w:rsid w:val="00863F68"/>
    <w:rsid w:val="008640E5"/>
    <w:rsid w:val="0086419C"/>
    <w:rsid w:val="008646B8"/>
    <w:rsid w:val="00864BA6"/>
    <w:rsid w:val="00864E92"/>
    <w:rsid w:val="00864EBC"/>
    <w:rsid w:val="00865014"/>
    <w:rsid w:val="00865048"/>
    <w:rsid w:val="0086538B"/>
    <w:rsid w:val="0086549A"/>
    <w:rsid w:val="00865B5F"/>
    <w:rsid w:val="00865D8F"/>
    <w:rsid w:val="00866340"/>
    <w:rsid w:val="008663C0"/>
    <w:rsid w:val="008664ED"/>
    <w:rsid w:val="0086671D"/>
    <w:rsid w:val="008668EE"/>
    <w:rsid w:val="00866B1E"/>
    <w:rsid w:val="008670D9"/>
    <w:rsid w:val="008671A9"/>
    <w:rsid w:val="008671B4"/>
    <w:rsid w:val="00867302"/>
    <w:rsid w:val="008673B4"/>
    <w:rsid w:val="00867481"/>
    <w:rsid w:val="008674C3"/>
    <w:rsid w:val="0086797D"/>
    <w:rsid w:val="008679D7"/>
    <w:rsid w:val="00867A06"/>
    <w:rsid w:val="00867AA2"/>
    <w:rsid w:val="00867B75"/>
    <w:rsid w:val="00867C41"/>
    <w:rsid w:val="00867D5D"/>
    <w:rsid w:val="00867D5E"/>
    <w:rsid w:val="00867E34"/>
    <w:rsid w:val="00867FEF"/>
    <w:rsid w:val="00870158"/>
    <w:rsid w:val="00870498"/>
    <w:rsid w:val="00870650"/>
    <w:rsid w:val="0087097D"/>
    <w:rsid w:val="00870998"/>
    <w:rsid w:val="00870AF1"/>
    <w:rsid w:val="00870CC8"/>
    <w:rsid w:val="00871015"/>
    <w:rsid w:val="008716FA"/>
    <w:rsid w:val="00871937"/>
    <w:rsid w:val="00871EFA"/>
    <w:rsid w:val="00871F9A"/>
    <w:rsid w:val="00871FB2"/>
    <w:rsid w:val="00871FEA"/>
    <w:rsid w:val="0087239D"/>
    <w:rsid w:val="008723AF"/>
    <w:rsid w:val="008728DD"/>
    <w:rsid w:val="008729D0"/>
    <w:rsid w:val="00872F08"/>
    <w:rsid w:val="008730CB"/>
    <w:rsid w:val="008734AD"/>
    <w:rsid w:val="008737E8"/>
    <w:rsid w:val="00873993"/>
    <w:rsid w:val="00873A07"/>
    <w:rsid w:val="00873B75"/>
    <w:rsid w:val="00873E59"/>
    <w:rsid w:val="00873F68"/>
    <w:rsid w:val="00874A7A"/>
    <w:rsid w:val="00874D47"/>
    <w:rsid w:val="00874FC7"/>
    <w:rsid w:val="008751EE"/>
    <w:rsid w:val="0087582C"/>
    <w:rsid w:val="00875F63"/>
    <w:rsid w:val="00876090"/>
    <w:rsid w:val="00876197"/>
    <w:rsid w:val="008762D9"/>
    <w:rsid w:val="008764CF"/>
    <w:rsid w:val="008767FE"/>
    <w:rsid w:val="00876B32"/>
    <w:rsid w:val="008771A6"/>
    <w:rsid w:val="00877558"/>
    <w:rsid w:val="00877832"/>
    <w:rsid w:val="00877853"/>
    <w:rsid w:val="00877DFC"/>
    <w:rsid w:val="0088031A"/>
    <w:rsid w:val="0088031E"/>
    <w:rsid w:val="00880472"/>
    <w:rsid w:val="00880475"/>
    <w:rsid w:val="00880600"/>
    <w:rsid w:val="008806D9"/>
    <w:rsid w:val="00880F0D"/>
    <w:rsid w:val="0088160F"/>
    <w:rsid w:val="008816B1"/>
    <w:rsid w:val="0088170D"/>
    <w:rsid w:val="0088174D"/>
    <w:rsid w:val="008817DE"/>
    <w:rsid w:val="00881D61"/>
    <w:rsid w:val="008821CF"/>
    <w:rsid w:val="0088232B"/>
    <w:rsid w:val="00882348"/>
    <w:rsid w:val="0088244A"/>
    <w:rsid w:val="008829E1"/>
    <w:rsid w:val="00882AA6"/>
    <w:rsid w:val="00882AC3"/>
    <w:rsid w:val="00882E6A"/>
    <w:rsid w:val="00883066"/>
    <w:rsid w:val="0088321A"/>
    <w:rsid w:val="00883262"/>
    <w:rsid w:val="00883553"/>
    <w:rsid w:val="00883B1C"/>
    <w:rsid w:val="00884526"/>
    <w:rsid w:val="00884864"/>
    <w:rsid w:val="00884AEC"/>
    <w:rsid w:val="00884D8E"/>
    <w:rsid w:val="00885126"/>
    <w:rsid w:val="008852EB"/>
    <w:rsid w:val="00885444"/>
    <w:rsid w:val="00885639"/>
    <w:rsid w:val="00885728"/>
    <w:rsid w:val="008857BE"/>
    <w:rsid w:val="00885CD9"/>
    <w:rsid w:val="00886CD2"/>
    <w:rsid w:val="00886E84"/>
    <w:rsid w:val="00886E8E"/>
    <w:rsid w:val="0088715A"/>
    <w:rsid w:val="008875CC"/>
    <w:rsid w:val="00887AB9"/>
    <w:rsid w:val="00887AC7"/>
    <w:rsid w:val="00887E0F"/>
    <w:rsid w:val="00887EAB"/>
    <w:rsid w:val="0089048A"/>
    <w:rsid w:val="008908A9"/>
    <w:rsid w:val="008909C8"/>
    <w:rsid w:val="00891594"/>
    <w:rsid w:val="0089168A"/>
    <w:rsid w:val="00892047"/>
    <w:rsid w:val="008924E3"/>
    <w:rsid w:val="0089265B"/>
    <w:rsid w:val="00892828"/>
    <w:rsid w:val="00892D28"/>
    <w:rsid w:val="00892EBF"/>
    <w:rsid w:val="00892FA8"/>
    <w:rsid w:val="008931B4"/>
    <w:rsid w:val="00893337"/>
    <w:rsid w:val="008933CB"/>
    <w:rsid w:val="008936F8"/>
    <w:rsid w:val="008937E2"/>
    <w:rsid w:val="00893C6E"/>
    <w:rsid w:val="00893C91"/>
    <w:rsid w:val="00894260"/>
    <w:rsid w:val="008948A7"/>
    <w:rsid w:val="00894F31"/>
    <w:rsid w:val="0089511E"/>
    <w:rsid w:val="00895459"/>
    <w:rsid w:val="00895BA9"/>
    <w:rsid w:val="00895C8E"/>
    <w:rsid w:val="00895DB6"/>
    <w:rsid w:val="00895DFB"/>
    <w:rsid w:val="00895FF1"/>
    <w:rsid w:val="00895FFE"/>
    <w:rsid w:val="00896031"/>
    <w:rsid w:val="00896E2B"/>
    <w:rsid w:val="008978E9"/>
    <w:rsid w:val="00897AAD"/>
    <w:rsid w:val="00897C1B"/>
    <w:rsid w:val="00897C24"/>
    <w:rsid w:val="008A0163"/>
    <w:rsid w:val="008A0371"/>
    <w:rsid w:val="008A0445"/>
    <w:rsid w:val="008A054D"/>
    <w:rsid w:val="008A0E2E"/>
    <w:rsid w:val="008A1188"/>
    <w:rsid w:val="008A1487"/>
    <w:rsid w:val="008A155B"/>
    <w:rsid w:val="008A167D"/>
    <w:rsid w:val="008A16EF"/>
    <w:rsid w:val="008A186F"/>
    <w:rsid w:val="008A18C8"/>
    <w:rsid w:val="008A1B16"/>
    <w:rsid w:val="008A1D7C"/>
    <w:rsid w:val="008A2307"/>
    <w:rsid w:val="008A24AD"/>
    <w:rsid w:val="008A2AB4"/>
    <w:rsid w:val="008A32DF"/>
    <w:rsid w:val="008A37A8"/>
    <w:rsid w:val="008A3CBE"/>
    <w:rsid w:val="008A4130"/>
    <w:rsid w:val="008A41BB"/>
    <w:rsid w:val="008A444E"/>
    <w:rsid w:val="008A47A6"/>
    <w:rsid w:val="008A4C89"/>
    <w:rsid w:val="008A538A"/>
    <w:rsid w:val="008A5398"/>
    <w:rsid w:val="008A547E"/>
    <w:rsid w:val="008A5694"/>
    <w:rsid w:val="008A5CF6"/>
    <w:rsid w:val="008A5E4B"/>
    <w:rsid w:val="008A5FB0"/>
    <w:rsid w:val="008A630A"/>
    <w:rsid w:val="008A66A8"/>
    <w:rsid w:val="008A673E"/>
    <w:rsid w:val="008A6867"/>
    <w:rsid w:val="008A6958"/>
    <w:rsid w:val="008A6B7E"/>
    <w:rsid w:val="008A6F44"/>
    <w:rsid w:val="008A6FF0"/>
    <w:rsid w:val="008A6FF5"/>
    <w:rsid w:val="008A72FD"/>
    <w:rsid w:val="008A743C"/>
    <w:rsid w:val="008A785B"/>
    <w:rsid w:val="008A79E2"/>
    <w:rsid w:val="008A7C75"/>
    <w:rsid w:val="008A7EA4"/>
    <w:rsid w:val="008B01C9"/>
    <w:rsid w:val="008B03CE"/>
    <w:rsid w:val="008B05B9"/>
    <w:rsid w:val="008B05C3"/>
    <w:rsid w:val="008B0D9F"/>
    <w:rsid w:val="008B104A"/>
    <w:rsid w:val="008B1298"/>
    <w:rsid w:val="008B1357"/>
    <w:rsid w:val="008B1478"/>
    <w:rsid w:val="008B19DC"/>
    <w:rsid w:val="008B1CD5"/>
    <w:rsid w:val="008B2454"/>
    <w:rsid w:val="008B266B"/>
    <w:rsid w:val="008B27EB"/>
    <w:rsid w:val="008B2A14"/>
    <w:rsid w:val="008B2DE9"/>
    <w:rsid w:val="008B32FA"/>
    <w:rsid w:val="008B359C"/>
    <w:rsid w:val="008B38E1"/>
    <w:rsid w:val="008B3AEE"/>
    <w:rsid w:val="008B3E92"/>
    <w:rsid w:val="008B4785"/>
    <w:rsid w:val="008B4961"/>
    <w:rsid w:val="008B4C6C"/>
    <w:rsid w:val="008B4DAA"/>
    <w:rsid w:val="008B53A7"/>
    <w:rsid w:val="008B53CF"/>
    <w:rsid w:val="008B5427"/>
    <w:rsid w:val="008B5529"/>
    <w:rsid w:val="008B5602"/>
    <w:rsid w:val="008B56E9"/>
    <w:rsid w:val="008B5AE6"/>
    <w:rsid w:val="008B6465"/>
    <w:rsid w:val="008B6DB6"/>
    <w:rsid w:val="008B6EE9"/>
    <w:rsid w:val="008B70A1"/>
    <w:rsid w:val="008B717A"/>
    <w:rsid w:val="008B720D"/>
    <w:rsid w:val="008B7231"/>
    <w:rsid w:val="008B74E1"/>
    <w:rsid w:val="008B7736"/>
    <w:rsid w:val="008B7B2F"/>
    <w:rsid w:val="008B7B5D"/>
    <w:rsid w:val="008B7F5A"/>
    <w:rsid w:val="008C0017"/>
    <w:rsid w:val="008C0118"/>
    <w:rsid w:val="008C022C"/>
    <w:rsid w:val="008C025B"/>
    <w:rsid w:val="008C028B"/>
    <w:rsid w:val="008C0783"/>
    <w:rsid w:val="008C0811"/>
    <w:rsid w:val="008C0A99"/>
    <w:rsid w:val="008C0BC0"/>
    <w:rsid w:val="008C0CC6"/>
    <w:rsid w:val="008C107D"/>
    <w:rsid w:val="008C11F0"/>
    <w:rsid w:val="008C12CF"/>
    <w:rsid w:val="008C1545"/>
    <w:rsid w:val="008C1D7A"/>
    <w:rsid w:val="008C1D95"/>
    <w:rsid w:val="008C2031"/>
    <w:rsid w:val="008C2218"/>
    <w:rsid w:val="008C2235"/>
    <w:rsid w:val="008C237A"/>
    <w:rsid w:val="008C23AD"/>
    <w:rsid w:val="008C260D"/>
    <w:rsid w:val="008C264F"/>
    <w:rsid w:val="008C2819"/>
    <w:rsid w:val="008C2D73"/>
    <w:rsid w:val="008C2ECF"/>
    <w:rsid w:val="008C32F8"/>
    <w:rsid w:val="008C37C5"/>
    <w:rsid w:val="008C3854"/>
    <w:rsid w:val="008C389B"/>
    <w:rsid w:val="008C3906"/>
    <w:rsid w:val="008C394E"/>
    <w:rsid w:val="008C3954"/>
    <w:rsid w:val="008C3A6C"/>
    <w:rsid w:val="008C3F88"/>
    <w:rsid w:val="008C4950"/>
    <w:rsid w:val="008C4D38"/>
    <w:rsid w:val="008C4F19"/>
    <w:rsid w:val="008C51E5"/>
    <w:rsid w:val="008C59DA"/>
    <w:rsid w:val="008C5CD1"/>
    <w:rsid w:val="008C5F9A"/>
    <w:rsid w:val="008C6030"/>
    <w:rsid w:val="008C6761"/>
    <w:rsid w:val="008C6ABD"/>
    <w:rsid w:val="008C786B"/>
    <w:rsid w:val="008C7D63"/>
    <w:rsid w:val="008D0184"/>
    <w:rsid w:val="008D096D"/>
    <w:rsid w:val="008D0B08"/>
    <w:rsid w:val="008D0BE6"/>
    <w:rsid w:val="008D0E12"/>
    <w:rsid w:val="008D1167"/>
    <w:rsid w:val="008D130F"/>
    <w:rsid w:val="008D17A9"/>
    <w:rsid w:val="008D1A66"/>
    <w:rsid w:val="008D1D0B"/>
    <w:rsid w:val="008D1DAF"/>
    <w:rsid w:val="008D1FDF"/>
    <w:rsid w:val="008D206C"/>
    <w:rsid w:val="008D25AF"/>
    <w:rsid w:val="008D26B9"/>
    <w:rsid w:val="008D2F1F"/>
    <w:rsid w:val="008D318B"/>
    <w:rsid w:val="008D3440"/>
    <w:rsid w:val="008D35BB"/>
    <w:rsid w:val="008D3D07"/>
    <w:rsid w:val="008D4038"/>
    <w:rsid w:val="008D424D"/>
    <w:rsid w:val="008D4728"/>
    <w:rsid w:val="008D47E4"/>
    <w:rsid w:val="008D4837"/>
    <w:rsid w:val="008D4888"/>
    <w:rsid w:val="008D4B91"/>
    <w:rsid w:val="008D4BED"/>
    <w:rsid w:val="008D4C65"/>
    <w:rsid w:val="008D4EDB"/>
    <w:rsid w:val="008D4F6C"/>
    <w:rsid w:val="008D5137"/>
    <w:rsid w:val="008D5157"/>
    <w:rsid w:val="008D565E"/>
    <w:rsid w:val="008D56E8"/>
    <w:rsid w:val="008D5C59"/>
    <w:rsid w:val="008D5C5E"/>
    <w:rsid w:val="008D5C67"/>
    <w:rsid w:val="008D6091"/>
    <w:rsid w:val="008D63A3"/>
    <w:rsid w:val="008D642D"/>
    <w:rsid w:val="008D649C"/>
    <w:rsid w:val="008D6907"/>
    <w:rsid w:val="008D6F9C"/>
    <w:rsid w:val="008D772F"/>
    <w:rsid w:val="008D7B76"/>
    <w:rsid w:val="008D7D2E"/>
    <w:rsid w:val="008D7D44"/>
    <w:rsid w:val="008D89F5"/>
    <w:rsid w:val="008E0140"/>
    <w:rsid w:val="008E06BB"/>
    <w:rsid w:val="008E0B5E"/>
    <w:rsid w:val="008E0DFA"/>
    <w:rsid w:val="008E0E36"/>
    <w:rsid w:val="008E1124"/>
    <w:rsid w:val="008E1171"/>
    <w:rsid w:val="008E14B2"/>
    <w:rsid w:val="008E18FD"/>
    <w:rsid w:val="008E1AAE"/>
    <w:rsid w:val="008E21FD"/>
    <w:rsid w:val="008E22DE"/>
    <w:rsid w:val="008E2630"/>
    <w:rsid w:val="008E2CC5"/>
    <w:rsid w:val="008E3029"/>
    <w:rsid w:val="008E304C"/>
    <w:rsid w:val="008E3171"/>
    <w:rsid w:val="008E31E1"/>
    <w:rsid w:val="008E3207"/>
    <w:rsid w:val="008E348D"/>
    <w:rsid w:val="008E3634"/>
    <w:rsid w:val="008E3818"/>
    <w:rsid w:val="008E389D"/>
    <w:rsid w:val="008E38C5"/>
    <w:rsid w:val="008E3AB7"/>
    <w:rsid w:val="008E3EEC"/>
    <w:rsid w:val="008E4143"/>
    <w:rsid w:val="008E4B6F"/>
    <w:rsid w:val="008E4C9E"/>
    <w:rsid w:val="008E4DD1"/>
    <w:rsid w:val="008E4F16"/>
    <w:rsid w:val="008E51AD"/>
    <w:rsid w:val="008E553C"/>
    <w:rsid w:val="008E5772"/>
    <w:rsid w:val="008E5951"/>
    <w:rsid w:val="008E59E4"/>
    <w:rsid w:val="008E5B5B"/>
    <w:rsid w:val="008E68BE"/>
    <w:rsid w:val="008E6A77"/>
    <w:rsid w:val="008E6BE9"/>
    <w:rsid w:val="008E6EC0"/>
    <w:rsid w:val="008E6F91"/>
    <w:rsid w:val="008E7133"/>
    <w:rsid w:val="008E78ED"/>
    <w:rsid w:val="008E7E0D"/>
    <w:rsid w:val="008E7EEE"/>
    <w:rsid w:val="008F02FC"/>
    <w:rsid w:val="008F0951"/>
    <w:rsid w:val="008F0B0C"/>
    <w:rsid w:val="008F0D3C"/>
    <w:rsid w:val="008F0DAA"/>
    <w:rsid w:val="008F130F"/>
    <w:rsid w:val="008F1347"/>
    <w:rsid w:val="008F1A0A"/>
    <w:rsid w:val="008F1E03"/>
    <w:rsid w:val="008F1FEE"/>
    <w:rsid w:val="008F20EB"/>
    <w:rsid w:val="008F2574"/>
    <w:rsid w:val="008F259D"/>
    <w:rsid w:val="008F345A"/>
    <w:rsid w:val="008F3694"/>
    <w:rsid w:val="008F392A"/>
    <w:rsid w:val="008F3D44"/>
    <w:rsid w:val="008F3EE7"/>
    <w:rsid w:val="008F40E3"/>
    <w:rsid w:val="008F438A"/>
    <w:rsid w:val="008F46C3"/>
    <w:rsid w:val="008F494D"/>
    <w:rsid w:val="008F4B04"/>
    <w:rsid w:val="008F4B48"/>
    <w:rsid w:val="008F4E82"/>
    <w:rsid w:val="008F5009"/>
    <w:rsid w:val="008F55D3"/>
    <w:rsid w:val="008F56E8"/>
    <w:rsid w:val="008F5E9A"/>
    <w:rsid w:val="008F5FD0"/>
    <w:rsid w:val="008F6588"/>
    <w:rsid w:val="008F687D"/>
    <w:rsid w:val="008F68FF"/>
    <w:rsid w:val="008F7301"/>
    <w:rsid w:val="008F7761"/>
    <w:rsid w:val="009001C6"/>
    <w:rsid w:val="009001ED"/>
    <w:rsid w:val="009001FE"/>
    <w:rsid w:val="0090030F"/>
    <w:rsid w:val="009004AA"/>
    <w:rsid w:val="00900B50"/>
    <w:rsid w:val="00900BFA"/>
    <w:rsid w:val="0090129E"/>
    <w:rsid w:val="0090171F"/>
    <w:rsid w:val="00901B08"/>
    <w:rsid w:val="00901BF8"/>
    <w:rsid w:val="00901E8B"/>
    <w:rsid w:val="00901F2F"/>
    <w:rsid w:val="00902282"/>
    <w:rsid w:val="00902631"/>
    <w:rsid w:val="009027C5"/>
    <w:rsid w:val="00902A6E"/>
    <w:rsid w:val="0090314B"/>
    <w:rsid w:val="009034D3"/>
    <w:rsid w:val="009039CA"/>
    <w:rsid w:val="00903AD2"/>
    <w:rsid w:val="00903CBC"/>
    <w:rsid w:val="00903E15"/>
    <w:rsid w:val="00903E66"/>
    <w:rsid w:val="00903F85"/>
    <w:rsid w:val="00903FF6"/>
    <w:rsid w:val="00904140"/>
    <w:rsid w:val="00904682"/>
    <w:rsid w:val="00904A0E"/>
    <w:rsid w:val="00904C44"/>
    <w:rsid w:val="00905135"/>
    <w:rsid w:val="00905191"/>
    <w:rsid w:val="00905971"/>
    <w:rsid w:val="00905E8D"/>
    <w:rsid w:val="00905F82"/>
    <w:rsid w:val="00906634"/>
    <w:rsid w:val="009066C5"/>
    <w:rsid w:val="00906FEA"/>
    <w:rsid w:val="00907144"/>
    <w:rsid w:val="00907393"/>
    <w:rsid w:val="009074F8"/>
    <w:rsid w:val="009076E8"/>
    <w:rsid w:val="00907706"/>
    <w:rsid w:val="0090779F"/>
    <w:rsid w:val="00907B85"/>
    <w:rsid w:val="00907B98"/>
    <w:rsid w:val="00907EF6"/>
    <w:rsid w:val="00907F16"/>
    <w:rsid w:val="00907F28"/>
    <w:rsid w:val="00910396"/>
    <w:rsid w:val="009103C0"/>
    <w:rsid w:val="00910652"/>
    <w:rsid w:val="00910D9E"/>
    <w:rsid w:val="00910F2F"/>
    <w:rsid w:val="00910FC6"/>
    <w:rsid w:val="0091124F"/>
    <w:rsid w:val="00911882"/>
    <w:rsid w:val="00911899"/>
    <w:rsid w:val="00911B0C"/>
    <w:rsid w:val="00911B3F"/>
    <w:rsid w:val="00911EBC"/>
    <w:rsid w:val="0091207D"/>
    <w:rsid w:val="00912142"/>
    <w:rsid w:val="00912175"/>
    <w:rsid w:val="00912250"/>
    <w:rsid w:val="00912D63"/>
    <w:rsid w:val="00912DFB"/>
    <w:rsid w:val="00912E0B"/>
    <w:rsid w:val="00913362"/>
    <w:rsid w:val="00914427"/>
    <w:rsid w:val="00914553"/>
    <w:rsid w:val="009149A3"/>
    <w:rsid w:val="009149FB"/>
    <w:rsid w:val="00915241"/>
    <w:rsid w:val="00915499"/>
    <w:rsid w:val="009154EF"/>
    <w:rsid w:val="009158CC"/>
    <w:rsid w:val="00915BD7"/>
    <w:rsid w:val="00915C8A"/>
    <w:rsid w:val="00915CB8"/>
    <w:rsid w:val="00916BF6"/>
    <w:rsid w:val="00916D04"/>
    <w:rsid w:val="00916D81"/>
    <w:rsid w:val="00916E4D"/>
    <w:rsid w:val="00916E91"/>
    <w:rsid w:val="00916F03"/>
    <w:rsid w:val="009170D1"/>
    <w:rsid w:val="0091720E"/>
    <w:rsid w:val="009174E1"/>
    <w:rsid w:val="009174F4"/>
    <w:rsid w:val="009179FF"/>
    <w:rsid w:val="009200A6"/>
    <w:rsid w:val="009202E6"/>
    <w:rsid w:val="009202F9"/>
    <w:rsid w:val="0092046C"/>
    <w:rsid w:val="00920546"/>
    <w:rsid w:val="00920C22"/>
    <w:rsid w:val="00920CA4"/>
    <w:rsid w:val="00920E9F"/>
    <w:rsid w:val="00921308"/>
    <w:rsid w:val="0092133F"/>
    <w:rsid w:val="00921391"/>
    <w:rsid w:val="009214D3"/>
    <w:rsid w:val="00921E89"/>
    <w:rsid w:val="00921ECE"/>
    <w:rsid w:val="009227AD"/>
    <w:rsid w:val="00922883"/>
    <w:rsid w:val="0092289D"/>
    <w:rsid w:val="00922D97"/>
    <w:rsid w:val="00922E66"/>
    <w:rsid w:val="009233EB"/>
    <w:rsid w:val="00923AA5"/>
    <w:rsid w:val="00923BE7"/>
    <w:rsid w:val="00923BEF"/>
    <w:rsid w:val="00923EE1"/>
    <w:rsid w:val="00924065"/>
    <w:rsid w:val="00924491"/>
    <w:rsid w:val="00924628"/>
    <w:rsid w:val="0092471E"/>
    <w:rsid w:val="0092477C"/>
    <w:rsid w:val="0092493E"/>
    <w:rsid w:val="00924BDF"/>
    <w:rsid w:val="00924D23"/>
    <w:rsid w:val="00925005"/>
    <w:rsid w:val="0092517E"/>
    <w:rsid w:val="0092530B"/>
    <w:rsid w:val="00925631"/>
    <w:rsid w:val="00925DE1"/>
    <w:rsid w:val="00925F77"/>
    <w:rsid w:val="009267DA"/>
    <w:rsid w:val="00926937"/>
    <w:rsid w:val="00926B89"/>
    <w:rsid w:val="0092743F"/>
    <w:rsid w:val="00927898"/>
    <w:rsid w:val="00927C10"/>
    <w:rsid w:val="00930157"/>
    <w:rsid w:val="0093087B"/>
    <w:rsid w:val="00930D0A"/>
    <w:rsid w:val="00930F13"/>
    <w:rsid w:val="009311AB"/>
    <w:rsid w:val="00931C94"/>
    <w:rsid w:val="009321AC"/>
    <w:rsid w:val="0093267B"/>
    <w:rsid w:val="009329B1"/>
    <w:rsid w:val="00933334"/>
    <w:rsid w:val="009335F0"/>
    <w:rsid w:val="0093380E"/>
    <w:rsid w:val="00933856"/>
    <w:rsid w:val="00933E5F"/>
    <w:rsid w:val="009342A0"/>
    <w:rsid w:val="00934421"/>
    <w:rsid w:val="00934D5D"/>
    <w:rsid w:val="009350F5"/>
    <w:rsid w:val="0093584C"/>
    <w:rsid w:val="00935ADB"/>
    <w:rsid w:val="00935E15"/>
    <w:rsid w:val="0093607A"/>
    <w:rsid w:val="00936428"/>
    <w:rsid w:val="00936901"/>
    <w:rsid w:val="00936B4D"/>
    <w:rsid w:val="00936B58"/>
    <w:rsid w:val="00936C27"/>
    <w:rsid w:val="00936FCB"/>
    <w:rsid w:val="009370B3"/>
    <w:rsid w:val="00937233"/>
    <w:rsid w:val="00937300"/>
    <w:rsid w:val="0093763A"/>
    <w:rsid w:val="00937787"/>
    <w:rsid w:val="00937964"/>
    <w:rsid w:val="00937A75"/>
    <w:rsid w:val="009401A6"/>
    <w:rsid w:val="0094076E"/>
    <w:rsid w:val="009413F3"/>
    <w:rsid w:val="009416F0"/>
    <w:rsid w:val="00941BFE"/>
    <w:rsid w:val="00941FC7"/>
    <w:rsid w:val="009420EF"/>
    <w:rsid w:val="00942449"/>
    <w:rsid w:val="009425DF"/>
    <w:rsid w:val="0094261E"/>
    <w:rsid w:val="009428A4"/>
    <w:rsid w:val="00942ACF"/>
    <w:rsid w:val="00942B34"/>
    <w:rsid w:val="00942D0F"/>
    <w:rsid w:val="00942EC6"/>
    <w:rsid w:val="009432DC"/>
    <w:rsid w:val="0094354B"/>
    <w:rsid w:val="00943722"/>
    <w:rsid w:val="00943757"/>
    <w:rsid w:val="009437DA"/>
    <w:rsid w:val="00943ECF"/>
    <w:rsid w:val="00943F77"/>
    <w:rsid w:val="009440E4"/>
    <w:rsid w:val="00944357"/>
    <w:rsid w:val="009447C8"/>
    <w:rsid w:val="0094483B"/>
    <w:rsid w:val="00944915"/>
    <w:rsid w:val="00944937"/>
    <w:rsid w:val="00944A4E"/>
    <w:rsid w:val="00944BBA"/>
    <w:rsid w:val="00945510"/>
    <w:rsid w:val="0094570E"/>
    <w:rsid w:val="00945714"/>
    <w:rsid w:val="0094590C"/>
    <w:rsid w:val="00945BFA"/>
    <w:rsid w:val="00945C4A"/>
    <w:rsid w:val="00945E6E"/>
    <w:rsid w:val="00945E7A"/>
    <w:rsid w:val="00946310"/>
    <w:rsid w:val="009463F7"/>
    <w:rsid w:val="00946401"/>
    <w:rsid w:val="00946930"/>
    <w:rsid w:val="00946D1B"/>
    <w:rsid w:val="009472CD"/>
    <w:rsid w:val="0094788B"/>
    <w:rsid w:val="00947B29"/>
    <w:rsid w:val="009508ED"/>
    <w:rsid w:val="00950D6C"/>
    <w:rsid w:val="00951048"/>
    <w:rsid w:val="00951114"/>
    <w:rsid w:val="00951337"/>
    <w:rsid w:val="00951362"/>
    <w:rsid w:val="009513E6"/>
    <w:rsid w:val="00951513"/>
    <w:rsid w:val="009520C7"/>
    <w:rsid w:val="009521A2"/>
    <w:rsid w:val="00952412"/>
    <w:rsid w:val="0095286F"/>
    <w:rsid w:val="00952AE9"/>
    <w:rsid w:val="00952BD0"/>
    <w:rsid w:val="00952C73"/>
    <w:rsid w:val="009530DF"/>
    <w:rsid w:val="009531CE"/>
    <w:rsid w:val="009531DE"/>
    <w:rsid w:val="00953553"/>
    <w:rsid w:val="00953572"/>
    <w:rsid w:val="0095365E"/>
    <w:rsid w:val="00953790"/>
    <w:rsid w:val="00953F45"/>
    <w:rsid w:val="009543C3"/>
    <w:rsid w:val="00954494"/>
    <w:rsid w:val="00954A02"/>
    <w:rsid w:val="00954A73"/>
    <w:rsid w:val="00954E88"/>
    <w:rsid w:val="00954EBB"/>
    <w:rsid w:val="009550D9"/>
    <w:rsid w:val="009553E5"/>
    <w:rsid w:val="009553FF"/>
    <w:rsid w:val="009556A4"/>
    <w:rsid w:val="00955735"/>
    <w:rsid w:val="00955878"/>
    <w:rsid w:val="00955A03"/>
    <w:rsid w:val="00955E2D"/>
    <w:rsid w:val="00955F30"/>
    <w:rsid w:val="009562E0"/>
    <w:rsid w:val="009566A7"/>
    <w:rsid w:val="009567C6"/>
    <w:rsid w:val="00956F3D"/>
    <w:rsid w:val="00957329"/>
    <w:rsid w:val="0095736C"/>
    <w:rsid w:val="00957388"/>
    <w:rsid w:val="00957484"/>
    <w:rsid w:val="009578E6"/>
    <w:rsid w:val="00957D36"/>
    <w:rsid w:val="00957EE9"/>
    <w:rsid w:val="0096016E"/>
    <w:rsid w:val="0096017A"/>
    <w:rsid w:val="009601E4"/>
    <w:rsid w:val="009603FA"/>
    <w:rsid w:val="00960C55"/>
    <w:rsid w:val="009611C0"/>
    <w:rsid w:val="009613EB"/>
    <w:rsid w:val="009614C4"/>
    <w:rsid w:val="00961D35"/>
    <w:rsid w:val="00961D86"/>
    <w:rsid w:val="00961FBF"/>
    <w:rsid w:val="00962379"/>
    <w:rsid w:val="009624C4"/>
    <w:rsid w:val="00962543"/>
    <w:rsid w:val="00962648"/>
    <w:rsid w:val="00962836"/>
    <w:rsid w:val="00962A94"/>
    <w:rsid w:val="00962AD8"/>
    <w:rsid w:val="00962B8C"/>
    <w:rsid w:val="00963470"/>
    <w:rsid w:val="00963A2D"/>
    <w:rsid w:val="00963B08"/>
    <w:rsid w:val="00963B9F"/>
    <w:rsid w:val="00963BDC"/>
    <w:rsid w:val="00963CFA"/>
    <w:rsid w:val="00964001"/>
    <w:rsid w:val="009646B2"/>
    <w:rsid w:val="00964C12"/>
    <w:rsid w:val="00964C81"/>
    <w:rsid w:val="00964FAA"/>
    <w:rsid w:val="009652C5"/>
    <w:rsid w:val="00965456"/>
    <w:rsid w:val="009657AF"/>
    <w:rsid w:val="00965AAC"/>
    <w:rsid w:val="00965C2C"/>
    <w:rsid w:val="00965D24"/>
    <w:rsid w:val="00966001"/>
    <w:rsid w:val="00966036"/>
    <w:rsid w:val="0096619D"/>
    <w:rsid w:val="00966512"/>
    <w:rsid w:val="0096676C"/>
    <w:rsid w:val="009669C1"/>
    <w:rsid w:val="00966CCD"/>
    <w:rsid w:val="00967012"/>
    <w:rsid w:val="009672EE"/>
    <w:rsid w:val="009672F7"/>
    <w:rsid w:val="00967509"/>
    <w:rsid w:val="0096761F"/>
    <w:rsid w:val="0096793E"/>
    <w:rsid w:val="00967C18"/>
    <w:rsid w:val="00970157"/>
    <w:rsid w:val="009706DE"/>
    <w:rsid w:val="009707EA"/>
    <w:rsid w:val="00971229"/>
    <w:rsid w:val="009713FF"/>
    <w:rsid w:val="0097162E"/>
    <w:rsid w:val="009726A0"/>
    <w:rsid w:val="009726EF"/>
    <w:rsid w:val="00972732"/>
    <w:rsid w:val="009728B2"/>
    <w:rsid w:val="009729DE"/>
    <w:rsid w:val="00972B36"/>
    <w:rsid w:val="00972C69"/>
    <w:rsid w:val="009731D1"/>
    <w:rsid w:val="00973523"/>
    <w:rsid w:val="0097359E"/>
    <w:rsid w:val="00973B63"/>
    <w:rsid w:val="00973D50"/>
    <w:rsid w:val="00974027"/>
    <w:rsid w:val="00974177"/>
    <w:rsid w:val="009743E1"/>
    <w:rsid w:val="00974AF7"/>
    <w:rsid w:val="00974B05"/>
    <w:rsid w:val="009765D8"/>
    <w:rsid w:val="0097670B"/>
    <w:rsid w:val="00976834"/>
    <w:rsid w:val="00977713"/>
    <w:rsid w:val="00977840"/>
    <w:rsid w:val="00977CA2"/>
    <w:rsid w:val="00977D5B"/>
    <w:rsid w:val="00977ECB"/>
    <w:rsid w:val="0098058C"/>
    <w:rsid w:val="009806CC"/>
    <w:rsid w:val="0098074C"/>
    <w:rsid w:val="00980756"/>
    <w:rsid w:val="0098092F"/>
    <w:rsid w:val="00980943"/>
    <w:rsid w:val="0098098B"/>
    <w:rsid w:val="009810FC"/>
    <w:rsid w:val="009815E1"/>
    <w:rsid w:val="00981686"/>
    <w:rsid w:val="00981F7C"/>
    <w:rsid w:val="00982264"/>
    <w:rsid w:val="00982B48"/>
    <w:rsid w:val="00982DAC"/>
    <w:rsid w:val="00982F2E"/>
    <w:rsid w:val="00982F65"/>
    <w:rsid w:val="00982FE3"/>
    <w:rsid w:val="00983435"/>
    <w:rsid w:val="00983696"/>
    <w:rsid w:val="0098369E"/>
    <w:rsid w:val="0098385C"/>
    <w:rsid w:val="009838BF"/>
    <w:rsid w:val="00983A02"/>
    <w:rsid w:val="00983C34"/>
    <w:rsid w:val="00983CFD"/>
    <w:rsid w:val="00983D7E"/>
    <w:rsid w:val="00983E87"/>
    <w:rsid w:val="00984143"/>
    <w:rsid w:val="00984804"/>
    <w:rsid w:val="00984A0B"/>
    <w:rsid w:val="00984A16"/>
    <w:rsid w:val="00985380"/>
    <w:rsid w:val="009857C7"/>
    <w:rsid w:val="00985809"/>
    <w:rsid w:val="00985A00"/>
    <w:rsid w:val="00985A45"/>
    <w:rsid w:val="00985C56"/>
    <w:rsid w:val="00985C7E"/>
    <w:rsid w:val="00985C96"/>
    <w:rsid w:val="00985F69"/>
    <w:rsid w:val="00986222"/>
    <w:rsid w:val="00986469"/>
    <w:rsid w:val="00986555"/>
    <w:rsid w:val="00986731"/>
    <w:rsid w:val="009870FB"/>
    <w:rsid w:val="00987128"/>
    <w:rsid w:val="00987723"/>
    <w:rsid w:val="00987784"/>
    <w:rsid w:val="00987986"/>
    <w:rsid w:val="00987AF9"/>
    <w:rsid w:val="00987BB2"/>
    <w:rsid w:val="00987C3D"/>
    <w:rsid w:val="00987C70"/>
    <w:rsid w:val="00987C79"/>
    <w:rsid w:val="0099030E"/>
    <w:rsid w:val="00990524"/>
    <w:rsid w:val="009907B0"/>
    <w:rsid w:val="00990AA4"/>
    <w:rsid w:val="00990B07"/>
    <w:rsid w:val="00990BDF"/>
    <w:rsid w:val="00990C86"/>
    <w:rsid w:val="009910FB"/>
    <w:rsid w:val="009912E1"/>
    <w:rsid w:val="00991702"/>
    <w:rsid w:val="00991728"/>
    <w:rsid w:val="00991784"/>
    <w:rsid w:val="009918B7"/>
    <w:rsid w:val="00992130"/>
    <w:rsid w:val="00992325"/>
    <w:rsid w:val="00992328"/>
    <w:rsid w:val="009926C9"/>
    <w:rsid w:val="00992DCA"/>
    <w:rsid w:val="0099306C"/>
    <w:rsid w:val="009936A6"/>
    <w:rsid w:val="00993B42"/>
    <w:rsid w:val="00993EAB"/>
    <w:rsid w:val="00994084"/>
    <w:rsid w:val="0099424C"/>
    <w:rsid w:val="0099441F"/>
    <w:rsid w:val="00994721"/>
    <w:rsid w:val="00994CFE"/>
    <w:rsid w:val="00994E7E"/>
    <w:rsid w:val="00995660"/>
    <w:rsid w:val="00995DE4"/>
    <w:rsid w:val="00996043"/>
    <w:rsid w:val="009961CF"/>
    <w:rsid w:val="00996349"/>
    <w:rsid w:val="009967DE"/>
    <w:rsid w:val="00996844"/>
    <w:rsid w:val="00996BBF"/>
    <w:rsid w:val="00996C60"/>
    <w:rsid w:val="00996CEF"/>
    <w:rsid w:val="00996FC5"/>
    <w:rsid w:val="009970BD"/>
    <w:rsid w:val="00997178"/>
    <w:rsid w:val="0099724F"/>
    <w:rsid w:val="00997251"/>
    <w:rsid w:val="00997521"/>
    <w:rsid w:val="009976EA"/>
    <w:rsid w:val="0099781E"/>
    <w:rsid w:val="0099787A"/>
    <w:rsid w:val="00997887"/>
    <w:rsid w:val="009978AD"/>
    <w:rsid w:val="00997CEA"/>
    <w:rsid w:val="009A026D"/>
    <w:rsid w:val="009A04D0"/>
    <w:rsid w:val="009A0804"/>
    <w:rsid w:val="009A1BF6"/>
    <w:rsid w:val="009A1CCA"/>
    <w:rsid w:val="009A1D60"/>
    <w:rsid w:val="009A20DC"/>
    <w:rsid w:val="009A2335"/>
    <w:rsid w:val="009A2AE0"/>
    <w:rsid w:val="009A2B0E"/>
    <w:rsid w:val="009A2B4C"/>
    <w:rsid w:val="009A337B"/>
    <w:rsid w:val="009A3668"/>
    <w:rsid w:val="009A37C9"/>
    <w:rsid w:val="009A38B6"/>
    <w:rsid w:val="009A3A40"/>
    <w:rsid w:val="009A3B5C"/>
    <w:rsid w:val="009A3DB5"/>
    <w:rsid w:val="009A3DEB"/>
    <w:rsid w:val="009A3DF0"/>
    <w:rsid w:val="009A3E94"/>
    <w:rsid w:val="009A4499"/>
    <w:rsid w:val="009A451A"/>
    <w:rsid w:val="009A4F2B"/>
    <w:rsid w:val="009A5005"/>
    <w:rsid w:val="009A5972"/>
    <w:rsid w:val="009A618A"/>
    <w:rsid w:val="009A66A4"/>
    <w:rsid w:val="009A6730"/>
    <w:rsid w:val="009A69E2"/>
    <w:rsid w:val="009A6A0C"/>
    <w:rsid w:val="009A6BB1"/>
    <w:rsid w:val="009A7175"/>
    <w:rsid w:val="009A7436"/>
    <w:rsid w:val="009A78C0"/>
    <w:rsid w:val="009A7C01"/>
    <w:rsid w:val="009A7C3C"/>
    <w:rsid w:val="009A7DC5"/>
    <w:rsid w:val="009B017D"/>
    <w:rsid w:val="009B03A1"/>
    <w:rsid w:val="009B053C"/>
    <w:rsid w:val="009B071A"/>
    <w:rsid w:val="009B0997"/>
    <w:rsid w:val="009B0B9A"/>
    <w:rsid w:val="009B0E96"/>
    <w:rsid w:val="009B166A"/>
    <w:rsid w:val="009B200A"/>
    <w:rsid w:val="009B22BF"/>
    <w:rsid w:val="009B25D8"/>
    <w:rsid w:val="009B2A0A"/>
    <w:rsid w:val="009B2B1F"/>
    <w:rsid w:val="009B2E42"/>
    <w:rsid w:val="009B30BD"/>
    <w:rsid w:val="009B3682"/>
    <w:rsid w:val="009B4031"/>
    <w:rsid w:val="009B416B"/>
    <w:rsid w:val="009B4230"/>
    <w:rsid w:val="009B449D"/>
    <w:rsid w:val="009B45E8"/>
    <w:rsid w:val="009B46CD"/>
    <w:rsid w:val="009B49E5"/>
    <w:rsid w:val="009B4AB1"/>
    <w:rsid w:val="009B4AC0"/>
    <w:rsid w:val="009B4EC8"/>
    <w:rsid w:val="009B50A5"/>
    <w:rsid w:val="009B51F1"/>
    <w:rsid w:val="009B548E"/>
    <w:rsid w:val="009B5518"/>
    <w:rsid w:val="009B5942"/>
    <w:rsid w:val="009B5CE7"/>
    <w:rsid w:val="009B630C"/>
    <w:rsid w:val="009B6491"/>
    <w:rsid w:val="009B6A64"/>
    <w:rsid w:val="009B6E56"/>
    <w:rsid w:val="009B7109"/>
    <w:rsid w:val="009B727F"/>
    <w:rsid w:val="009B7538"/>
    <w:rsid w:val="009B76A3"/>
    <w:rsid w:val="009B7D51"/>
    <w:rsid w:val="009C017B"/>
    <w:rsid w:val="009C02C7"/>
    <w:rsid w:val="009C032A"/>
    <w:rsid w:val="009C0374"/>
    <w:rsid w:val="009C03F6"/>
    <w:rsid w:val="009C0402"/>
    <w:rsid w:val="009C0494"/>
    <w:rsid w:val="009C0552"/>
    <w:rsid w:val="009C079A"/>
    <w:rsid w:val="009C0969"/>
    <w:rsid w:val="009C1192"/>
    <w:rsid w:val="009C175D"/>
    <w:rsid w:val="009C1CDB"/>
    <w:rsid w:val="009C1DC4"/>
    <w:rsid w:val="009C20C4"/>
    <w:rsid w:val="009C20CA"/>
    <w:rsid w:val="009C2144"/>
    <w:rsid w:val="009C226E"/>
    <w:rsid w:val="009C246D"/>
    <w:rsid w:val="009C2AC7"/>
    <w:rsid w:val="009C3127"/>
    <w:rsid w:val="009C3508"/>
    <w:rsid w:val="009C3527"/>
    <w:rsid w:val="009C36C3"/>
    <w:rsid w:val="009C3784"/>
    <w:rsid w:val="009C3924"/>
    <w:rsid w:val="009C39AB"/>
    <w:rsid w:val="009C39B9"/>
    <w:rsid w:val="009C39D7"/>
    <w:rsid w:val="009C3A4D"/>
    <w:rsid w:val="009C3AC1"/>
    <w:rsid w:val="009C3B94"/>
    <w:rsid w:val="009C3C29"/>
    <w:rsid w:val="009C41EC"/>
    <w:rsid w:val="009C4846"/>
    <w:rsid w:val="009C486C"/>
    <w:rsid w:val="009C49F8"/>
    <w:rsid w:val="009C4FB8"/>
    <w:rsid w:val="009C529F"/>
    <w:rsid w:val="009C57F9"/>
    <w:rsid w:val="009C58CC"/>
    <w:rsid w:val="009C6504"/>
    <w:rsid w:val="009C65F8"/>
    <w:rsid w:val="009C68F6"/>
    <w:rsid w:val="009C6C9A"/>
    <w:rsid w:val="009C6E74"/>
    <w:rsid w:val="009C6F46"/>
    <w:rsid w:val="009C7512"/>
    <w:rsid w:val="009C7649"/>
    <w:rsid w:val="009C7C8D"/>
    <w:rsid w:val="009D0104"/>
    <w:rsid w:val="009D01AA"/>
    <w:rsid w:val="009D023A"/>
    <w:rsid w:val="009D0C74"/>
    <w:rsid w:val="009D1414"/>
    <w:rsid w:val="009D187D"/>
    <w:rsid w:val="009D188B"/>
    <w:rsid w:val="009D1929"/>
    <w:rsid w:val="009D1A86"/>
    <w:rsid w:val="009D1EDF"/>
    <w:rsid w:val="009D247E"/>
    <w:rsid w:val="009D253C"/>
    <w:rsid w:val="009D2962"/>
    <w:rsid w:val="009D2C44"/>
    <w:rsid w:val="009D2CE1"/>
    <w:rsid w:val="009D3073"/>
    <w:rsid w:val="009D30B8"/>
    <w:rsid w:val="009D3105"/>
    <w:rsid w:val="009D3240"/>
    <w:rsid w:val="009D3A48"/>
    <w:rsid w:val="009D3B28"/>
    <w:rsid w:val="009D3C77"/>
    <w:rsid w:val="009D3E97"/>
    <w:rsid w:val="009D3F8B"/>
    <w:rsid w:val="009D41F7"/>
    <w:rsid w:val="009D42B5"/>
    <w:rsid w:val="009D447E"/>
    <w:rsid w:val="009D4766"/>
    <w:rsid w:val="009D47D9"/>
    <w:rsid w:val="009D4903"/>
    <w:rsid w:val="009D4BA4"/>
    <w:rsid w:val="009D507D"/>
    <w:rsid w:val="009D5408"/>
    <w:rsid w:val="009D58C9"/>
    <w:rsid w:val="009D5A82"/>
    <w:rsid w:val="009D5D5D"/>
    <w:rsid w:val="009D5F1D"/>
    <w:rsid w:val="009D6063"/>
    <w:rsid w:val="009D60AE"/>
    <w:rsid w:val="009D633B"/>
    <w:rsid w:val="009D66DE"/>
    <w:rsid w:val="009D6901"/>
    <w:rsid w:val="009D73A3"/>
    <w:rsid w:val="009D751A"/>
    <w:rsid w:val="009D75B6"/>
    <w:rsid w:val="009D7B22"/>
    <w:rsid w:val="009E0039"/>
    <w:rsid w:val="009E0115"/>
    <w:rsid w:val="009E07D3"/>
    <w:rsid w:val="009E0959"/>
    <w:rsid w:val="009E0986"/>
    <w:rsid w:val="009E0BED"/>
    <w:rsid w:val="009E17CA"/>
    <w:rsid w:val="009E191C"/>
    <w:rsid w:val="009E19B2"/>
    <w:rsid w:val="009E1E48"/>
    <w:rsid w:val="009E1E9A"/>
    <w:rsid w:val="009E215B"/>
    <w:rsid w:val="009E271B"/>
    <w:rsid w:val="009E2815"/>
    <w:rsid w:val="009E2910"/>
    <w:rsid w:val="009E2A28"/>
    <w:rsid w:val="009E2B81"/>
    <w:rsid w:val="009E2D44"/>
    <w:rsid w:val="009E2E80"/>
    <w:rsid w:val="009E31D1"/>
    <w:rsid w:val="009E324A"/>
    <w:rsid w:val="009E3513"/>
    <w:rsid w:val="009E3631"/>
    <w:rsid w:val="009E3D88"/>
    <w:rsid w:val="009E4838"/>
    <w:rsid w:val="009E4F9C"/>
    <w:rsid w:val="009E50D5"/>
    <w:rsid w:val="009E54C5"/>
    <w:rsid w:val="009E5696"/>
    <w:rsid w:val="009E5B05"/>
    <w:rsid w:val="009E613B"/>
    <w:rsid w:val="009E67C6"/>
    <w:rsid w:val="009E67D8"/>
    <w:rsid w:val="009E6865"/>
    <w:rsid w:val="009E68DA"/>
    <w:rsid w:val="009E6AF4"/>
    <w:rsid w:val="009E6E37"/>
    <w:rsid w:val="009E7008"/>
    <w:rsid w:val="009E72ED"/>
    <w:rsid w:val="009E7372"/>
    <w:rsid w:val="009E7546"/>
    <w:rsid w:val="009E75CC"/>
    <w:rsid w:val="009E7CAC"/>
    <w:rsid w:val="009F0311"/>
    <w:rsid w:val="009F0475"/>
    <w:rsid w:val="009F0598"/>
    <w:rsid w:val="009F08A4"/>
    <w:rsid w:val="009F0CB9"/>
    <w:rsid w:val="009F157C"/>
    <w:rsid w:val="009F1AE7"/>
    <w:rsid w:val="009F1BD3"/>
    <w:rsid w:val="009F22BD"/>
    <w:rsid w:val="009F22D5"/>
    <w:rsid w:val="009F2519"/>
    <w:rsid w:val="009F2876"/>
    <w:rsid w:val="009F2A09"/>
    <w:rsid w:val="009F2A71"/>
    <w:rsid w:val="009F2B56"/>
    <w:rsid w:val="009F2E8A"/>
    <w:rsid w:val="009F301D"/>
    <w:rsid w:val="009F306C"/>
    <w:rsid w:val="009F30A7"/>
    <w:rsid w:val="009F30DB"/>
    <w:rsid w:val="009F34F6"/>
    <w:rsid w:val="009F367B"/>
    <w:rsid w:val="009F3888"/>
    <w:rsid w:val="009F39EF"/>
    <w:rsid w:val="009F3C97"/>
    <w:rsid w:val="009F3CF4"/>
    <w:rsid w:val="009F3DED"/>
    <w:rsid w:val="009F3E35"/>
    <w:rsid w:val="009F3E5C"/>
    <w:rsid w:val="009F4B21"/>
    <w:rsid w:val="009F4BBF"/>
    <w:rsid w:val="009F53DD"/>
    <w:rsid w:val="009F5762"/>
    <w:rsid w:val="009F57DF"/>
    <w:rsid w:val="009F5EEC"/>
    <w:rsid w:val="009F64EB"/>
    <w:rsid w:val="009F6506"/>
    <w:rsid w:val="009F68B1"/>
    <w:rsid w:val="009F6A8B"/>
    <w:rsid w:val="009F6C9F"/>
    <w:rsid w:val="009F6DF0"/>
    <w:rsid w:val="009F71E5"/>
    <w:rsid w:val="009F7510"/>
    <w:rsid w:val="009F77D8"/>
    <w:rsid w:val="009F7A80"/>
    <w:rsid w:val="00A0016B"/>
    <w:rsid w:val="00A00238"/>
    <w:rsid w:val="00A00306"/>
    <w:rsid w:val="00A00690"/>
    <w:rsid w:val="00A006A1"/>
    <w:rsid w:val="00A00732"/>
    <w:rsid w:val="00A00886"/>
    <w:rsid w:val="00A009B2"/>
    <w:rsid w:val="00A009F9"/>
    <w:rsid w:val="00A00C9A"/>
    <w:rsid w:val="00A00D8C"/>
    <w:rsid w:val="00A00D9F"/>
    <w:rsid w:val="00A010E0"/>
    <w:rsid w:val="00A01777"/>
    <w:rsid w:val="00A017FF"/>
    <w:rsid w:val="00A01E42"/>
    <w:rsid w:val="00A02221"/>
    <w:rsid w:val="00A02651"/>
    <w:rsid w:val="00A02662"/>
    <w:rsid w:val="00A02CD3"/>
    <w:rsid w:val="00A037A8"/>
    <w:rsid w:val="00A03907"/>
    <w:rsid w:val="00A0395C"/>
    <w:rsid w:val="00A03A26"/>
    <w:rsid w:val="00A03FBC"/>
    <w:rsid w:val="00A04351"/>
    <w:rsid w:val="00A04567"/>
    <w:rsid w:val="00A048A8"/>
    <w:rsid w:val="00A04C32"/>
    <w:rsid w:val="00A04CEA"/>
    <w:rsid w:val="00A04D90"/>
    <w:rsid w:val="00A04FAC"/>
    <w:rsid w:val="00A04FF0"/>
    <w:rsid w:val="00A04FFB"/>
    <w:rsid w:val="00A0542E"/>
    <w:rsid w:val="00A05713"/>
    <w:rsid w:val="00A057C4"/>
    <w:rsid w:val="00A059B9"/>
    <w:rsid w:val="00A05D6C"/>
    <w:rsid w:val="00A06EB1"/>
    <w:rsid w:val="00A0726A"/>
    <w:rsid w:val="00A07487"/>
    <w:rsid w:val="00A076C4"/>
    <w:rsid w:val="00A07710"/>
    <w:rsid w:val="00A07DF5"/>
    <w:rsid w:val="00A07ED4"/>
    <w:rsid w:val="00A10832"/>
    <w:rsid w:val="00A108CD"/>
    <w:rsid w:val="00A10A74"/>
    <w:rsid w:val="00A10BBF"/>
    <w:rsid w:val="00A10D8F"/>
    <w:rsid w:val="00A10F5C"/>
    <w:rsid w:val="00A1108B"/>
    <w:rsid w:val="00A110B4"/>
    <w:rsid w:val="00A11134"/>
    <w:rsid w:val="00A1171C"/>
    <w:rsid w:val="00A11815"/>
    <w:rsid w:val="00A11A7A"/>
    <w:rsid w:val="00A11B8A"/>
    <w:rsid w:val="00A11C2B"/>
    <w:rsid w:val="00A11D2F"/>
    <w:rsid w:val="00A11D4E"/>
    <w:rsid w:val="00A11E23"/>
    <w:rsid w:val="00A11E2A"/>
    <w:rsid w:val="00A11E35"/>
    <w:rsid w:val="00A12326"/>
    <w:rsid w:val="00A12485"/>
    <w:rsid w:val="00A1264C"/>
    <w:rsid w:val="00A12B7A"/>
    <w:rsid w:val="00A12BDB"/>
    <w:rsid w:val="00A12C39"/>
    <w:rsid w:val="00A12E22"/>
    <w:rsid w:val="00A12ECE"/>
    <w:rsid w:val="00A13104"/>
    <w:rsid w:val="00A137A4"/>
    <w:rsid w:val="00A1397D"/>
    <w:rsid w:val="00A1405D"/>
    <w:rsid w:val="00A14772"/>
    <w:rsid w:val="00A14BB1"/>
    <w:rsid w:val="00A14E0A"/>
    <w:rsid w:val="00A14EA9"/>
    <w:rsid w:val="00A1508A"/>
    <w:rsid w:val="00A15471"/>
    <w:rsid w:val="00A1561C"/>
    <w:rsid w:val="00A1598F"/>
    <w:rsid w:val="00A15BF1"/>
    <w:rsid w:val="00A15E58"/>
    <w:rsid w:val="00A15F55"/>
    <w:rsid w:val="00A1653E"/>
    <w:rsid w:val="00A16EBB"/>
    <w:rsid w:val="00A171B6"/>
    <w:rsid w:val="00A1728D"/>
    <w:rsid w:val="00A17964"/>
    <w:rsid w:val="00A17C8C"/>
    <w:rsid w:val="00A2000A"/>
    <w:rsid w:val="00A20129"/>
    <w:rsid w:val="00A20172"/>
    <w:rsid w:val="00A202B7"/>
    <w:rsid w:val="00A2036B"/>
    <w:rsid w:val="00A20391"/>
    <w:rsid w:val="00A203EA"/>
    <w:rsid w:val="00A20403"/>
    <w:rsid w:val="00A20558"/>
    <w:rsid w:val="00A20651"/>
    <w:rsid w:val="00A208F5"/>
    <w:rsid w:val="00A2091B"/>
    <w:rsid w:val="00A209A6"/>
    <w:rsid w:val="00A20D57"/>
    <w:rsid w:val="00A211FB"/>
    <w:rsid w:val="00A212BF"/>
    <w:rsid w:val="00A215CF"/>
    <w:rsid w:val="00A21922"/>
    <w:rsid w:val="00A21AC2"/>
    <w:rsid w:val="00A21C6D"/>
    <w:rsid w:val="00A222BD"/>
    <w:rsid w:val="00A22466"/>
    <w:rsid w:val="00A22E40"/>
    <w:rsid w:val="00A2300D"/>
    <w:rsid w:val="00A230F2"/>
    <w:rsid w:val="00A232F9"/>
    <w:rsid w:val="00A234A5"/>
    <w:rsid w:val="00A234C0"/>
    <w:rsid w:val="00A23745"/>
    <w:rsid w:val="00A23972"/>
    <w:rsid w:val="00A24416"/>
    <w:rsid w:val="00A2525F"/>
    <w:rsid w:val="00A253DC"/>
    <w:rsid w:val="00A2579B"/>
    <w:rsid w:val="00A257A0"/>
    <w:rsid w:val="00A25E60"/>
    <w:rsid w:val="00A25F0E"/>
    <w:rsid w:val="00A25FFF"/>
    <w:rsid w:val="00A260F9"/>
    <w:rsid w:val="00A2669E"/>
    <w:rsid w:val="00A2683A"/>
    <w:rsid w:val="00A26BF7"/>
    <w:rsid w:val="00A26E2E"/>
    <w:rsid w:val="00A26F8A"/>
    <w:rsid w:val="00A27074"/>
    <w:rsid w:val="00A2730E"/>
    <w:rsid w:val="00A2733F"/>
    <w:rsid w:val="00A27672"/>
    <w:rsid w:val="00A276F2"/>
    <w:rsid w:val="00A27A5A"/>
    <w:rsid w:val="00A27AAD"/>
    <w:rsid w:val="00A27BFA"/>
    <w:rsid w:val="00A30685"/>
    <w:rsid w:val="00A30BBF"/>
    <w:rsid w:val="00A30F88"/>
    <w:rsid w:val="00A31059"/>
    <w:rsid w:val="00A3107F"/>
    <w:rsid w:val="00A3156F"/>
    <w:rsid w:val="00A315E7"/>
    <w:rsid w:val="00A315E9"/>
    <w:rsid w:val="00A31C90"/>
    <w:rsid w:val="00A31F74"/>
    <w:rsid w:val="00A323FC"/>
    <w:rsid w:val="00A328DB"/>
    <w:rsid w:val="00A32B70"/>
    <w:rsid w:val="00A32E4A"/>
    <w:rsid w:val="00A3308B"/>
    <w:rsid w:val="00A331C1"/>
    <w:rsid w:val="00A33B2B"/>
    <w:rsid w:val="00A33F07"/>
    <w:rsid w:val="00A340FD"/>
    <w:rsid w:val="00A34481"/>
    <w:rsid w:val="00A344A7"/>
    <w:rsid w:val="00A344E5"/>
    <w:rsid w:val="00A34721"/>
    <w:rsid w:val="00A34A72"/>
    <w:rsid w:val="00A34C46"/>
    <w:rsid w:val="00A3557E"/>
    <w:rsid w:val="00A355BE"/>
    <w:rsid w:val="00A355CF"/>
    <w:rsid w:val="00A3577C"/>
    <w:rsid w:val="00A35784"/>
    <w:rsid w:val="00A3588C"/>
    <w:rsid w:val="00A35953"/>
    <w:rsid w:val="00A35A4B"/>
    <w:rsid w:val="00A35C26"/>
    <w:rsid w:val="00A35E53"/>
    <w:rsid w:val="00A362B1"/>
    <w:rsid w:val="00A363F7"/>
    <w:rsid w:val="00A36431"/>
    <w:rsid w:val="00A3648D"/>
    <w:rsid w:val="00A364B4"/>
    <w:rsid w:val="00A36AF8"/>
    <w:rsid w:val="00A36B86"/>
    <w:rsid w:val="00A36E0C"/>
    <w:rsid w:val="00A37326"/>
    <w:rsid w:val="00A37340"/>
    <w:rsid w:val="00A373BC"/>
    <w:rsid w:val="00A37608"/>
    <w:rsid w:val="00A3778C"/>
    <w:rsid w:val="00A37F22"/>
    <w:rsid w:val="00A37FE5"/>
    <w:rsid w:val="00A402AE"/>
    <w:rsid w:val="00A4066C"/>
    <w:rsid w:val="00A40AD7"/>
    <w:rsid w:val="00A40D73"/>
    <w:rsid w:val="00A40EED"/>
    <w:rsid w:val="00A40FD5"/>
    <w:rsid w:val="00A41727"/>
    <w:rsid w:val="00A4176E"/>
    <w:rsid w:val="00A41BE6"/>
    <w:rsid w:val="00A41C00"/>
    <w:rsid w:val="00A42145"/>
    <w:rsid w:val="00A42154"/>
    <w:rsid w:val="00A42532"/>
    <w:rsid w:val="00A428F6"/>
    <w:rsid w:val="00A42A71"/>
    <w:rsid w:val="00A42C6A"/>
    <w:rsid w:val="00A42DBC"/>
    <w:rsid w:val="00A43072"/>
    <w:rsid w:val="00A431F4"/>
    <w:rsid w:val="00A432C4"/>
    <w:rsid w:val="00A4332C"/>
    <w:rsid w:val="00A43BE3"/>
    <w:rsid w:val="00A43E63"/>
    <w:rsid w:val="00A4408D"/>
    <w:rsid w:val="00A44346"/>
    <w:rsid w:val="00A44530"/>
    <w:rsid w:val="00A449B2"/>
    <w:rsid w:val="00A44E19"/>
    <w:rsid w:val="00A44F62"/>
    <w:rsid w:val="00A44F88"/>
    <w:rsid w:val="00A453E5"/>
    <w:rsid w:val="00A45B93"/>
    <w:rsid w:val="00A45F28"/>
    <w:rsid w:val="00A46135"/>
    <w:rsid w:val="00A4663E"/>
    <w:rsid w:val="00A46693"/>
    <w:rsid w:val="00A46CA6"/>
    <w:rsid w:val="00A4702D"/>
    <w:rsid w:val="00A470B3"/>
    <w:rsid w:val="00A4744E"/>
    <w:rsid w:val="00A47458"/>
    <w:rsid w:val="00A4780A"/>
    <w:rsid w:val="00A47F5E"/>
    <w:rsid w:val="00A5009C"/>
    <w:rsid w:val="00A5009F"/>
    <w:rsid w:val="00A507A7"/>
    <w:rsid w:val="00A508DC"/>
    <w:rsid w:val="00A50AEE"/>
    <w:rsid w:val="00A50D1A"/>
    <w:rsid w:val="00A50F3E"/>
    <w:rsid w:val="00A50F45"/>
    <w:rsid w:val="00A50F8A"/>
    <w:rsid w:val="00A511E0"/>
    <w:rsid w:val="00A514CF"/>
    <w:rsid w:val="00A51A39"/>
    <w:rsid w:val="00A51FC5"/>
    <w:rsid w:val="00A52108"/>
    <w:rsid w:val="00A523BC"/>
    <w:rsid w:val="00A527AE"/>
    <w:rsid w:val="00A52D34"/>
    <w:rsid w:val="00A52D99"/>
    <w:rsid w:val="00A52DB1"/>
    <w:rsid w:val="00A52DF4"/>
    <w:rsid w:val="00A52E00"/>
    <w:rsid w:val="00A52EDE"/>
    <w:rsid w:val="00A5323E"/>
    <w:rsid w:val="00A53859"/>
    <w:rsid w:val="00A5392B"/>
    <w:rsid w:val="00A53D0A"/>
    <w:rsid w:val="00A53D1A"/>
    <w:rsid w:val="00A53FE6"/>
    <w:rsid w:val="00A5404D"/>
    <w:rsid w:val="00A546C9"/>
    <w:rsid w:val="00A54739"/>
    <w:rsid w:val="00A54BCD"/>
    <w:rsid w:val="00A54C5B"/>
    <w:rsid w:val="00A54DF7"/>
    <w:rsid w:val="00A54F15"/>
    <w:rsid w:val="00A55257"/>
    <w:rsid w:val="00A55382"/>
    <w:rsid w:val="00A5540B"/>
    <w:rsid w:val="00A55614"/>
    <w:rsid w:val="00A55649"/>
    <w:rsid w:val="00A55B94"/>
    <w:rsid w:val="00A55CC6"/>
    <w:rsid w:val="00A55D7F"/>
    <w:rsid w:val="00A56056"/>
    <w:rsid w:val="00A5673D"/>
    <w:rsid w:val="00A5694C"/>
    <w:rsid w:val="00A56965"/>
    <w:rsid w:val="00A569FB"/>
    <w:rsid w:val="00A56AE1"/>
    <w:rsid w:val="00A56B29"/>
    <w:rsid w:val="00A56C4F"/>
    <w:rsid w:val="00A56D8D"/>
    <w:rsid w:val="00A56EE2"/>
    <w:rsid w:val="00A56F36"/>
    <w:rsid w:val="00A57B96"/>
    <w:rsid w:val="00A57C08"/>
    <w:rsid w:val="00A57C39"/>
    <w:rsid w:val="00A57D7B"/>
    <w:rsid w:val="00A60CF3"/>
    <w:rsid w:val="00A61005"/>
    <w:rsid w:val="00A612BD"/>
    <w:rsid w:val="00A61761"/>
    <w:rsid w:val="00A6184A"/>
    <w:rsid w:val="00A6199A"/>
    <w:rsid w:val="00A61E97"/>
    <w:rsid w:val="00A61F48"/>
    <w:rsid w:val="00A6224A"/>
    <w:rsid w:val="00A622C3"/>
    <w:rsid w:val="00A6269D"/>
    <w:rsid w:val="00A6274A"/>
    <w:rsid w:val="00A63290"/>
    <w:rsid w:val="00A6333A"/>
    <w:rsid w:val="00A6334B"/>
    <w:rsid w:val="00A63712"/>
    <w:rsid w:val="00A6413D"/>
    <w:rsid w:val="00A64194"/>
    <w:rsid w:val="00A64321"/>
    <w:rsid w:val="00A64602"/>
    <w:rsid w:val="00A646C5"/>
    <w:rsid w:val="00A6474B"/>
    <w:rsid w:val="00A649F4"/>
    <w:rsid w:val="00A64B14"/>
    <w:rsid w:val="00A64C01"/>
    <w:rsid w:val="00A64C79"/>
    <w:rsid w:val="00A654B4"/>
    <w:rsid w:val="00A656C6"/>
    <w:rsid w:val="00A65A7D"/>
    <w:rsid w:val="00A65B4E"/>
    <w:rsid w:val="00A6635B"/>
    <w:rsid w:val="00A6669D"/>
    <w:rsid w:val="00A666E0"/>
    <w:rsid w:val="00A66A0A"/>
    <w:rsid w:val="00A66E35"/>
    <w:rsid w:val="00A66FC4"/>
    <w:rsid w:val="00A66FC9"/>
    <w:rsid w:val="00A67443"/>
    <w:rsid w:val="00A675B8"/>
    <w:rsid w:val="00A67E21"/>
    <w:rsid w:val="00A7021C"/>
    <w:rsid w:val="00A703A7"/>
    <w:rsid w:val="00A7062D"/>
    <w:rsid w:val="00A70B6B"/>
    <w:rsid w:val="00A70F88"/>
    <w:rsid w:val="00A71122"/>
    <w:rsid w:val="00A715EF"/>
    <w:rsid w:val="00A718F0"/>
    <w:rsid w:val="00A71B0B"/>
    <w:rsid w:val="00A71E1A"/>
    <w:rsid w:val="00A71F86"/>
    <w:rsid w:val="00A72060"/>
    <w:rsid w:val="00A7206C"/>
    <w:rsid w:val="00A721CE"/>
    <w:rsid w:val="00A721FC"/>
    <w:rsid w:val="00A72BEE"/>
    <w:rsid w:val="00A72C67"/>
    <w:rsid w:val="00A72D9C"/>
    <w:rsid w:val="00A73188"/>
    <w:rsid w:val="00A7360C"/>
    <w:rsid w:val="00A737A0"/>
    <w:rsid w:val="00A73CFF"/>
    <w:rsid w:val="00A73E22"/>
    <w:rsid w:val="00A74177"/>
    <w:rsid w:val="00A74321"/>
    <w:rsid w:val="00A747EA"/>
    <w:rsid w:val="00A74B95"/>
    <w:rsid w:val="00A7536A"/>
    <w:rsid w:val="00A7564F"/>
    <w:rsid w:val="00A756C5"/>
    <w:rsid w:val="00A7576D"/>
    <w:rsid w:val="00A758B5"/>
    <w:rsid w:val="00A759B2"/>
    <w:rsid w:val="00A75A46"/>
    <w:rsid w:val="00A75B23"/>
    <w:rsid w:val="00A75E30"/>
    <w:rsid w:val="00A75FA0"/>
    <w:rsid w:val="00A76021"/>
    <w:rsid w:val="00A760CF"/>
    <w:rsid w:val="00A763E7"/>
    <w:rsid w:val="00A767B9"/>
    <w:rsid w:val="00A767DB"/>
    <w:rsid w:val="00A76859"/>
    <w:rsid w:val="00A7693A"/>
    <w:rsid w:val="00A769E5"/>
    <w:rsid w:val="00A76ACC"/>
    <w:rsid w:val="00A76DBC"/>
    <w:rsid w:val="00A76EAF"/>
    <w:rsid w:val="00A76F60"/>
    <w:rsid w:val="00A76FB8"/>
    <w:rsid w:val="00A7753E"/>
    <w:rsid w:val="00A7766B"/>
    <w:rsid w:val="00A7779F"/>
    <w:rsid w:val="00A77A15"/>
    <w:rsid w:val="00A77C6D"/>
    <w:rsid w:val="00A77D4B"/>
    <w:rsid w:val="00A77EE7"/>
    <w:rsid w:val="00A80D45"/>
    <w:rsid w:val="00A80E07"/>
    <w:rsid w:val="00A811DC"/>
    <w:rsid w:val="00A8131D"/>
    <w:rsid w:val="00A81875"/>
    <w:rsid w:val="00A8197E"/>
    <w:rsid w:val="00A81AB5"/>
    <w:rsid w:val="00A81B2E"/>
    <w:rsid w:val="00A81DC6"/>
    <w:rsid w:val="00A81E4B"/>
    <w:rsid w:val="00A82135"/>
    <w:rsid w:val="00A82493"/>
    <w:rsid w:val="00A826C5"/>
    <w:rsid w:val="00A82724"/>
    <w:rsid w:val="00A82977"/>
    <w:rsid w:val="00A82A0F"/>
    <w:rsid w:val="00A82C81"/>
    <w:rsid w:val="00A82F43"/>
    <w:rsid w:val="00A832E2"/>
    <w:rsid w:val="00A83408"/>
    <w:rsid w:val="00A83CD4"/>
    <w:rsid w:val="00A83DB3"/>
    <w:rsid w:val="00A8418F"/>
    <w:rsid w:val="00A84307"/>
    <w:rsid w:val="00A843B6"/>
    <w:rsid w:val="00A8480D"/>
    <w:rsid w:val="00A849B0"/>
    <w:rsid w:val="00A84C04"/>
    <w:rsid w:val="00A84CBB"/>
    <w:rsid w:val="00A84CD6"/>
    <w:rsid w:val="00A84DDC"/>
    <w:rsid w:val="00A85123"/>
    <w:rsid w:val="00A8563E"/>
    <w:rsid w:val="00A8566A"/>
    <w:rsid w:val="00A85E38"/>
    <w:rsid w:val="00A8666A"/>
    <w:rsid w:val="00A8678F"/>
    <w:rsid w:val="00A86B15"/>
    <w:rsid w:val="00A86BFA"/>
    <w:rsid w:val="00A86DF3"/>
    <w:rsid w:val="00A86E70"/>
    <w:rsid w:val="00A87566"/>
    <w:rsid w:val="00A875E6"/>
    <w:rsid w:val="00A87651"/>
    <w:rsid w:val="00A87725"/>
    <w:rsid w:val="00A878D5"/>
    <w:rsid w:val="00A878E8"/>
    <w:rsid w:val="00A87EA7"/>
    <w:rsid w:val="00A90187"/>
    <w:rsid w:val="00A90581"/>
    <w:rsid w:val="00A90978"/>
    <w:rsid w:val="00A90AC0"/>
    <w:rsid w:val="00A90BCE"/>
    <w:rsid w:val="00A90DD3"/>
    <w:rsid w:val="00A90E18"/>
    <w:rsid w:val="00A90F02"/>
    <w:rsid w:val="00A9116C"/>
    <w:rsid w:val="00A9158F"/>
    <w:rsid w:val="00A91790"/>
    <w:rsid w:val="00A91930"/>
    <w:rsid w:val="00A91F87"/>
    <w:rsid w:val="00A91FBA"/>
    <w:rsid w:val="00A9234F"/>
    <w:rsid w:val="00A92403"/>
    <w:rsid w:val="00A9287B"/>
    <w:rsid w:val="00A92AE3"/>
    <w:rsid w:val="00A9321B"/>
    <w:rsid w:val="00A93290"/>
    <w:rsid w:val="00A93AA3"/>
    <w:rsid w:val="00A93B71"/>
    <w:rsid w:val="00A93D53"/>
    <w:rsid w:val="00A9401D"/>
    <w:rsid w:val="00A94520"/>
    <w:rsid w:val="00A947B1"/>
    <w:rsid w:val="00A9482A"/>
    <w:rsid w:val="00A948E3"/>
    <w:rsid w:val="00A94B32"/>
    <w:rsid w:val="00A94B67"/>
    <w:rsid w:val="00A94E15"/>
    <w:rsid w:val="00A94E20"/>
    <w:rsid w:val="00A94E57"/>
    <w:rsid w:val="00A94F83"/>
    <w:rsid w:val="00A9507A"/>
    <w:rsid w:val="00A952A4"/>
    <w:rsid w:val="00A955F5"/>
    <w:rsid w:val="00A9597D"/>
    <w:rsid w:val="00A95F3F"/>
    <w:rsid w:val="00A96163"/>
    <w:rsid w:val="00A9622A"/>
    <w:rsid w:val="00A962F8"/>
    <w:rsid w:val="00A96940"/>
    <w:rsid w:val="00A9697A"/>
    <w:rsid w:val="00A96ADE"/>
    <w:rsid w:val="00A96B73"/>
    <w:rsid w:val="00A96FB6"/>
    <w:rsid w:val="00A97030"/>
    <w:rsid w:val="00A97443"/>
    <w:rsid w:val="00A9770A"/>
    <w:rsid w:val="00A9784B"/>
    <w:rsid w:val="00A97B6B"/>
    <w:rsid w:val="00AA01CF"/>
    <w:rsid w:val="00AA028C"/>
    <w:rsid w:val="00AA06CC"/>
    <w:rsid w:val="00AA0FB7"/>
    <w:rsid w:val="00AA0FE4"/>
    <w:rsid w:val="00AA1676"/>
    <w:rsid w:val="00AA1755"/>
    <w:rsid w:val="00AA1A5E"/>
    <w:rsid w:val="00AA1B24"/>
    <w:rsid w:val="00AA1B6C"/>
    <w:rsid w:val="00AA1DDB"/>
    <w:rsid w:val="00AA1F31"/>
    <w:rsid w:val="00AA21FC"/>
    <w:rsid w:val="00AA225D"/>
    <w:rsid w:val="00AA243C"/>
    <w:rsid w:val="00AA2471"/>
    <w:rsid w:val="00AA24A6"/>
    <w:rsid w:val="00AA2783"/>
    <w:rsid w:val="00AA29D9"/>
    <w:rsid w:val="00AA2A71"/>
    <w:rsid w:val="00AA3189"/>
    <w:rsid w:val="00AA34BB"/>
    <w:rsid w:val="00AA35BA"/>
    <w:rsid w:val="00AA3794"/>
    <w:rsid w:val="00AA38FE"/>
    <w:rsid w:val="00AA3B66"/>
    <w:rsid w:val="00AA4206"/>
    <w:rsid w:val="00AA4249"/>
    <w:rsid w:val="00AA4410"/>
    <w:rsid w:val="00AA47D2"/>
    <w:rsid w:val="00AA47E3"/>
    <w:rsid w:val="00AA48E1"/>
    <w:rsid w:val="00AA4C40"/>
    <w:rsid w:val="00AA4FAF"/>
    <w:rsid w:val="00AA5342"/>
    <w:rsid w:val="00AA53FE"/>
    <w:rsid w:val="00AA5482"/>
    <w:rsid w:val="00AA57EC"/>
    <w:rsid w:val="00AA5C9F"/>
    <w:rsid w:val="00AA60EC"/>
    <w:rsid w:val="00AA627A"/>
    <w:rsid w:val="00AA6286"/>
    <w:rsid w:val="00AA648B"/>
    <w:rsid w:val="00AA64F4"/>
    <w:rsid w:val="00AA6CF9"/>
    <w:rsid w:val="00AA7410"/>
    <w:rsid w:val="00AA7911"/>
    <w:rsid w:val="00AA7918"/>
    <w:rsid w:val="00AA7A04"/>
    <w:rsid w:val="00AA7FDC"/>
    <w:rsid w:val="00AB002E"/>
    <w:rsid w:val="00AB0117"/>
    <w:rsid w:val="00AB0177"/>
    <w:rsid w:val="00AB03FC"/>
    <w:rsid w:val="00AB04E0"/>
    <w:rsid w:val="00AB0E6A"/>
    <w:rsid w:val="00AB0E87"/>
    <w:rsid w:val="00AB0F63"/>
    <w:rsid w:val="00AB1017"/>
    <w:rsid w:val="00AB1088"/>
    <w:rsid w:val="00AB148E"/>
    <w:rsid w:val="00AB1CA9"/>
    <w:rsid w:val="00AB1D1D"/>
    <w:rsid w:val="00AB1F53"/>
    <w:rsid w:val="00AB25E4"/>
    <w:rsid w:val="00AB2F16"/>
    <w:rsid w:val="00AB319B"/>
    <w:rsid w:val="00AB3564"/>
    <w:rsid w:val="00AB36BD"/>
    <w:rsid w:val="00AB3CC0"/>
    <w:rsid w:val="00AB403E"/>
    <w:rsid w:val="00AB43B6"/>
    <w:rsid w:val="00AB451E"/>
    <w:rsid w:val="00AB4672"/>
    <w:rsid w:val="00AB470A"/>
    <w:rsid w:val="00AB47B6"/>
    <w:rsid w:val="00AB4B90"/>
    <w:rsid w:val="00AB4BCB"/>
    <w:rsid w:val="00AB50D1"/>
    <w:rsid w:val="00AB5199"/>
    <w:rsid w:val="00AB5203"/>
    <w:rsid w:val="00AB52D4"/>
    <w:rsid w:val="00AB5485"/>
    <w:rsid w:val="00AB5720"/>
    <w:rsid w:val="00AB58F9"/>
    <w:rsid w:val="00AB5918"/>
    <w:rsid w:val="00AB5D07"/>
    <w:rsid w:val="00AB5EC5"/>
    <w:rsid w:val="00AB5F1C"/>
    <w:rsid w:val="00AB62B7"/>
    <w:rsid w:val="00AB631F"/>
    <w:rsid w:val="00AB6440"/>
    <w:rsid w:val="00AB660A"/>
    <w:rsid w:val="00AB67DC"/>
    <w:rsid w:val="00AB6A71"/>
    <w:rsid w:val="00AB6CA3"/>
    <w:rsid w:val="00AB7B35"/>
    <w:rsid w:val="00AB7CA5"/>
    <w:rsid w:val="00AC03C7"/>
    <w:rsid w:val="00AC09DE"/>
    <w:rsid w:val="00AC0DA7"/>
    <w:rsid w:val="00AC0DD7"/>
    <w:rsid w:val="00AC0E25"/>
    <w:rsid w:val="00AC0F9F"/>
    <w:rsid w:val="00AC1171"/>
    <w:rsid w:val="00AC13C7"/>
    <w:rsid w:val="00AC14D5"/>
    <w:rsid w:val="00AC2673"/>
    <w:rsid w:val="00AC2A12"/>
    <w:rsid w:val="00AC2AE6"/>
    <w:rsid w:val="00AC2C78"/>
    <w:rsid w:val="00AC2D3A"/>
    <w:rsid w:val="00AC303D"/>
    <w:rsid w:val="00AC3615"/>
    <w:rsid w:val="00AC36A1"/>
    <w:rsid w:val="00AC3890"/>
    <w:rsid w:val="00AC3974"/>
    <w:rsid w:val="00AC3AB0"/>
    <w:rsid w:val="00AC3B61"/>
    <w:rsid w:val="00AC3CDA"/>
    <w:rsid w:val="00AC3E8A"/>
    <w:rsid w:val="00AC3F60"/>
    <w:rsid w:val="00AC425C"/>
    <w:rsid w:val="00AC48D6"/>
    <w:rsid w:val="00AC5264"/>
    <w:rsid w:val="00AC585C"/>
    <w:rsid w:val="00AC5A53"/>
    <w:rsid w:val="00AC5AE7"/>
    <w:rsid w:val="00AC5B30"/>
    <w:rsid w:val="00AC5C76"/>
    <w:rsid w:val="00AC5D7C"/>
    <w:rsid w:val="00AC5E17"/>
    <w:rsid w:val="00AC5EA0"/>
    <w:rsid w:val="00AC6009"/>
    <w:rsid w:val="00AC6A48"/>
    <w:rsid w:val="00AC6D21"/>
    <w:rsid w:val="00AC71F9"/>
    <w:rsid w:val="00AC7481"/>
    <w:rsid w:val="00AC7583"/>
    <w:rsid w:val="00AC7889"/>
    <w:rsid w:val="00AC79FD"/>
    <w:rsid w:val="00AC7A79"/>
    <w:rsid w:val="00AC7F78"/>
    <w:rsid w:val="00AD0451"/>
    <w:rsid w:val="00AD0456"/>
    <w:rsid w:val="00AD056C"/>
    <w:rsid w:val="00AD0EC9"/>
    <w:rsid w:val="00AD0ECD"/>
    <w:rsid w:val="00AD1080"/>
    <w:rsid w:val="00AD179F"/>
    <w:rsid w:val="00AD1BBA"/>
    <w:rsid w:val="00AD1EA0"/>
    <w:rsid w:val="00AD21DD"/>
    <w:rsid w:val="00AD2210"/>
    <w:rsid w:val="00AD229C"/>
    <w:rsid w:val="00AD2493"/>
    <w:rsid w:val="00AD24A3"/>
    <w:rsid w:val="00AD2A37"/>
    <w:rsid w:val="00AD2A91"/>
    <w:rsid w:val="00AD2D04"/>
    <w:rsid w:val="00AD2E9C"/>
    <w:rsid w:val="00AD2F5D"/>
    <w:rsid w:val="00AD3286"/>
    <w:rsid w:val="00AD3507"/>
    <w:rsid w:val="00AD357D"/>
    <w:rsid w:val="00AD3706"/>
    <w:rsid w:val="00AD3725"/>
    <w:rsid w:val="00AD3D7D"/>
    <w:rsid w:val="00AD4204"/>
    <w:rsid w:val="00AD4874"/>
    <w:rsid w:val="00AD48D3"/>
    <w:rsid w:val="00AD4B86"/>
    <w:rsid w:val="00AD4C25"/>
    <w:rsid w:val="00AD5507"/>
    <w:rsid w:val="00AD566D"/>
    <w:rsid w:val="00AD5C2B"/>
    <w:rsid w:val="00AD5E73"/>
    <w:rsid w:val="00AD6176"/>
    <w:rsid w:val="00AD617A"/>
    <w:rsid w:val="00AD627F"/>
    <w:rsid w:val="00AD62CF"/>
    <w:rsid w:val="00AD64CA"/>
    <w:rsid w:val="00AD66F0"/>
    <w:rsid w:val="00AD7475"/>
    <w:rsid w:val="00AD7877"/>
    <w:rsid w:val="00AD7F1F"/>
    <w:rsid w:val="00AD7F6C"/>
    <w:rsid w:val="00AE02BF"/>
    <w:rsid w:val="00AE0AC3"/>
    <w:rsid w:val="00AE0E35"/>
    <w:rsid w:val="00AE115A"/>
    <w:rsid w:val="00AE1C7E"/>
    <w:rsid w:val="00AE1E4B"/>
    <w:rsid w:val="00AE2038"/>
    <w:rsid w:val="00AE236C"/>
    <w:rsid w:val="00AE2502"/>
    <w:rsid w:val="00AE2610"/>
    <w:rsid w:val="00AE263B"/>
    <w:rsid w:val="00AE2CA2"/>
    <w:rsid w:val="00AE2ED5"/>
    <w:rsid w:val="00AE3024"/>
    <w:rsid w:val="00AE39EA"/>
    <w:rsid w:val="00AE3D1C"/>
    <w:rsid w:val="00AE3E46"/>
    <w:rsid w:val="00AE46B6"/>
    <w:rsid w:val="00AE4E18"/>
    <w:rsid w:val="00AE50B4"/>
    <w:rsid w:val="00AE5646"/>
    <w:rsid w:val="00AE595D"/>
    <w:rsid w:val="00AE5DBE"/>
    <w:rsid w:val="00AE61A8"/>
    <w:rsid w:val="00AE67EA"/>
    <w:rsid w:val="00AE6D51"/>
    <w:rsid w:val="00AE6D64"/>
    <w:rsid w:val="00AE6DD5"/>
    <w:rsid w:val="00AE7060"/>
    <w:rsid w:val="00AE71CE"/>
    <w:rsid w:val="00AE7AE4"/>
    <w:rsid w:val="00AE7EA1"/>
    <w:rsid w:val="00AE7FC9"/>
    <w:rsid w:val="00AF06F5"/>
    <w:rsid w:val="00AF08BA"/>
    <w:rsid w:val="00AF0971"/>
    <w:rsid w:val="00AF0CE5"/>
    <w:rsid w:val="00AF0DE7"/>
    <w:rsid w:val="00AF1AD5"/>
    <w:rsid w:val="00AF1BCA"/>
    <w:rsid w:val="00AF1C01"/>
    <w:rsid w:val="00AF1D09"/>
    <w:rsid w:val="00AF1F72"/>
    <w:rsid w:val="00AF2277"/>
    <w:rsid w:val="00AF27EC"/>
    <w:rsid w:val="00AF281D"/>
    <w:rsid w:val="00AF30E7"/>
    <w:rsid w:val="00AF3752"/>
    <w:rsid w:val="00AF387E"/>
    <w:rsid w:val="00AF3CE3"/>
    <w:rsid w:val="00AF41F7"/>
    <w:rsid w:val="00AF441A"/>
    <w:rsid w:val="00AF5057"/>
    <w:rsid w:val="00AF523E"/>
    <w:rsid w:val="00AF574E"/>
    <w:rsid w:val="00AF5A1E"/>
    <w:rsid w:val="00AF5B8D"/>
    <w:rsid w:val="00AF5BE9"/>
    <w:rsid w:val="00AF5EB2"/>
    <w:rsid w:val="00AF66CC"/>
    <w:rsid w:val="00AF69EF"/>
    <w:rsid w:val="00AF6A88"/>
    <w:rsid w:val="00AF6B31"/>
    <w:rsid w:val="00AF708F"/>
    <w:rsid w:val="00AF73CE"/>
    <w:rsid w:val="00AF75BD"/>
    <w:rsid w:val="00AF764D"/>
    <w:rsid w:val="00AF7CF8"/>
    <w:rsid w:val="00AF7D9A"/>
    <w:rsid w:val="00B0001D"/>
    <w:rsid w:val="00B002E8"/>
    <w:rsid w:val="00B003B4"/>
    <w:rsid w:val="00B003DA"/>
    <w:rsid w:val="00B0041A"/>
    <w:rsid w:val="00B005F7"/>
    <w:rsid w:val="00B0080C"/>
    <w:rsid w:val="00B00AA4"/>
    <w:rsid w:val="00B00C94"/>
    <w:rsid w:val="00B00FC1"/>
    <w:rsid w:val="00B01160"/>
    <w:rsid w:val="00B015B3"/>
    <w:rsid w:val="00B01709"/>
    <w:rsid w:val="00B0184D"/>
    <w:rsid w:val="00B01B76"/>
    <w:rsid w:val="00B01CF3"/>
    <w:rsid w:val="00B02741"/>
    <w:rsid w:val="00B02A05"/>
    <w:rsid w:val="00B02E20"/>
    <w:rsid w:val="00B03644"/>
    <w:rsid w:val="00B0379D"/>
    <w:rsid w:val="00B03C15"/>
    <w:rsid w:val="00B03ECF"/>
    <w:rsid w:val="00B03EFE"/>
    <w:rsid w:val="00B03F06"/>
    <w:rsid w:val="00B04268"/>
    <w:rsid w:val="00B042D2"/>
    <w:rsid w:val="00B043AC"/>
    <w:rsid w:val="00B046EE"/>
    <w:rsid w:val="00B0498E"/>
    <w:rsid w:val="00B0570D"/>
    <w:rsid w:val="00B05869"/>
    <w:rsid w:val="00B058A2"/>
    <w:rsid w:val="00B0651B"/>
    <w:rsid w:val="00B065B7"/>
    <w:rsid w:val="00B0676F"/>
    <w:rsid w:val="00B06788"/>
    <w:rsid w:val="00B0683D"/>
    <w:rsid w:val="00B0686D"/>
    <w:rsid w:val="00B0689C"/>
    <w:rsid w:val="00B06C34"/>
    <w:rsid w:val="00B06CF1"/>
    <w:rsid w:val="00B06E3B"/>
    <w:rsid w:val="00B07592"/>
    <w:rsid w:val="00B07699"/>
    <w:rsid w:val="00B07B19"/>
    <w:rsid w:val="00B101D8"/>
    <w:rsid w:val="00B102AE"/>
    <w:rsid w:val="00B10598"/>
    <w:rsid w:val="00B10962"/>
    <w:rsid w:val="00B10F32"/>
    <w:rsid w:val="00B1173F"/>
    <w:rsid w:val="00B1180F"/>
    <w:rsid w:val="00B11C40"/>
    <w:rsid w:val="00B11CD1"/>
    <w:rsid w:val="00B11DEF"/>
    <w:rsid w:val="00B120E4"/>
    <w:rsid w:val="00B122BE"/>
    <w:rsid w:val="00B1279A"/>
    <w:rsid w:val="00B128F2"/>
    <w:rsid w:val="00B12A39"/>
    <w:rsid w:val="00B130E2"/>
    <w:rsid w:val="00B13192"/>
    <w:rsid w:val="00B135E0"/>
    <w:rsid w:val="00B135E6"/>
    <w:rsid w:val="00B14119"/>
    <w:rsid w:val="00B141E0"/>
    <w:rsid w:val="00B14242"/>
    <w:rsid w:val="00B147AE"/>
    <w:rsid w:val="00B14D3F"/>
    <w:rsid w:val="00B14D88"/>
    <w:rsid w:val="00B14DCB"/>
    <w:rsid w:val="00B1509E"/>
    <w:rsid w:val="00B1529F"/>
    <w:rsid w:val="00B15486"/>
    <w:rsid w:val="00B1555B"/>
    <w:rsid w:val="00B15670"/>
    <w:rsid w:val="00B15C68"/>
    <w:rsid w:val="00B15CEA"/>
    <w:rsid w:val="00B15F0C"/>
    <w:rsid w:val="00B15FCD"/>
    <w:rsid w:val="00B16097"/>
    <w:rsid w:val="00B162C8"/>
    <w:rsid w:val="00B16343"/>
    <w:rsid w:val="00B16A78"/>
    <w:rsid w:val="00B16D77"/>
    <w:rsid w:val="00B1754A"/>
    <w:rsid w:val="00B17793"/>
    <w:rsid w:val="00B17A93"/>
    <w:rsid w:val="00B17BBC"/>
    <w:rsid w:val="00B17D23"/>
    <w:rsid w:val="00B17E43"/>
    <w:rsid w:val="00B20093"/>
    <w:rsid w:val="00B2011D"/>
    <w:rsid w:val="00B20349"/>
    <w:rsid w:val="00B204FE"/>
    <w:rsid w:val="00B20562"/>
    <w:rsid w:val="00B205E9"/>
    <w:rsid w:val="00B208C7"/>
    <w:rsid w:val="00B209FD"/>
    <w:rsid w:val="00B20A4B"/>
    <w:rsid w:val="00B20A71"/>
    <w:rsid w:val="00B20A7C"/>
    <w:rsid w:val="00B21950"/>
    <w:rsid w:val="00B21A1C"/>
    <w:rsid w:val="00B22053"/>
    <w:rsid w:val="00B2211B"/>
    <w:rsid w:val="00B22460"/>
    <w:rsid w:val="00B22672"/>
    <w:rsid w:val="00B227C7"/>
    <w:rsid w:val="00B22B42"/>
    <w:rsid w:val="00B22C3E"/>
    <w:rsid w:val="00B22D91"/>
    <w:rsid w:val="00B22DA5"/>
    <w:rsid w:val="00B22FCC"/>
    <w:rsid w:val="00B2340C"/>
    <w:rsid w:val="00B23538"/>
    <w:rsid w:val="00B237D2"/>
    <w:rsid w:val="00B239CA"/>
    <w:rsid w:val="00B23B8F"/>
    <w:rsid w:val="00B23E79"/>
    <w:rsid w:val="00B23F8B"/>
    <w:rsid w:val="00B241B4"/>
    <w:rsid w:val="00B24558"/>
    <w:rsid w:val="00B249BD"/>
    <w:rsid w:val="00B24A5F"/>
    <w:rsid w:val="00B24DAC"/>
    <w:rsid w:val="00B25143"/>
    <w:rsid w:val="00B25551"/>
    <w:rsid w:val="00B255F3"/>
    <w:rsid w:val="00B256CA"/>
    <w:rsid w:val="00B25A1F"/>
    <w:rsid w:val="00B25A49"/>
    <w:rsid w:val="00B25B13"/>
    <w:rsid w:val="00B26207"/>
    <w:rsid w:val="00B26545"/>
    <w:rsid w:val="00B2659B"/>
    <w:rsid w:val="00B2663D"/>
    <w:rsid w:val="00B26A21"/>
    <w:rsid w:val="00B26A6E"/>
    <w:rsid w:val="00B26AC3"/>
    <w:rsid w:val="00B26D37"/>
    <w:rsid w:val="00B27684"/>
    <w:rsid w:val="00B27E06"/>
    <w:rsid w:val="00B27F07"/>
    <w:rsid w:val="00B30004"/>
    <w:rsid w:val="00B30025"/>
    <w:rsid w:val="00B300D6"/>
    <w:rsid w:val="00B3019E"/>
    <w:rsid w:val="00B3046D"/>
    <w:rsid w:val="00B3048B"/>
    <w:rsid w:val="00B30739"/>
    <w:rsid w:val="00B30C7B"/>
    <w:rsid w:val="00B314A6"/>
    <w:rsid w:val="00B318A2"/>
    <w:rsid w:val="00B31D62"/>
    <w:rsid w:val="00B31E3E"/>
    <w:rsid w:val="00B3207D"/>
    <w:rsid w:val="00B320AF"/>
    <w:rsid w:val="00B321C8"/>
    <w:rsid w:val="00B323F5"/>
    <w:rsid w:val="00B325DF"/>
    <w:rsid w:val="00B32756"/>
    <w:rsid w:val="00B327AF"/>
    <w:rsid w:val="00B3285F"/>
    <w:rsid w:val="00B32B8D"/>
    <w:rsid w:val="00B32CF0"/>
    <w:rsid w:val="00B32D30"/>
    <w:rsid w:val="00B32FD9"/>
    <w:rsid w:val="00B339B4"/>
    <w:rsid w:val="00B33A2F"/>
    <w:rsid w:val="00B33F12"/>
    <w:rsid w:val="00B34165"/>
    <w:rsid w:val="00B341BE"/>
    <w:rsid w:val="00B34852"/>
    <w:rsid w:val="00B35636"/>
    <w:rsid w:val="00B35941"/>
    <w:rsid w:val="00B35AB7"/>
    <w:rsid w:val="00B35CD1"/>
    <w:rsid w:val="00B35D3A"/>
    <w:rsid w:val="00B36057"/>
    <w:rsid w:val="00B3685C"/>
    <w:rsid w:val="00B36ADF"/>
    <w:rsid w:val="00B36AE2"/>
    <w:rsid w:val="00B36BBA"/>
    <w:rsid w:val="00B36D0D"/>
    <w:rsid w:val="00B36D9F"/>
    <w:rsid w:val="00B36E22"/>
    <w:rsid w:val="00B36E7E"/>
    <w:rsid w:val="00B37331"/>
    <w:rsid w:val="00B373F1"/>
    <w:rsid w:val="00B3749A"/>
    <w:rsid w:val="00B374F2"/>
    <w:rsid w:val="00B37562"/>
    <w:rsid w:val="00B375B8"/>
    <w:rsid w:val="00B37621"/>
    <w:rsid w:val="00B37EAB"/>
    <w:rsid w:val="00B37FB2"/>
    <w:rsid w:val="00B400E5"/>
    <w:rsid w:val="00B4017B"/>
    <w:rsid w:val="00B40245"/>
    <w:rsid w:val="00B40816"/>
    <w:rsid w:val="00B4083B"/>
    <w:rsid w:val="00B40BDA"/>
    <w:rsid w:val="00B40F19"/>
    <w:rsid w:val="00B41228"/>
    <w:rsid w:val="00B414FB"/>
    <w:rsid w:val="00B41739"/>
    <w:rsid w:val="00B41AFE"/>
    <w:rsid w:val="00B41DFC"/>
    <w:rsid w:val="00B41E11"/>
    <w:rsid w:val="00B41F05"/>
    <w:rsid w:val="00B42031"/>
    <w:rsid w:val="00B422DB"/>
    <w:rsid w:val="00B422EF"/>
    <w:rsid w:val="00B4258F"/>
    <w:rsid w:val="00B4262C"/>
    <w:rsid w:val="00B42E3A"/>
    <w:rsid w:val="00B435DA"/>
    <w:rsid w:val="00B439A1"/>
    <w:rsid w:val="00B439F3"/>
    <w:rsid w:val="00B43B69"/>
    <w:rsid w:val="00B43EE2"/>
    <w:rsid w:val="00B443B0"/>
    <w:rsid w:val="00B448C7"/>
    <w:rsid w:val="00B4491E"/>
    <w:rsid w:val="00B44CD2"/>
    <w:rsid w:val="00B44D8C"/>
    <w:rsid w:val="00B44DB1"/>
    <w:rsid w:val="00B45308"/>
    <w:rsid w:val="00B454A6"/>
    <w:rsid w:val="00B45613"/>
    <w:rsid w:val="00B4573D"/>
    <w:rsid w:val="00B45B8D"/>
    <w:rsid w:val="00B45DE4"/>
    <w:rsid w:val="00B461C2"/>
    <w:rsid w:val="00B46202"/>
    <w:rsid w:val="00B4635C"/>
    <w:rsid w:val="00B4637B"/>
    <w:rsid w:val="00B46A16"/>
    <w:rsid w:val="00B46D19"/>
    <w:rsid w:val="00B47080"/>
    <w:rsid w:val="00B473A6"/>
    <w:rsid w:val="00B47408"/>
    <w:rsid w:val="00B4763E"/>
    <w:rsid w:val="00B47678"/>
    <w:rsid w:val="00B47F6D"/>
    <w:rsid w:val="00B507B4"/>
    <w:rsid w:val="00B5093A"/>
    <w:rsid w:val="00B509BA"/>
    <w:rsid w:val="00B50F36"/>
    <w:rsid w:val="00B5106D"/>
    <w:rsid w:val="00B511C9"/>
    <w:rsid w:val="00B51462"/>
    <w:rsid w:val="00B51894"/>
    <w:rsid w:val="00B51A2D"/>
    <w:rsid w:val="00B51ED6"/>
    <w:rsid w:val="00B521A7"/>
    <w:rsid w:val="00B521C0"/>
    <w:rsid w:val="00B521D6"/>
    <w:rsid w:val="00B5297B"/>
    <w:rsid w:val="00B52996"/>
    <w:rsid w:val="00B52A05"/>
    <w:rsid w:val="00B52AAC"/>
    <w:rsid w:val="00B52C85"/>
    <w:rsid w:val="00B53285"/>
    <w:rsid w:val="00B532D2"/>
    <w:rsid w:val="00B53352"/>
    <w:rsid w:val="00B53381"/>
    <w:rsid w:val="00B534A1"/>
    <w:rsid w:val="00B53929"/>
    <w:rsid w:val="00B542B4"/>
    <w:rsid w:val="00B54309"/>
    <w:rsid w:val="00B54855"/>
    <w:rsid w:val="00B54BD3"/>
    <w:rsid w:val="00B5584A"/>
    <w:rsid w:val="00B56099"/>
    <w:rsid w:val="00B562EB"/>
    <w:rsid w:val="00B563F8"/>
    <w:rsid w:val="00B5663C"/>
    <w:rsid w:val="00B566C0"/>
    <w:rsid w:val="00B5672A"/>
    <w:rsid w:val="00B570E6"/>
    <w:rsid w:val="00B572BE"/>
    <w:rsid w:val="00B573C6"/>
    <w:rsid w:val="00B57B1C"/>
    <w:rsid w:val="00B57B65"/>
    <w:rsid w:val="00B57C68"/>
    <w:rsid w:val="00B57D67"/>
    <w:rsid w:val="00B57EF6"/>
    <w:rsid w:val="00B6020F"/>
    <w:rsid w:val="00B60A55"/>
    <w:rsid w:val="00B60D1A"/>
    <w:rsid w:val="00B60DAD"/>
    <w:rsid w:val="00B60DDB"/>
    <w:rsid w:val="00B60F40"/>
    <w:rsid w:val="00B612A5"/>
    <w:rsid w:val="00B6156A"/>
    <w:rsid w:val="00B61752"/>
    <w:rsid w:val="00B61DB6"/>
    <w:rsid w:val="00B6208B"/>
    <w:rsid w:val="00B629C5"/>
    <w:rsid w:val="00B636C0"/>
    <w:rsid w:val="00B637AD"/>
    <w:rsid w:val="00B63B2F"/>
    <w:rsid w:val="00B63ED6"/>
    <w:rsid w:val="00B63F66"/>
    <w:rsid w:val="00B63F70"/>
    <w:rsid w:val="00B63FB7"/>
    <w:rsid w:val="00B644B8"/>
    <w:rsid w:val="00B64B09"/>
    <w:rsid w:val="00B64E81"/>
    <w:rsid w:val="00B65056"/>
    <w:rsid w:val="00B65358"/>
    <w:rsid w:val="00B656BB"/>
    <w:rsid w:val="00B65791"/>
    <w:rsid w:val="00B65980"/>
    <w:rsid w:val="00B65A72"/>
    <w:rsid w:val="00B65B31"/>
    <w:rsid w:val="00B65C1F"/>
    <w:rsid w:val="00B65C8C"/>
    <w:rsid w:val="00B66241"/>
    <w:rsid w:val="00B672F5"/>
    <w:rsid w:val="00B673D5"/>
    <w:rsid w:val="00B67669"/>
    <w:rsid w:val="00B67AAA"/>
    <w:rsid w:val="00B67CB1"/>
    <w:rsid w:val="00B67CE3"/>
    <w:rsid w:val="00B67F7C"/>
    <w:rsid w:val="00B700DC"/>
    <w:rsid w:val="00B7021E"/>
    <w:rsid w:val="00B7023A"/>
    <w:rsid w:val="00B70478"/>
    <w:rsid w:val="00B707C4"/>
    <w:rsid w:val="00B70A93"/>
    <w:rsid w:val="00B70B46"/>
    <w:rsid w:val="00B70F46"/>
    <w:rsid w:val="00B715B5"/>
    <w:rsid w:val="00B71863"/>
    <w:rsid w:val="00B7194C"/>
    <w:rsid w:val="00B71A58"/>
    <w:rsid w:val="00B71DAD"/>
    <w:rsid w:val="00B71F87"/>
    <w:rsid w:val="00B7244D"/>
    <w:rsid w:val="00B72D4F"/>
    <w:rsid w:val="00B73820"/>
    <w:rsid w:val="00B73B84"/>
    <w:rsid w:val="00B73F55"/>
    <w:rsid w:val="00B7413A"/>
    <w:rsid w:val="00B741A6"/>
    <w:rsid w:val="00B74361"/>
    <w:rsid w:val="00B74E00"/>
    <w:rsid w:val="00B74E80"/>
    <w:rsid w:val="00B75261"/>
    <w:rsid w:val="00B752C2"/>
    <w:rsid w:val="00B75321"/>
    <w:rsid w:val="00B753F5"/>
    <w:rsid w:val="00B75465"/>
    <w:rsid w:val="00B75473"/>
    <w:rsid w:val="00B7551C"/>
    <w:rsid w:val="00B75817"/>
    <w:rsid w:val="00B75AAB"/>
    <w:rsid w:val="00B75CE2"/>
    <w:rsid w:val="00B75DC1"/>
    <w:rsid w:val="00B76281"/>
    <w:rsid w:val="00B7686A"/>
    <w:rsid w:val="00B76C58"/>
    <w:rsid w:val="00B772C5"/>
    <w:rsid w:val="00B772F2"/>
    <w:rsid w:val="00B77311"/>
    <w:rsid w:val="00B773C6"/>
    <w:rsid w:val="00B77865"/>
    <w:rsid w:val="00B77A54"/>
    <w:rsid w:val="00B77BBE"/>
    <w:rsid w:val="00B77DA5"/>
    <w:rsid w:val="00B77F46"/>
    <w:rsid w:val="00B77F4F"/>
    <w:rsid w:val="00B80342"/>
    <w:rsid w:val="00B80380"/>
    <w:rsid w:val="00B8058D"/>
    <w:rsid w:val="00B80682"/>
    <w:rsid w:val="00B8095A"/>
    <w:rsid w:val="00B80B00"/>
    <w:rsid w:val="00B81159"/>
    <w:rsid w:val="00B819F7"/>
    <w:rsid w:val="00B81B9D"/>
    <w:rsid w:val="00B81F2A"/>
    <w:rsid w:val="00B8207F"/>
    <w:rsid w:val="00B8272E"/>
    <w:rsid w:val="00B828CE"/>
    <w:rsid w:val="00B829F1"/>
    <w:rsid w:val="00B8308E"/>
    <w:rsid w:val="00B83787"/>
    <w:rsid w:val="00B838ED"/>
    <w:rsid w:val="00B83B20"/>
    <w:rsid w:val="00B83C05"/>
    <w:rsid w:val="00B83E6C"/>
    <w:rsid w:val="00B8415F"/>
    <w:rsid w:val="00B84478"/>
    <w:rsid w:val="00B84A72"/>
    <w:rsid w:val="00B84C5E"/>
    <w:rsid w:val="00B84DEB"/>
    <w:rsid w:val="00B852EF"/>
    <w:rsid w:val="00B85915"/>
    <w:rsid w:val="00B85B78"/>
    <w:rsid w:val="00B85C7C"/>
    <w:rsid w:val="00B85D10"/>
    <w:rsid w:val="00B85F53"/>
    <w:rsid w:val="00B86529"/>
    <w:rsid w:val="00B8689B"/>
    <w:rsid w:val="00B868AC"/>
    <w:rsid w:val="00B86CE2"/>
    <w:rsid w:val="00B875E0"/>
    <w:rsid w:val="00B879E9"/>
    <w:rsid w:val="00B87BE0"/>
    <w:rsid w:val="00B87E81"/>
    <w:rsid w:val="00B87F8B"/>
    <w:rsid w:val="00B8AFBC"/>
    <w:rsid w:val="00B900DE"/>
    <w:rsid w:val="00B9038D"/>
    <w:rsid w:val="00B90592"/>
    <w:rsid w:val="00B909A3"/>
    <w:rsid w:val="00B90A05"/>
    <w:rsid w:val="00B90C78"/>
    <w:rsid w:val="00B91156"/>
    <w:rsid w:val="00B91279"/>
    <w:rsid w:val="00B913BF"/>
    <w:rsid w:val="00B9140E"/>
    <w:rsid w:val="00B91541"/>
    <w:rsid w:val="00B9190A"/>
    <w:rsid w:val="00B91D74"/>
    <w:rsid w:val="00B920ED"/>
    <w:rsid w:val="00B92498"/>
    <w:rsid w:val="00B92781"/>
    <w:rsid w:val="00B927A9"/>
    <w:rsid w:val="00B92D14"/>
    <w:rsid w:val="00B92DE1"/>
    <w:rsid w:val="00B92F03"/>
    <w:rsid w:val="00B933B5"/>
    <w:rsid w:val="00B934E3"/>
    <w:rsid w:val="00B9380E"/>
    <w:rsid w:val="00B93890"/>
    <w:rsid w:val="00B9404C"/>
    <w:rsid w:val="00B9410E"/>
    <w:rsid w:val="00B94277"/>
    <w:rsid w:val="00B9475D"/>
    <w:rsid w:val="00B94A4A"/>
    <w:rsid w:val="00B94AB3"/>
    <w:rsid w:val="00B94EC6"/>
    <w:rsid w:val="00B9513B"/>
    <w:rsid w:val="00B9515F"/>
    <w:rsid w:val="00B95320"/>
    <w:rsid w:val="00B9548C"/>
    <w:rsid w:val="00B955CA"/>
    <w:rsid w:val="00B95907"/>
    <w:rsid w:val="00B9594F"/>
    <w:rsid w:val="00B95D8A"/>
    <w:rsid w:val="00B95EE5"/>
    <w:rsid w:val="00B961BB"/>
    <w:rsid w:val="00B962AA"/>
    <w:rsid w:val="00B962D4"/>
    <w:rsid w:val="00B96C03"/>
    <w:rsid w:val="00B96FD1"/>
    <w:rsid w:val="00B9703B"/>
    <w:rsid w:val="00B9748B"/>
    <w:rsid w:val="00B974AF"/>
    <w:rsid w:val="00B977B9"/>
    <w:rsid w:val="00B97D34"/>
    <w:rsid w:val="00B97FBF"/>
    <w:rsid w:val="00B9D9F0"/>
    <w:rsid w:val="00BA0B07"/>
    <w:rsid w:val="00BA0B7F"/>
    <w:rsid w:val="00BA0D1F"/>
    <w:rsid w:val="00BA1212"/>
    <w:rsid w:val="00BA1823"/>
    <w:rsid w:val="00BA1BAD"/>
    <w:rsid w:val="00BA225C"/>
    <w:rsid w:val="00BA2592"/>
    <w:rsid w:val="00BA2746"/>
    <w:rsid w:val="00BA29AC"/>
    <w:rsid w:val="00BA2AF2"/>
    <w:rsid w:val="00BA2C07"/>
    <w:rsid w:val="00BA3080"/>
    <w:rsid w:val="00BA32DB"/>
    <w:rsid w:val="00BA340C"/>
    <w:rsid w:val="00BA34C5"/>
    <w:rsid w:val="00BA3969"/>
    <w:rsid w:val="00BA396C"/>
    <w:rsid w:val="00BA3A72"/>
    <w:rsid w:val="00BA47B1"/>
    <w:rsid w:val="00BA481C"/>
    <w:rsid w:val="00BA4D77"/>
    <w:rsid w:val="00BA4ECA"/>
    <w:rsid w:val="00BA525E"/>
    <w:rsid w:val="00BA5577"/>
    <w:rsid w:val="00BA5580"/>
    <w:rsid w:val="00BA58A9"/>
    <w:rsid w:val="00BA594A"/>
    <w:rsid w:val="00BA59ED"/>
    <w:rsid w:val="00BA5A77"/>
    <w:rsid w:val="00BA5C06"/>
    <w:rsid w:val="00BA5C83"/>
    <w:rsid w:val="00BA5F52"/>
    <w:rsid w:val="00BA6172"/>
    <w:rsid w:val="00BA64A6"/>
    <w:rsid w:val="00BA6682"/>
    <w:rsid w:val="00BA67B8"/>
    <w:rsid w:val="00BA6D7C"/>
    <w:rsid w:val="00BA7039"/>
    <w:rsid w:val="00BA7185"/>
    <w:rsid w:val="00BA718B"/>
    <w:rsid w:val="00BA7385"/>
    <w:rsid w:val="00BA73E7"/>
    <w:rsid w:val="00BA7409"/>
    <w:rsid w:val="00BA74DD"/>
    <w:rsid w:val="00BA75C3"/>
    <w:rsid w:val="00BA7735"/>
    <w:rsid w:val="00BA7C9F"/>
    <w:rsid w:val="00BA7EE9"/>
    <w:rsid w:val="00BB02D4"/>
    <w:rsid w:val="00BB0365"/>
    <w:rsid w:val="00BB0567"/>
    <w:rsid w:val="00BB09A7"/>
    <w:rsid w:val="00BB0E5B"/>
    <w:rsid w:val="00BB11D0"/>
    <w:rsid w:val="00BB16F9"/>
    <w:rsid w:val="00BB17FA"/>
    <w:rsid w:val="00BB1897"/>
    <w:rsid w:val="00BB1C05"/>
    <w:rsid w:val="00BB1CE7"/>
    <w:rsid w:val="00BB1E32"/>
    <w:rsid w:val="00BB2302"/>
    <w:rsid w:val="00BB28E8"/>
    <w:rsid w:val="00BB2983"/>
    <w:rsid w:val="00BB29CE"/>
    <w:rsid w:val="00BB2A4B"/>
    <w:rsid w:val="00BB3195"/>
    <w:rsid w:val="00BB34FC"/>
    <w:rsid w:val="00BB3507"/>
    <w:rsid w:val="00BB3ADA"/>
    <w:rsid w:val="00BB3BA0"/>
    <w:rsid w:val="00BB3F68"/>
    <w:rsid w:val="00BB46E3"/>
    <w:rsid w:val="00BB47BB"/>
    <w:rsid w:val="00BB53FD"/>
    <w:rsid w:val="00BB5646"/>
    <w:rsid w:val="00BB58C8"/>
    <w:rsid w:val="00BB5D58"/>
    <w:rsid w:val="00BB5E0C"/>
    <w:rsid w:val="00BB5E9A"/>
    <w:rsid w:val="00BB625A"/>
    <w:rsid w:val="00BB62E2"/>
    <w:rsid w:val="00BB68F2"/>
    <w:rsid w:val="00BB6CFF"/>
    <w:rsid w:val="00BB6E54"/>
    <w:rsid w:val="00BB6E94"/>
    <w:rsid w:val="00BB707E"/>
    <w:rsid w:val="00BB74FE"/>
    <w:rsid w:val="00BB7753"/>
    <w:rsid w:val="00BB7AEE"/>
    <w:rsid w:val="00BB7C42"/>
    <w:rsid w:val="00BB7C5A"/>
    <w:rsid w:val="00BB7D81"/>
    <w:rsid w:val="00BB7EE4"/>
    <w:rsid w:val="00BC010E"/>
    <w:rsid w:val="00BC0157"/>
    <w:rsid w:val="00BC01B6"/>
    <w:rsid w:val="00BC024D"/>
    <w:rsid w:val="00BC027F"/>
    <w:rsid w:val="00BC038F"/>
    <w:rsid w:val="00BC04F4"/>
    <w:rsid w:val="00BC08DC"/>
    <w:rsid w:val="00BC0C41"/>
    <w:rsid w:val="00BC0C79"/>
    <w:rsid w:val="00BC0DA0"/>
    <w:rsid w:val="00BC187F"/>
    <w:rsid w:val="00BC188B"/>
    <w:rsid w:val="00BC20E2"/>
    <w:rsid w:val="00BC22E6"/>
    <w:rsid w:val="00BC24E7"/>
    <w:rsid w:val="00BC2863"/>
    <w:rsid w:val="00BC28C2"/>
    <w:rsid w:val="00BC29CD"/>
    <w:rsid w:val="00BC2D11"/>
    <w:rsid w:val="00BC311C"/>
    <w:rsid w:val="00BC317F"/>
    <w:rsid w:val="00BC336E"/>
    <w:rsid w:val="00BC33DE"/>
    <w:rsid w:val="00BC341E"/>
    <w:rsid w:val="00BC36DF"/>
    <w:rsid w:val="00BC370E"/>
    <w:rsid w:val="00BC37AF"/>
    <w:rsid w:val="00BC37EF"/>
    <w:rsid w:val="00BC3D5B"/>
    <w:rsid w:val="00BC3EAC"/>
    <w:rsid w:val="00BC4029"/>
    <w:rsid w:val="00BC405B"/>
    <w:rsid w:val="00BC458B"/>
    <w:rsid w:val="00BC4FB3"/>
    <w:rsid w:val="00BC5115"/>
    <w:rsid w:val="00BC556E"/>
    <w:rsid w:val="00BC5B03"/>
    <w:rsid w:val="00BC5D06"/>
    <w:rsid w:val="00BC5E10"/>
    <w:rsid w:val="00BC623B"/>
    <w:rsid w:val="00BC6656"/>
    <w:rsid w:val="00BC677E"/>
    <w:rsid w:val="00BC67C8"/>
    <w:rsid w:val="00BC69CD"/>
    <w:rsid w:val="00BC6D26"/>
    <w:rsid w:val="00BC6E4C"/>
    <w:rsid w:val="00BC737C"/>
    <w:rsid w:val="00BC7630"/>
    <w:rsid w:val="00BC77DF"/>
    <w:rsid w:val="00BC7AAD"/>
    <w:rsid w:val="00BC7AFA"/>
    <w:rsid w:val="00BC7F86"/>
    <w:rsid w:val="00BD0031"/>
    <w:rsid w:val="00BD0063"/>
    <w:rsid w:val="00BD0419"/>
    <w:rsid w:val="00BD04B5"/>
    <w:rsid w:val="00BD053D"/>
    <w:rsid w:val="00BD0760"/>
    <w:rsid w:val="00BD0909"/>
    <w:rsid w:val="00BD0AA6"/>
    <w:rsid w:val="00BD0FC2"/>
    <w:rsid w:val="00BD138F"/>
    <w:rsid w:val="00BD157A"/>
    <w:rsid w:val="00BD1606"/>
    <w:rsid w:val="00BD1766"/>
    <w:rsid w:val="00BD1B63"/>
    <w:rsid w:val="00BD1CB0"/>
    <w:rsid w:val="00BD1D6B"/>
    <w:rsid w:val="00BD1E2B"/>
    <w:rsid w:val="00BD2077"/>
    <w:rsid w:val="00BD2780"/>
    <w:rsid w:val="00BD2A0F"/>
    <w:rsid w:val="00BD2D25"/>
    <w:rsid w:val="00BD2EE1"/>
    <w:rsid w:val="00BD37C5"/>
    <w:rsid w:val="00BD3927"/>
    <w:rsid w:val="00BD3E16"/>
    <w:rsid w:val="00BD3F77"/>
    <w:rsid w:val="00BD415C"/>
    <w:rsid w:val="00BD451D"/>
    <w:rsid w:val="00BD47A1"/>
    <w:rsid w:val="00BD4DA6"/>
    <w:rsid w:val="00BD5359"/>
    <w:rsid w:val="00BD538D"/>
    <w:rsid w:val="00BD5480"/>
    <w:rsid w:val="00BD54C3"/>
    <w:rsid w:val="00BD54F8"/>
    <w:rsid w:val="00BD5629"/>
    <w:rsid w:val="00BD57B5"/>
    <w:rsid w:val="00BD5D48"/>
    <w:rsid w:val="00BD5F64"/>
    <w:rsid w:val="00BD640D"/>
    <w:rsid w:val="00BD657F"/>
    <w:rsid w:val="00BD6736"/>
    <w:rsid w:val="00BD6754"/>
    <w:rsid w:val="00BD6A3B"/>
    <w:rsid w:val="00BD6B74"/>
    <w:rsid w:val="00BD71FF"/>
    <w:rsid w:val="00BD754B"/>
    <w:rsid w:val="00BD76F3"/>
    <w:rsid w:val="00BD77EA"/>
    <w:rsid w:val="00BD784C"/>
    <w:rsid w:val="00BD786F"/>
    <w:rsid w:val="00BD7F54"/>
    <w:rsid w:val="00BD7F7D"/>
    <w:rsid w:val="00BE01E0"/>
    <w:rsid w:val="00BE0516"/>
    <w:rsid w:val="00BE07FD"/>
    <w:rsid w:val="00BE0B1A"/>
    <w:rsid w:val="00BE0CC0"/>
    <w:rsid w:val="00BE0FE8"/>
    <w:rsid w:val="00BE1059"/>
    <w:rsid w:val="00BE12D1"/>
    <w:rsid w:val="00BE138B"/>
    <w:rsid w:val="00BE1811"/>
    <w:rsid w:val="00BE1BB6"/>
    <w:rsid w:val="00BE1DED"/>
    <w:rsid w:val="00BE208F"/>
    <w:rsid w:val="00BE20C7"/>
    <w:rsid w:val="00BE274D"/>
    <w:rsid w:val="00BE2929"/>
    <w:rsid w:val="00BE2B53"/>
    <w:rsid w:val="00BE30C1"/>
    <w:rsid w:val="00BE34DF"/>
    <w:rsid w:val="00BE3C60"/>
    <w:rsid w:val="00BE3D35"/>
    <w:rsid w:val="00BE3D4C"/>
    <w:rsid w:val="00BE42D3"/>
    <w:rsid w:val="00BE460E"/>
    <w:rsid w:val="00BE4657"/>
    <w:rsid w:val="00BE4818"/>
    <w:rsid w:val="00BE48D7"/>
    <w:rsid w:val="00BE4CDA"/>
    <w:rsid w:val="00BE4F64"/>
    <w:rsid w:val="00BE5416"/>
    <w:rsid w:val="00BE54B1"/>
    <w:rsid w:val="00BE5541"/>
    <w:rsid w:val="00BE5677"/>
    <w:rsid w:val="00BE5839"/>
    <w:rsid w:val="00BE5CDD"/>
    <w:rsid w:val="00BE5FDA"/>
    <w:rsid w:val="00BE6047"/>
    <w:rsid w:val="00BE6404"/>
    <w:rsid w:val="00BE6661"/>
    <w:rsid w:val="00BE6AB0"/>
    <w:rsid w:val="00BE6F60"/>
    <w:rsid w:val="00BE7300"/>
    <w:rsid w:val="00BE74F7"/>
    <w:rsid w:val="00BE7735"/>
    <w:rsid w:val="00BE7865"/>
    <w:rsid w:val="00BE78CD"/>
    <w:rsid w:val="00BE7A19"/>
    <w:rsid w:val="00BE7A35"/>
    <w:rsid w:val="00BE7C68"/>
    <w:rsid w:val="00BE7D1F"/>
    <w:rsid w:val="00BE7ECD"/>
    <w:rsid w:val="00BF0950"/>
    <w:rsid w:val="00BF1122"/>
    <w:rsid w:val="00BF1582"/>
    <w:rsid w:val="00BF19E8"/>
    <w:rsid w:val="00BF1DD2"/>
    <w:rsid w:val="00BF20F9"/>
    <w:rsid w:val="00BF2164"/>
    <w:rsid w:val="00BF24CA"/>
    <w:rsid w:val="00BF2855"/>
    <w:rsid w:val="00BF2B8D"/>
    <w:rsid w:val="00BF2F44"/>
    <w:rsid w:val="00BF3013"/>
    <w:rsid w:val="00BF3172"/>
    <w:rsid w:val="00BF31FF"/>
    <w:rsid w:val="00BF338A"/>
    <w:rsid w:val="00BF439A"/>
    <w:rsid w:val="00BF442F"/>
    <w:rsid w:val="00BF464B"/>
    <w:rsid w:val="00BF4A7C"/>
    <w:rsid w:val="00BF4D51"/>
    <w:rsid w:val="00BF4ED3"/>
    <w:rsid w:val="00BF4FD6"/>
    <w:rsid w:val="00BF4FFD"/>
    <w:rsid w:val="00BF5126"/>
    <w:rsid w:val="00BF5258"/>
    <w:rsid w:val="00BF5281"/>
    <w:rsid w:val="00BF53D4"/>
    <w:rsid w:val="00BF5852"/>
    <w:rsid w:val="00BF5C77"/>
    <w:rsid w:val="00BF5DDA"/>
    <w:rsid w:val="00BF5F8B"/>
    <w:rsid w:val="00BF6561"/>
    <w:rsid w:val="00BF65C2"/>
    <w:rsid w:val="00BF663C"/>
    <w:rsid w:val="00BF68B9"/>
    <w:rsid w:val="00BF6966"/>
    <w:rsid w:val="00BF6C07"/>
    <w:rsid w:val="00BF760A"/>
    <w:rsid w:val="00BF7686"/>
    <w:rsid w:val="00BF7953"/>
    <w:rsid w:val="00BF7975"/>
    <w:rsid w:val="00BF7A25"/>
    <w:rsid w:val="00BF7BA3"/>
    <w:rsid w:val="00C000B2"/>
    <w:rsid w:val="00C000E0"/>
    <w:rsid w:val="00C00205"/>
    <w:rsid w:val="00C00A30"/>
    <w:rsid w:val="00C00E0F"/>
    <w:rsid w:val="00C00FA1"/>
    <w:rsid w:val="00C016B0"/>
    <w:rsid w:val="00C01717"/>
    <w:rsid w:val="00C019BB"/>
    <w:rsid w:val="00C02089"/>
    <w:rsid w:val="00C0227C"/>
    <w:rsid w:val="00C022BD"/>
    <w:rsid w:val="00C02466"/>
    <w:rsid w:val="00C02524"/>
    <w:rsid w:val="00C02CC8"/>
    <w:rsid w:val="00C03193"/>
    <w:rsid w:val="00C032D8"/>
    <w:rsid w:val="00C03486"/>
    <w:rsid w:val="00C036E5"/>
    <w:rsid w:val="00C03D2C"/>
    <w:rsid w:val="00C03DED"/>
    <w:rsid w:val="00C04172"/>
    <w:rsid w:val="00C041FA"/>
    <w:rsid w:val="00C046E9"/>
    <w:rsid w:val="00C047A8"/>
    <w:rsid w:val="00C04E20"/>
    <w:rsid w:val="00C04E25"/>
    <w:rsid w:val="00C057A1"/>
    <w:rsid w:val="00C05CEA"/>
    <w:rsid w:val="00C062E6"/>
    <w:rsid w:val="00C06365"/>
    <w:rsid w:val="00C06378"/>
    <w:rsid w:val="00C0695C"/>
    <w:rsid w:val="00C06B1F"/>
    <w:rsid w:val="00C06C9C"/>
    <w:rsid w:val="00C06EF2"/>
    <w:rsid w:val="00C07739"/>
    <w:rsid w:val="00C077FD"/>
    <w:rsid w:val="00C10681"/>
    <w:rsid w:val="00C11272"/>
    <w:rsid w:val="00C114A7"/>
    <w:rsid w:val="00C11A69"/>
    <w:rsid w:val="00C11CDC"/>
    <w:rsid w:val="00C1222A"/>
    <w:rsid w:val="00C1242F"/>
    <w:rsid w:val="00C125A3"/>
    <w:rsid w:val="00C127E4"/>
    <w:rsid w:val="00C12DF7"/>
    <w:rsid w:val="00C13284"/>
    <w:rsid w:val="00C1345D"/>
    <w:rsid w:val="00C13950"/>
    <w:rsid w:val="00C13A12"/>
    <w:rsid w:val="00C13A39"/>
    <w:rsid w:val="00C13DE0"/>
    <w:rsid w:val="00C13FF0"/>
    <w:rsid w:val="00C144D2"/>
    <w:rsid w:val="00C14528"/>
    <w:rsid w:val="00C1464A"/>
    <w:rsid w:val="00C14AF4"/>
    <w:rsid w:val="00C151A6"/>
    <w:rsid w:val="00C151E1"/>
    <w:rsid w:val="00C15662"/>
    <w:rsid w:val="00C15691"/>
    <w:rsid w:val="00C15CB2"/>
    <w:rsid w:val="00C15E32"/>
    <w:rsid w:val="00C16129"/>
    <w:rsid w:val="00C16517"/>
    <w:rsid w:val="00C16A63"/>
    <w:rsid w:val="00C16BAB"/>
    <w:rsid w:val="00C170EE"/>
    <w:rsid w:val="00C17201"/>
    <w:rsid w:val="00C1721D"/>
    <w:rsid w:val="00C17566"/>
    <w:rsid w:val="00C17765"/>
    <w:rsid w:val="00C17EED"/>
    <w:rsid w:val="00C17F4E"/>
    <w:rsid w:val="00C20049"/>
    <w:rsid w:val="00C20497"/>
    <w:rsid w:val="00C2049F"/>
    <w:rsid w:val="00C207FD"/>
    <w:rsid w:val="00C20CDB"/>
    <w:rsid w:val="00C21498"/>
    <w:rsid w:val="00C215E1"/>
    <w:rsid w:val="00C219C0"/>
    <w:rsid w:val="00C21B69"/>
    <w:rsid w:val="00C22088"/>
    <w:rsid w:val="00C2209D"/>
    <w:rsid w:val="00C2229E"/>
    <w:rsid w:val="00C22356"/>
    <w:rsid w:val="00C228B1"/>
    <w:rsid w:val="00C23187"/>
    <w:rsid w:val="00C237DA"/>
    <w:rsid w:val="00C239C7"/>
    <w:rsid w:val="00C24364"/>
    <w:rsid w:val="00C2445A"/>
    <w:rsid w:val="00C244EB"/>
    <w:rsid w:val="00C245AB"/>
    <w:rsid w:val="00C2472C"/>
    <w:rsid w:val="00C2475E"/>
    <w:rsid w:val="00C247C6"/>
    <w:rsid w:val="00C24887"/>
    <w:rsid w:val="00C24C0A"/>
    <w:rsid w:val="00C24E8B"/>
    <w:rsid w:val="00C25129"/>
    <w:rsid w:val="00C25515"/>
    <w:rsid w:val="00C25A30"/>
    <w:rsid w:val="00C25FF9"/>
    <w:rsid w:val="00C260AC"/>
    <w:rsid w:val="00C26DEB"/>
    <w:rsid w:val="00C271E3"/>
    <w:rsid w:val="00C272A5"/>
    <w:rsid w:val="00C272DE"/>
    <w:rsid w:val="00C27421"/>
    <w:rsid w:val="00C2744D"/>
    <w:rsid w:val="00C274AF"/>
    <w:rsid w:val="00C279A9"/>
    <w:rsid w:val="00C3015E"/>
    <w:rsid w:val="00C3036D"/>
    <w:rsid w:val="00C308CC"/>
    <w:rsid w:val="00C30D69"/>
    <w:rsid w:val="00C3103A"/>
    <w:rsid w:val="00C3165E"/>
    <w:rsid w:val="00C31E0A"/>
    <w:rsid w:val="00C320A6"/>
    <w:rsid w:val="00C3229F"/>
    <w:rsid w:val="00C325C0"/>
    <w:rsid w:val="00C326EF"/>
    <w:rsid w:val="00C3276B"/>
    <w:rsid w:val="00C32C16"/>
    <w:rsid w:val="00C32DF3"/>
    <w:rsid w:val="00C33510"/>
    <w:rsid w:val="00C33571"/>
    <w:rsid w:val="00C3366D"/>
    <w:rsid w:val="00C33B35"/>
    <w:rsid w:val="00C3420C"/>
    <w:rsid w:val="00C342C2"/>
    <w:rsid w:val="00C342EA"/>
    <w:rsid w:val="00C34582"/>
    <w:rsid w:val="00C34909"/>
    <w:rsid w:val="00C34D4C"/>
    <w:rsid w:val="00C34DD3"/>
    <w:rsid w:val="00C35125"/>
    <w:rsid w:val="00C355F3"/>
    <w:rsid w:val="00C35826"/>
    <w:rsid w:val="00C3589A"/>
    <w:rsid w:val="00C359A6"/>
    <w:rsid w:val="00C35BD0"/>
    <w:rsid w:val="00C364DC"/>
    <w:rsid w:val="00C366A1"/>
    <w:rsid w:val="00C3676E"/>
    <w:rsid w:val="00C36795"/>
    <w:rsid w:val="00C3692A"/>
    <w:rsid w:val="00C36A5A"/>
    <w:rsid w:val="00C36DF9"/>
    <w:rsid w:val="00C37064"/>
    <w:rsid w:val="00C3718A"/>
    <w:rsid w:val="00C371C8"/>
    <w:rsid w:val="00C374B2"/>
    <w:rsid w:val="00C40551"/>
    <w:rsid w:val="00C4086D"/>
    <w:rsid w:val="00C40C29"/>
    <w:rsid w:val="00C40DB1"/>
    <w:rsid w:val="00C40ED3"/>
    <w:rsid w:val="00C41089"/>
    <w:rsid w:val="00C4124D"/>
    <w:rsid w:val="00C41419"/>
    <w:rsid w:val="00C415C5"/>
    <w:rsid w:val="00C4188E"/>
    <w:rsid w:val="00C41EAA"/>
    <w:rsid w:val="00C41F14"/>
    <w:rsid w:val="00C42113"/>
    <w:rsid w:val="00C42256"/>
    <w:rsid w:val="00C42460"/>
    <w:rsid w:val="00C4272F"/>
    <w:rsid w:val="00C42A4D"/>
    <w:rsid w:val="00C42E24"/>
    <w:rsid w:val="00C42FFE"/>
    <w:rsid w:val="00C43002"/>
    <w:rsid w:val="00C4303A"/>
    <w:rsid w:val="00C43157"/>
    <w:rsid w:val="00C43987"/>
    <w:rsid w:val="00C43D5A"/>
    <w:rsid w:val="00C44172"/>
    <w:rsid w:val="00C44368"/>
    <w:rsid w:val="00C44491"/>
    <w:rsid w:val="00C444C5"/>
    <w:rsid w:val="00C44608"/>
    <w:rsid w:val="00C4469B"/>
    <w:rsid w:val="00C44A1E"/>
    <w:rsid w:val="00C44C9F"/>
    <w:rsid w:val="00C44DF0"/>
    <w:rsid w:val="00C44EE7"/>
    <w:rsid w:val="00C456EC"/>
    <w:rsid w:val="00C45BF4"/>
    <w:rsid w:val="00C45F50"/>
    <w:rsid w:val="00C460D5"/>
    <w:rsid w:val="00C46712"/>
    <w:rsid w:val="00C46B4B"/>
    <w:rsid w:val="00C46F02"/>
    <w:rsid w:val="00C470C8"/>
    <w:rsid w:val="00C47496"/>
    <w:rsid w:val="00C476C8"/>
    <w:rsid w:val="00C47B33"/>
    <w:rsid w:val="00C5042C"/>
    <w:rsid w:val="00C50570"/>
    <w:rsid w:val="00C50670"/>
    <w:rsid w:val="00C5084A"/>
    <w:rsid w:val="00C50903"/>
    <w:rsid w:val="00C50971"/>
    <w:rsid w:val="00C50C3E"/>
    <w:rsid w:val="00C50E33"/>
    <w:rsid w:val="00C50F48"/>
    <w:rsid w:val="00C51A0A"/>
    <w:rsid w:val="00C51B15"/>
    <w:rsid w:val="00C51BA5"/>
    <w:rsid w:val="00C51CAF"/>
    <w:rsid w:val="00C525EB"/>
    <w:rsid w:val="00C52854"/>
    <w:rsid w:val="00C52C28"/>
    <w:rsid w:val="00C53410"/>
    <w:rsid w:val="00C535E6"/>
    <w:rsid w:val="00C54091"/>
    <w:rsid w:val="00C549FE"/>
    <w:rsid w:val="00C54BD3"/>
    <w:rsid w:val="00C54E33"/>
    <w:rsid w:val="00C54F1B"/>
    <w:rsid w:val="00C5581D"/>
    <w:rsid w:val="00C55B3E"/>
    <w:rsid w:val="00C55B6D"/>
    <w:rsid w:val="00C55BF9"/>
    <w:rsid w:val="00C55EB3"/>
    <w:rsid w:val="00C55F16"/>
    <w:rsid w:val="00C565CC"/>
    <w:rsid w:val="00C56823"/>
    <w:rsid w:val="00C569EE"/>
    <w:rsid w:val="00C56A69"/>
    <w:rsid w:val="00C56BB5"/>
    <w:rsid w:val="00C5704D"/>
    <w:rsid w:val="00C575FE"/>
    <w:rsid w:val="00C5770A"/>
    <w:rsid w:val="00C5773D"/>
    <w:rsid w:val="00C57857"/>
    <w:rsid w:val="00C5792A"/>
    <w:rsid w:val="00C57B6B"/>
    <w:rsid w:val="00C57F70"/>
    <w:rsid w:val="00C60114"/>
    <w:rsid w:val="00C6042E"/>
    <w:rsid w:val="00C604BD"/>
    <w:rsid w:val="00C60AA1"/>
    <w:rsid w:val="00C60BAC"/>
    <w:rsid w:val="00C60BB3"/>
    <w:rsid w:val="00C61191"/>
    <w:rsid w:val="00C61486"/>
    <w:rsid w:val="00C61640"/>
    <w:rsid w:val="00C61B75"/>
    <w:rsid w:val="00C61C9C"/>
    <w:rsid w:val="00C6276D"/>
    <w:rsid w:val="00C62C8F"/>
    <w:rsid w:val="00C631E7"/>
    <w:rsid w:val="00C63518"/>
    <w:rsid w:val="00C635EE"/>
    <w:rsid w:val="00C63849"/>
    <w:rsid w:val="00C63C1D"/>
    <w:rsid w:val="00C63CF5"/>
    <w:rsid w:val="00C63D9A"/>
    <w:rsid w:val="00C63E9E"/>
    <w:rsid w:val="00C64129"/>
    <w:rsid w:val="00C641E4"/>
    <w:rsid w:val="00C64597"/>
    <w:rsid w:val="00C64BED"/>
    <w:rsid w:val="00C64CC2"/>
    <w:rsid w:val="00C64DE7"/>
    <w:rsid w:val="00C65109"/>
    <w:rsid w:val="00C651E9"/>
    <w:rsid w:val="00C652D3"/>
    <w:rsid w:val="00C65315"/>
    <w:rsid w:val="00C656F2"/>
    <w:rsid w:val="00C66069"/>
    <w:rsid w:val="00C66199"/>
    <w:rsid w:val="00C66358"/>
    <w:rsid w:val="00C6640A"/>
    <w:rsid w:val="00C6659C"/>
    <w:rsid w:val="00C667BF"/>
    <w:rsid w:val="00C669CB"/>
    <w:rsid w:val="00C66C10"/>
    <w:rsid w:val="00C66EF3"/>
    <w:rsid w:val="00C6703E"/>
    <w:rsid w:val="00C67350"/>
    <w:rsid w:val="00C67D45"/>
    <w:rsid w:val="00C67DF4"/>
    <w:rsid w:val="00C67E14"/>
    <w:rsid w:val="00C70188"/>
    <w:rsid w:val="00C709F7"/>
    <w:rsid w:val="00C70A6B"/>
    <w:rsid w:val="00C713F9"/>
    <w:rsid w:val="00C7192E"/>
    <w:rsid w:val="00C71C63"/>
    <w:rsid w:val="00C71CC7"/>
    <w:rsid w:val="00C71E46"/>
    <w:rsid w:val="00C71FD9"/>
    <w:rsid w:val="00C720DC"/>
    <w:rsid w:val="00C72129"/>
    <w:rsid w:val="00C72506"/>
    <w:rsid w:val="00C72F2C"/>
    <w:rsid w:val="00C72F8A"/>
    <w:rsid w:val="00C73596"/>
    <w:rsid w:val="00C7392F"/>
    <w:rsid w:val="00C7393C"/>
    <w:rsid w:val="00C739A7"/>
    <w:rsid w:val="00C73B51"/>
    <w:rsid w:val="00C73CA1"/>
    <w:rsid w:val="00C741EF"/>
    <w:rsid w:val="00C748E3"/>
    <w:rsid w:val="00C74976"/>
    <w:rsid w:val="00C74A2B"/>
    <w:rsid w:val="00C74F73"/>
    <w:rsid w:val="00C7508B"/>
    <w:rsid w:val="00C754C4"/>
    <w:rsid w:val="00C75544"/>
    <w:rsid w:val="00C755B1"/>
    <w:rsid w:val="00C75AE3"/>
    <w:rsid w:val="00C75C69"/>
    <w:rsid w:val="00C7634B"/>
    <w:rsid w:val="00C765CE"/>
    <w:rsid w:val="00C76693"/>
    <w:rsid w:val="00C7696F"/>
    <w:rsid w:val="00C76EFC"/>
    <w:rsid w:val="00C77396"/>
    <w:rsid w:val="00C773A8"/>
    <w:rsid w:val="00C7741C"/>
    <w:rsid w:val="00C776D1"/>
    <w:rsid w:val="00C778F7"/>
    <w:rsid w:val="00C77C79"/>
    <w:rsid w:val="00C77EE6"/>
    <w:rsid w:val="00C77F77"/>
    <w:rsid w:val="00C80247"/>
    <w:rsid w:val="00C80B4A"/>
    <w:rsid w:val="00C80EC6"/>
    <w:rsid w:val="00C80FC4"/>
    <w:rsid w:val="00C81080"/>
    <w:rsid w:val="00C815FE"/>
    <w:rsid w:val="00C821B4"/>
    <w:rsid w:val="00C82898"/>
    <w:rsid w:val="00C8289F"/>
    <w:rsid w:val="00C832D9"/>
    <w:rsid w:val="00C834C4"/>
    <w:rsid w:val="00C8377F"/>
    <w:rsid w:val="00C83EBC"/>
    <w:rsid w:val="00C84117"/>
    <w:rsid w:val="00C841CF"/>
    <w:rsid w:val="00C841EE"/>
    <w:rsid w:val="00C84495"/>
    <w:rsid w:val="00C8469A"/>
    <w:rsid w:val="00C84885"/>
    <w:rsid w:val="00C84E5D"/>
    <w:rsid w:val="00C852CF"/>
    <w:rsid w:val="00C8583D"/>
    <w:rsid w:val="00C8584C"/>
    <w:rsid w:val="00C85A9D"/>
    <w:rsid w:val="00C85CA0"/>
    <w:rsid w:val="00C85EF1"/>
    <w:rsid w:val="00C8677D"/>
    <w:rsid w:val="00C86FBA"/>
    <w:rsid w:val="00C87072"/>
    <w:rsid w:val="00C87138"/>
    <w:rsid w:val="00C871B9"/>
    <w:rsid w:val="00C87370"/>
    <w:rsid w:val="00C8756D"/>
    <w:rsid w:val="00C87698"/>
    <w:rsid w:val="00C876CE"/>
    <w:rsid w:val="00C87796"/>
    <w:rsid w:val="00C87941"/>
    <w:rsid w:val="00C87AAA"/>
    <w:rsid w:val="00C87B84"/>
    <w:rsid w:val="00C87D5C"/>
    <w:rsid w:val="00C87E32"/>
    <w:rsid w:val="00C87EDC"/>
    <w:rsid w:val="00C90036"/>
    <w:rsid w:val="00C901DB"/>
    <w:rsid w:val="00C90886"/>
    <w:rsid w:val="00C91489"/>
    <w:rsid w:val="00C91520"/>
    <w:rsid w:val="00C91745"/>
    <w:rsid w:val="00C9193D"/>
    <w:rsid w:val="00C91A65"/>
    <w:rsid w:val="00C92138"/>
    <w:rsid w:val="00C924ED"/>
    <w:rsid w:val="00C9285E"/>
    <w:rsid w:val="00C928E1"/>
    <w:rsid w:val="00C92EC5"/>
    <w:rsid w:val="00C93493"/>
    <w:rsid w:val="00C93671"/>
    <w:rsid w:val="00C936CD"/>
    <w:rsid w:val="00C93EF4"/>
    <w:rsid w:val="00C93FCB"/>
    <w:rsid w:val="00C9408D"/>
    <w:rsid w:val="00C941D9"/>
    <w:rsid w:val="00C9421B"/>
    <w:rsid w:val="00C94279"/>
    <w:rsid w:val="00C94348"/>
    <w:rsid w:val="00C94422"/>
    <w:rsid w:val="00C9455E"/>
    <w:rsid w:val="00C9484F"/>
    <w:rsid w:val="00C95374"/>
    <w:rsid w:val="00C95666"/>
    <w:rsid w:val="00C956D0"/>
    <w:rsid w:val="00C95951"/>
    <w:rsid w:val="00C95A42"/>
    <w:rsid w:val="00C95B23"/>
    <w:rsid w:val="00C95C6A"/>
    <w:rsid w:val="00C95C77"/>
    <w:rsid w:val="00C9610C"/>
    <w:rsid w:val="00C96321"/>
    <w:rsid w:val="00C963E4"/>
    <w:rsid w:val="00C967F6"/>
    <w:rsid w:val="00C972B2"/>
    <w:rsid w:val="00C97564"/>
    <w:rsid w:val="00C97842"/>
    <w:rsid w:val="00C97ABE"/>
    <w:rsid w:val="00C97FE6"/>
    <w:rsid w:val="00CA02D6"/>
    <w:rsid w:val="00CA08A5"/>
    <w:rsid w:val="00CA0A60"/>
    <w:rsid w:val="00CA0BE6"/>
    <w:rsid w:val="00CA0CB6"/>
    <w:rsid w:val="00CA1294"/>
    <w:rsid w:val="00CA129B"/>
    <w:rsid w:val="00CA1394"/>
    <w:rsid w:val="00CA17CA"/>
    <w:rsid w:val="00CA1CA3"/>
    <w:rsid w:val="00CA1CC0"/>
    <w:rsid w:val="00CA1E32"/>
    <w:rsid w:val="00CA21E4"/>
    <w:rsid w:val="00CA24CE"/>
    <w:rsid w:val="00CA2BC9"/>
    <w:rsid w:val="00CA302A"/>
    <w:rsid w:val="00CA31C9"/>
    <w:rsid w:val="00CA3380"/>
    <w:rsid w:val="00CA36CC"/>
    <w:rsid w:val="00CA43B2"/>
    <w:rsid w:val="00CA4996"/>
    <w:rsid w:val="00CA4A87"/>
    <w:rsid w:val="00CA4BD1"/>
    <w:rsid w:val="00CA4C94"/>
    <w:rsid w:val="00CA5049"/>
    <w:rsid w:val="00CA50C3"/>
    <w:rsid w:val="00CA5312"/>
    <w:rsid w:val="00CA5E40"/>
    <w:rsid w:val="00CA62F1"/>
    <w:rsid w:val="00CA6462"/>
    <w:rsid w:val="00CA698A"/>
    <w:rsid w:val="00CA6A3D"/>
    <w:rsid w:val="00CA6BD7"/>
    <w:rsid w:val="00CA6D35"/>
    <w:rsid w:val="00CA6FF2"/>
    <w:rsid w:val="00CA7168"/>
    <w:rsid w:val="00CA7F76"/>
    <w:rsid w:val="00CA7FDC"/>
    <w:rsid w:val="00CB02A0"/>
    <w:rsid w:val="00CB03A3"/>
    <w:rsid w:val="00CB08EA"/>
    <w:rsid w:val="00CB0A92"/>
    <w:rsid w:val="00CB0FA1"/>
    <w:rsid w:val="00CB0FAA"/>
    <w:rsid w:val="00CB122E"/>
    <w:rsid w:val="00CB15CE"/>
    <w:rsid w:val="00CB191A"/>
    <w:rsid w:val="00CB1C23"/>
    <w:rsid w:val="00CB1E27"/>
    <w:rsid w:val="00CB210E"/>
    <w:rsid w:val="00CB21D3"/>
    <w:rsid w:val="00CB23A1"/>
    <w:rsid w:val="00CB2ADC"/>
    <w:rsid w:val="00CB2C38"/>
    <w:rsid w:val="00CB2C53"/>
    <w:rsid w:val="00CB2E5B"/>
    <w:rsid w:val="00CB3354"/>
    <w:rsid w:val="00CB3530"/>
    <w:rsid w:val="00CB354F"/>
    <w:rsid w:val="00CB35E8"/>
    <w:rsid w:val="00CB3D38"/>
    <w:rsid w:val="00CB3F9A"/>
    <w:rsid w:val="00CB4120"/>
    <w:rsid w:val="00CB450F"/>
    <w:rsid w:val="00CB480B"/>
    <w:rsid w:val="00CB48F0"/>
    <w:rsid w:val="00CB5114"/>
    <w:rsid w:val="00CB5797"/>
    <w:rsid w:val="00CB5FBE"/>
    <w:rsid w:val="00CB600E"/>
    <w:rsid w:val="00CB62EC"/>
    <w:rsid w:val="00CB6370"/>
    <w:rsid w:val="00CB68A8"/>
    <w:rsid w:val="00CB68F0"/>
    <w:rsid w:val="00CB6A23"/>
    <w:rsid w:val="00CB707B"/>
    <w:rsid w:val="00CB715A"/>
    <w:rsid w:val="00CB7285"/>
    <w:rsid w:val="00CB7330"/>
    <w:rsid w:val="00CB780F"/>
    <w:rsid w:val="00CB7A6A"/>
    <w:rsid w:val="00CB7B2B"/>
    <w:rsid w:val="00CB7F6C"/>
    <w:rsid w:val="00CB7F7D"/>
    <w:rsid w:val="00CB7FB1"/>
    <w:rsid w:val="00CC02A7"/>
    <w:rsid w:val="00CC046F"/>
    <w:rsid w:val="00CC062D"/>
    <w:rsid w:val="00CC07D3"/>
    <w:rsid w:val="00CC0847"/>
    <w:rsid w:val="00CC0A46"/>
    <w:rsid w:val="00CC0B1D"/>
    <w:rsid w:val="00CC0C72"/>
    <w:rsid w:val="00CC0CBE"/>
    <w:rsid w:val="00CC0E97"/>
    <w:rsid w:val="00CC11B7"/>
    <w:rsid w:val="00CC1252"/>
    <w:rsid w:val="00CC140C"/>
    <w:rsid w:val="00CC17AC"/>
    <w:rsid w:val="00CC180C"/>
    <w:rsid w:val="00CC1A2B"/>
    <w:rsid w:val="00CC1CD3"/>
    <w:rsid w:val="00CC20DB"/>
    <w:rsid w:val="00CC21A0"/>
    <w:rsid w:val="00CC22E7"/>
    <w:rsid w:val="00CC23BF"/>
    <w:rsid w:val="00CC2541"/>
    <w:rsid w:val="00CC2EF3"/>
    <w:rsid w:val="00CC2EFD"/>
    <w:rsid w:val="00CC33BE"/>
    <w:rsid w:val="00CC36A9"/>
    <w:rsid w:val="00CC3B5F"/>
    <w:rsid w:val="00CC3CC9"/>
    <w:rsid w:val="00CC3F29"/>
    <w:rsid w:val="00CC3F6C"/>
    <w:rsid w:val="00CC417C"/>
    <w:rsid w:val="00CC41C8"/>
    <w:rsid w:val="00CC4221"/>
    <w:rsid w:val="00CC4B2B"/>
    <w:rsid w:val="00CC4E1A"/>
    <w:rsid w:val="00CC5054"/>
    <w:rsid w:val="00CC512F"/>
    <w:rsid w:val="00CC5403"/>
    <w:rsid w:val="00CC5561"/>
    <w:rsid w:val="00CC55B1"/>
    <w:rsid w:val="00CC5663"/>
    <w:rsid w:val="00CC5704"/>
    <w:rsid w:val="00CC57E2"/>
    <w:rsid w:val="00CC6830"/>
    <w:rsid w:val="00CC68F5"/>
    <w:rsid w:val="00CC69FF"/>
    <w:rsid w:val="00CC6FF2"/>
    <w:rsid w:val="00CC7071"/>
    <w:rsid w:val="00CC709A"/>
    <w:rsid w:val="00CC70E0"/>
    <w:rsid w:val="00CC73AF"/>
    <w:rsid w:val="00CC75BC"/>
    <w:rsid w:val="00CC7938"/>
    <w:rsid w:val="00CC7967"/>
    <w:rsid w:val="00CC7AFD"/>
    <w:rsid w:val="00CD01FE"/>
    <w:rsid w:val="00CD0236"/>
    <w:rsid w:val="00CD03D8"/>
    <w:rsid w:val="00CD058F"/>
    <w:rsid w:val="00CD0902"/>
    <w:rsid w:val="00CD09A5"/>
    <w:rsid w:val="00CD0C07"/>
    <w:rsid w:val="00CD0D67"/>
    <w:rsid w:val="00CD0F76"/>
    <w:rsid w:val="00CD1652"/>
    <w:rsid w:val="00CD16AA"/>
    <w:rsid w:val="00CD17E5"/>
    <w:rsid w:val="00CD1CF9"/>
    <w:rsid w:val="00CD1D06"/>
    <w:rsid w:val="00CD1EA0"/>
    <w:rsid w:val="00CD1EA7"/>
    <w:rsid w:val="00CD22F6"/>
    <w:rsid w:val="00CD25E5"/>
    <w:rsid w:val="00CD2AFE"/>
    <w:rsid w:val="00CD2CCC"/>
    <w:rsid w:val="00CD2E0F"/>
    <w:rsid w:val="00CD2FF1"/>
    <w:rsid w:val="00CD336A"/>
    <w:rsid w:val="00CD3531"/>
    <w:rsid w:val="00CD3750"/>
    <w:rsid w:val="00CD3893"/>
    <w:rsid w:val="00CD3D99"/>
    <w:rsid w:val="00CD3EC1"/>
    <w:rsid w:val="00CD4108"/>
    <w:rsid w:val="00CD419D"/>
    <w:rsid w:val="00CD4328"/>
    <w:rsid w:val="00CD46C9"/>
    <w:rsid w:val="00CD4803"/>
    <w:rsid w:val="00CD4824"/>
    <w:rsid w:val="00CD53E7"/>
    <w:rsid w:val="00CD5892"/>
    <w:rsid w:val="00CD5908"/>
    <w:rsid w:val="00CD5A0E"/>
    <w:rsid w:val="00CD61DF"/>
    <w:rsid w:val="00CD664C"/>
    <w:rsid w:val="00CD6D08"/>
    <w:rsid w:val="00CD6D10"/>
    <w:rsid w:val="00CD6DC6"/>
    <w:rsid w:val="00CD6FE5"/>
    <w:rsid w:val="00CD7258"/>
    <w:rsid w:val="00CD734C"/>
    <w:rsid w:val="00CD760B"/>
    <w:rsid w:val="00CD7723"/>
    <w:rsid w:val="00CD777C"/>
    <w:rsid w:val="00CD77A7"/>
    <w:rsid w:val="00CD77D2"/>
    <w:rsid w:val="00CD78D9"/>
    <w:rsid w:val="00CD7A8D"/>
    <w:rsid w:val="00CD7D43"/>
    <w:rsid w:val="00CD7D89"/>
    <w:rsid w:val="00CE0D61"/>
    <w:rsid w:val="00CE1072"/>
    <w:rsid w:val="00CE139C"/>
    <w:rsid w:val="00CE1574"/>
    <w:rsid w:val="00CE1747"/>
    <w:rsid w:val="00CE1D4C"/>
    <w:rsid w:val="00CE1D8E"/>
    <w:rsid w:val="00CE1E93"/>
    <w:rsid w:val="00CE1FCC"/>
    <w:rsid w:val="00CE2066"/>
    <w:rsid w:val="00CE212A"/>
    <w:rsid w:val="00CE22BA"/>
    <w:rsid w:val="00CE2407"/>
    <w:rsid w:val="00CE24C1"/>
    <w:rsid w:val="00CE26F1"/>
    <w:rsid w:val="00CE28FA"/>
    <w:rsid w:val="00CE2F7D"/>
    <w:rsid w:val="00CE31A3"/>
    <w:rsid w:val="00CE33A7"/>
    <w:rsid w:val="00CE3411"/>
    <w:rsid w:val="00CE3498"/>
    <w:rsid w:val="00CE3603"/>
    <w:rsid w:val="00CE37F1"/>
    <w:rsid w:val="00CE3BBC"/>
    <w:rsid w:val="00CE3D5F"/>
    <w:rsid w:val="00CE4064"/>
    <w:rsid w:val="00CE41DB"/>
    <w:rsid w:val="00CE4476"/>
    <w:rsid w:val="00CE462F"/>
    <w:rsid w:val="00CE4869"/>
    <w:rsid w:val="00CE49A1"/>
    <w:rsid w:val="00CE4A8E"/>
    <w:rsid w:val="00CE4B37"/>
    <w:rsid w:val="00CE4C02"/>
    <w:rsid w:val="00CE4C35"/>
    <w:rsid w:val="00CE4C73"/>
    <w:rsid w:val="00CE4E64"/>
    <w:rsid w:val="00CE4E70"/>
    <w:rsid w:val="00CE525A"/>
    <w:rsid w:val="00CE52CD"/>
    <w:rsid w:val="00CE55B0"/>
    <w:rsid w:val="00CE565C"/>
    <w:rsid w:val="00CE5812"/>
    <w:rsid w:val="00CE5950"/>
    <w:rsid w:val="00CE5EA3"/>
    <w:rsid w:val="00CE60D6"/>
    <w:rsid w:val="00CE6265"/>
    <w:rsid w:val="00CE62E7"/>
    <w:rsid w:val="00CE64F6"/>
    <w:rsid w:val="00CE67A3"/>
    <w:rsid w:val="00CE67F5"/>
    <w:rsid w:val="00CE6837"/>
    <w:rsid w:val="00CE6AD1"/>
    <w:rsid w:val="00CE6B58"/>
    <w:rsid w:val="00CE717B"/>
    <w:rsid w:val="00CE7260"/>
    <w:rsid w:val="00CE77F4"/>
    <w:rsid w:val="00CE7899"/>
    <w:rsid w:val="00CE78D8"/>
    <w:rsid w:val="00CE793C"/>
    <w:rsid w:val="00CF0512"/>
    <w:rsid w:val="00CF0517"/>
    <w:rsid w:val="00CF0BB3"/>
    <w:rsid w:val="00CF0BBD"/>
    <w:rsid w:val="00CF0E54"/>
    <w:rsid w:val="00CF0F09"/>
    <w:rsid w:val="00CF1060"/>
    <w:rsid w:val="00CF132C"/>
    <w:rsid w:val="00CF14AB"/>
    <w:rsid w:val="00CF16D6"/>
    <w:rsid w:val="00CF18BA"/>
    <w:rsid w:val="00CF1A9F"/>
    <w:rsid w:val="00CF1B0B"/>
    <w:rsid w:val="00CF234F"/>
    <w:rsid w:val="00CF25F1"/>
    <w:rsid w:val="00CF2907"/>
    <w:rsid w:val="00CF2D42"/>
    <w:rsid w:val="00CF2DED"/>
    <w:rsid w:val="00CF2E24"/>
    <w:rsid w:val="00CF31EE"/>
    <w:rsid w:val="00CF32F4"/>
    <w:rsid w:val="00CF340B"/>
    <w:rsid w:val="00CF3684"/>
    <w:rsid w:val="00CF3757"/>
    <w:rsid w:val="00CF4496"/>
    <w:rsid w:val="00CF44EF"/>
    <w:rsid w:val="00CF47CA"/>
    <w:rsid w:val="00CF496A"/>
    <w:rsid w:val="00CF4B8C"/>
    <w:rsid w:val="00CF4DBA"/>
    <w:rsid w:val="00CF4F8A"/>
    <w:rsid w:val="00CF52F7"/>
    <w:rsid w:val="00CF534A"/>
    <w:rsid w:val="00CF53AB"/>
    <w:rsid w:val="00CF5418"/>
    <w:rsid w:val="00CF5773"/>
    <w:rsid w:val="00CF620A"/>
    <w:rsid w:val="00CF624F"/>
    <w:rsid w:val="00CF6307"/>
    <w:rsid w:val="00CF63B9"/>
    <w:rsid w:val="00CF6524"/>
    <w:rsid w:val="00CF68C9"/>
    <w:rsid w:val="00CF6B68"/>
    <w:rsid w:val="00CF6B84"/>
    <w:rsid w:val="00CF6CB8"/>
    <w:rsid w:val="00CF6ECE"/>
    <w:rsid w:val="00CF7244"/>
    <w:rsid w:val="00CF76ED"/>
    <w:rsid w:val="00CF7707"/>
    <w:rsid w:val="00CF7A1A"/>
    <w:rsid w:val="00CF7A57"/>
    <w:rsid w:val="00CF7FF6"/>
    <w:rsid w:val="00D00094"/>
    <w:rsid w:val="00D000BC"/>
    <w:rsid w:val="00D00103"/>
    <w:rsid w:val="00D0015B"/>
    <w:rsid w:val="00D0049B"/>
    <w:rsid w:val="00D0050F"/>
    <w:rsid w:val="00D00AEB"/>
    <w:rsid w:val="00D00F1C"/>
    <w:rsid w:val="00D010B3"/>
    <w:rsid w:val="00D0110F"/>
    <w:rsid w:val="00D011D0"/>
    <w:rsid w:val="00D01259"/>
    <w:rsid w:val="00D0144E"/>
    <w:rsid w:val="00D0176D"/>
    <w:rsid w:val="00D017B2"/>
    <w:rsid w:val="00D01974"/>
    <w:rsid w:val="00D01A3E"/>
    <w:rsid w:val="00D01A86"/>
    <w:rsid w:val="00D02099"/>
    <w:rsid w:val="00D021FC"/>
    <w:rsid w:val="00D0254A"/>
    <w:rsid w:val="00D028C1"/>
    <w:rsid w:val="00D02A99"/>
    <w:rsid w:val="00D02E27"/>
    <w:rsid w:val="00D031A4"/>
    <w:rsid w:val="00D0323F"/>
    <w:rsid w:val="00D03365"/>
    <w:rsid w:val="00D033DD"/>
    <w:rsid w:val="00D03497"/>
    <w:rsid w:val="00D03856"/>
    <w:rsid w:val="00D03A66"/>
    <w:rsid w:val="00D03C1F"/>
    <w:rsid w:val="00D03D13"/>
    <w:rsid w:val="00D03FA3"/>
    <w:rsid w:val="00D040D9"/>
    <w:rsid w:val="00D04CF7"/>
    <w:rsid w:val="00D05183"/>
    <w:rsid w:val="00D058D1"/>
    <w:rsid w:val="00D0596F"/>
    <w:rsid w:val="00D05A9C"/>
    <w:rsid w:val="00D05ACB"/>
    <w:rsid w:val="00D05DD1"/>
    <w:rsid w:val="00D06747"/>
    <w:rsid w:val="00D0680D"/>
    <w:rsid w:val="00D0682E"/>
    <w:rsid w:val="00D06B8E"/>
    <w:rsid w:val="00D06BF3"/>
    <w:rsid w:val="00D06E65"/>
    <w:rsid w:val="00D073AA"/>
    <w:rsid w:val="00D07458"/>
    <w:rsid w:val="00D07B57"/>
    <w:rsid w:val="00D07C5D"/>
    <w:rsid w:val="00D07E0B"/>
    <w:rsid w:val="00D100CD"/>
    <w:rsid w:val="00D105D7"/>
    <w:rsid w:val="00D1063A"/>
    <w:rsid w:val="00D10B1A"/>
    <w:rsid w:val="00D10EDB"/>
    <w:rsid w:val="00D10F56"/>
    <w:rsid w:val="00D10FE3"/>
    <w:rsid w:val="00D11462"/>
    <w:rsid w:val="00D11466"/>
    <w:rsid w:val="00D118A0"/>
    <w:rsid w:val="00D11BE0"/>
    <w:rsid w:val="00D11F0B"/>
    <w:rsid w:val="00D12100"/>
    <w:rsid w:val="00D12233"/>
    <w:rsid w:val="00D12541"/>
    <w:rsid w:val="00D1256D"/>
    <w:rsid w:val="00D12584"/>
    <w:rsid w:val="00D125A3"/>
    <w:rsid w:val="00D12768"/>
    <w:rsid w:val="00D12967"/>
    <w:rsid w:val="00D12AB9"/>
    <w:rsid w:val="00D12C33"/>
    <w:rsid w:val="00D13024"/>
    <w:rsid w:val="00D13111"/>
    <w:rsid w:val="00D1326D"/>
    <w:rsid w:val="00D13540"/>
    <w:rsid w:val="00D138DC"/>
    <w:rsid w:val="00D13B82"/>
    <w:rsid w:val="00D1421B"/>
    <w:rsid w:val="00D142AB"/>
    <w:rsid w:val="00D147FB"/>
    <w:rsid w:val="00D149E1"/>
    <w:rsid w:val="00D1538A"/>
    <w:rsid w:val="00D153B8"/>
    <w:rsid w:val="00D15585"/>
    <w:rsid w:val="00D159A2"/>
    <w:rsid w:val="00D15C23"/>
    <w:rsid w:val="00D16010"/>
    <w:rsid w:val="00D16564"/>
    <w:rsid w:val="00D166B0"/>
    <w:rsid w:val="00D167B1"/>
    <w:rsid w:val="00D16953"/>
    <w:rsid w:val="00D169DD"/>
    <w:rsid w:val="00D16EDF"/>
    <w:rsid w:val="00D17000"/>
    <w:rsid w:val="00D17253"/>
    <w:rsid w:val="00D17311"/>
    <w:rsid w:val="00D173BB"/>
    <w:rsid w:val="00D177E8"/>
    <w:rsid w:val="00D178DC"/>
    <w:rsid w:val="00D203A6"/>
    <w:rsid w:val="00D20678"/>
    <w:rsid w:val="00D20935"/>
    <w:rsid w:val="00D20D19"/>
    <w:rsid w:val="00D20ECD"/>
    <w:rsid w:val="00D21287"/>
    <w:rsid w:val="00D21469"/>
    <w:rsid w:val="00D214E9"/>
    <w:rsid w:val="00D21BCA"/>
    <w:rsid w:val="00D21D2C"/>
    <w:rsid w:val="00D21F38"/>
    <w:rsid w:val="00D2292E"/>
    <w:rsid w:val="00D22DF9"/>
    <w:rsid w:val="00D230E5"/>
    <w:rsid w:val="00D23850"/>
    <w:rsid w:val="00D23C3D"/>
    <w:rsid w:val="00D23DCE"/>
    <w:rsid w:val="00D23DDE"/>
    <w:rsid w:val="00D23EED"/>
    <w:rsid w:val="00D23EF9"/>
    <w:rsid w:val="00D24084"/>
    <w:rsid w:val="00D24304"/>
    <w:rsid w:val="00D2449E"/>
    <w:rsid w:val="00D2456C"/>
    <w:rsid w:val="00D24585"/>
    <w:rsid w:val="00D2491E"/>
    <w:rsid w:val="00D24A89"/>
    <w:rsid w:val="00D24DE7"/>
    <w:rsid w:val="00D2519A"/>
    <w:rsid w:val="00D251D1"/>
    <w:rsid w:val="00D2584B"/>
    <w:rsid w:val="00D2584E"/>
    <w:rsid w:val="00D2592E"/>
    <w:rsid w:val="00D25DC4"/>
    <w:rsid w:val="00D261CE"/>
    <w:rsid w:val="00D262F2"/>
    <w:rsid w:val="00D264DD"/>
    <w:rsid w:val="00D264F3"/>
    <w:rsid w:val="00D265EC"/>
    <w:rsid w:val="00D2678A"/>
    <w:rsid w:val="00D26879"/>
    <w:rsid w:val="00D268D3"/>
    <w:rsid w:val="00D26963"/>
    <w:rsid w:val="00D26E87"/>
    <w:rsid w:val="00D27319"/>
    <w:rsid w:val="00D273E1"/>
    <w:rsid w:val="00D276FE"/>
    <w:rsid w:val="00D27886"/>
    <w:rsid w:val="00D27958"/>
    <w:rsid w:val="00D27A61"/>
    <w:rsid w:val="00D27D8F"/>
    <w:rsid w:val="00D27E76"/>
    <w:rsid w:val="00D303AB"/>
    <w:rsid w:val="00D306A0"/>
    <w:rsid w:val="00D30736"/>
    <w:rsid w:val="00D307C3"/>
    <w:rsid w:val="00D30882"/>
    <w:rsid w:val="00D30903"/>
    <w:rsid w:val="00D30B9A"/>
    <w:rsid w:val="00D30FE9"/>
    <w:rsid w:val="00D311AC"/>
    <w:rsid w:val="00D31296"/>
    <w:rsid w:val="00D31299"/>
    <w:rsid w:val="00D31373"/>
    <w:rsid w:val="00D31551"/>
    <w:rsid w:val="00D3186D"/>
    <w:rsid w:val="00D31922"/>
    <w:rsid w:val="00D31BC9"/>
    <w:rsid w:val="00D31D39"/>
    <w:rsid w:val="00D31F78"/>
    <w:rsid w:val="00D3212F"/>
    <w:rsid w:val="00D32262"/>
    <w:rsid w:val="00D326CE"/>
    <w:rsid w:val="00D32B29"/>
    <w:rsid w:val="00D32B9F"/>
    <w:rsid w:val="00D32D9D"/>
    <w:rsid w:val="00D32F99"/>
    <w:rsid w:val="00D3302C"/>
    <w:rsid w:val="00D3391B"/>
    <w:rsid w:val="00D33A1D"/>
    <w:rsid w:val="00D34A40"/>
    <w:rsid w:val="00D34ABE"/>
    <w:rsid w:val="00D34EAD"/>
    <w:rsid w:val="00D35407"/>
    <w:rsid w:val="00D3548E"/>
    <w:rsid w:val="00D35581"/>
    <w:rsid w:val="00D35653"/>
    <w:rsid w:val="00D35C19"/>
    <w:rsid w:val="00D35CB9"/>
    <w:rsid w:val="00D362CA"/>
    <w:rsid w:val="00D36841"/>
    <w:rsid w:val="00D3704F"/>
    <w:rsid w:val="00D372B1"/>
    <w:rsid w:val="00D37382"/>
    <w:rsid w:val="00D37578"/>
    <w:rsid w:val="00D400EB"/>
    <w:rsid w:val="00D41493"/>
    <w:rsid w:val="00D41653"/>
    <w:rsid w:val="00D419A3"/>
    <w:rsid w:val="00D41A9B"/>
    <w:rsid w:val="00D41CC2"/>
    <w:rsid w:val="00D42039"/>
    <w:rsid w:val="00D42348"/>
    <w:rsid w:val="00D42509"/>
    <w:rsid w:val="00D4250A"/>
    <w:rsid w:val="00D42813"/>
    <w:rsid w:val="00D42818"/>
    <w:rsid w:val="00D42AA7"/>
    <w:rsid w:val="00D42B39"/>
    <w:rsid w:val="00D4315D"/>
    <w:rsid w:val="00D431AC"/>
    <w:rsid w:val="00D4338B"/>
    <w:rsid w:val="00D43B45"/>
    <w:rsid w:val="00D43C3D"/>
    <w:rsid w:val="00D43F27"/>
    <w:rsid w:val="00D44625"/>
    <w:rsid w:val="00D44B13"/>
    <w:rsid w:val="00D44C80"/>
    <w:rsid w:val="00D45263"/>
    <w:rsid w:val="00D45617"/>
    <w:rsid w:val="00D45809"/>
    <w:rsid w:val="00D45E3B"/>
    <w:rsid w:val="00D462AE"/>
    <w:rsid w:val="00D462B5"/>
    <w:rsid w:val="00D46468"/>
    <w:rsid w:val="00D46674"/>
    <w:rsid w:val="00D466BB"/>
    <w:rsid w:val="00D467A2"/>
    <w:rsid w:val="00D469B8"/>
    <w:rsid w:val="00D46A8C"/>
    <w:rsid w:val="00D46BCE"/>
    <w:rsid w:val="00D46F68"/>
    <w:rsid w:val="00D470B6"/>
    <w:rsid w:val="00D474C7"/>
    <w:rsid w:val="00D47B58"/>
    <w:rsid w:val="00D47C8B"/>
    <w:rsid w:val="00D47FB4"/>
    <w:rsid w:val="00D50132"/>
    <w:rsid w:val="00D503C7"/>
    <w:rsid w:val="00D50879"/>
    <w:rsid w:val="00D51053"/>
    <w:rsid w:val="00D513F2"/>
    <w:rsid w:val="00D514A7"/>
    <w:rsid w:val="00D514EE"/>
    <w:rsid w:val="00D51A4D"/>
    <w:rsid w:val="00D51DF3"/>
    <w:rsid w:val="00D5229D"/>
    <w:rsid w:val="00D52394"/>
    <w:rsid w:val="00D523BC"/>
    <w:rsid w:val="00D525DF"/>
    <w:rsid w:val="00D5267F"/>
    <w:rsid w:val="00D52780"/>
    <w:rsid w:val="00D5319B"/>
    <w:rsid w:val="00D5337D"/>
    <w:rsid w:val="00D535FB"/>
    <w:rsid w:val="00D53CFC"/>
    <w:rsid w:val="00D540AF"/>
    <w:rsid w:val="00D546F2"/>
    <w:rsid w:val="00D5473F"/>
    <w:rsid w:val="00D54EB8"/>
    <w:rsid w:val="00D55113"/>
    <w:rsid w:val="00D553EB"/>
    <w:rsid w:val="00D55A1D"/>
    <w:rsid w:val="00D55A8A"/>
    <w:rsid w:val="00D55EB4"/>
    <w:rsid w:val="00D563C7"/>
    <w:rsid w:val="00D565D9"/>
    <w:rsid w:val="00D56C91"/>
    <w:rsid w:val="00D56D8A"/>
    <w:rsid w:val="00D56DDA"/>
    <w:rsid w:val="00D57385"/>
    <w:rsid w:val="00D573D9"/>
    <w:rsid w:val="00D5749A"/>
    <w:rsid w:val="00D57555"/>
    <w:rsid w:val="00D57577"/>
    <w:rsid w:val="00D57598"/>
    <w:rsid w:val="00D577C8"/>
    <w:rsid w:val="00D57A53"/>
    <w:rsid w:val="00D57CBB"/>
    <w:rsid w:val="00D57CD6"/>
    <w:rsid w:val="00D57E1B"/>
    <w:rsid w:val="00D606D5"/>
    <w:rsid w:val="00D60AB1"/>
    <w:rsid w:val="00D60C5D"/>
    <w:rsid w:val="00D60D15"/>
    <w:rsid w:val="00D60D18"/>
    <w:rsid w:val="00D60D8C"/>
    <w:rsid w:val="00D610BE"/>
    <w:rsid w:val="00D6114E"/>
    <w:rsid w:val="00D61397"/>
    <w:rsid w:val="00D61423"/>
    <w:rsid w:val="00D614F0"/>
    <w:rsid w:val="00D61C6D"/>
    <w:rsid w:val="00D61D12"/>
    <w:rsid w:val="00D623A8"/>
    <w:rsid w:val="00D6255F"/>
    <w:rsid w:val="00D6283C"/>
    <w:rsid w:val="00D62B04"/>
    <w:rsid w:val="00D62BD9"/>
    <w:rsid w:val="00D62CB8"/>
    <w:rsid w:val="00D63134"/>
    <w:rsid w:val="00D631F6"/>
    <w:rsid w:val="00D632FE"/>
    <w:rsid w:val="00D63423"/>
    <w:rsid w:val="00D636A3"/>
    <w:rsid w:val="00D63754"/>
    <w:rsid w:val="00D6388D"/>
    <w:rsid w:val="00D644BB"/>
    <w:rsid w:val="00D64922"/>
    <w:rsid w:val="00D64F69"/>
    <w:rsid w:val="00D6533F"/>
    <w:rsid w:val="00D6558D"/>
    <w:rsid w:val="00D65B93"/>
    <w:rsid w:val="00D65BF7"/>
    <w:rsid w:val="00D65C02"/>
    <w:rsid w:val="00D6609B"/>
    <w:rsid w:val="00D66202"/>
    <w:rsid w:val="00D66498"/>
    <w:rsid w:val="00D66608"/>
    <w:rsid w:val="00D66AA7"/>
    <w:rsid w:val="00D66CC7"/>
    <w:rsid w:val="00D67845"/>
    <w:rsid w:val="00D678DE"/>
    <w:rsid w:val="00D67E11"/>
    <w:rsid w:val="00D67EE8"/>
    <w:rsid w:val="00D67F62"/>
    <w:rsid w:val="00D70170"/>
    <w:rsid w:val="00D702AA"/>
    <w:rsid w:val="00D702DF"/>
    <w:rsid w:val="00D703D8"/>
    <w:rsid w:val="00D707A3"/>
    <w:rsid w:val="00D7164D"/>
    <w:rsid w:val="00D72459"/>
    <w:rsid w:val="00D72557"/>
    <w:rsid w:val="00D7272F"/>
    <w:rsid w:val="00D727C7"/>
    <w:rsid w:val="00D7299A"/>
    <w:rsid w:val="00D72C60"/>
    <w:rsid w:val="00D72EFF"/>
    <w:rsid w:val="00D72FDC"/>
    <w:rsid w:val="00D73331"/>
    <w:rsid w:val="00D733AF"/>
    <w:rsid w:val="00D7387F"/>
    <w:rsid w:val="00D73B4B"/>
    <w:rsid w:val="00D73F23"/>
    <w:rsid w:val="00D73FC4"/>
    <w:rsid w:val="00D74016"/>
    <w:rsid w:val="00D741C8"/>
    <w:rsid w:val="00D74257"/>
    <w:rsid w:val="00D7459E"/>
    <w:rsid w:val="00D74751"/>
    <w:rsid w:val="00D74D53"/>
    <w:rsid w:val="00D74FB8"/>
    <w:rsid w:val="00D75485"/>
    <w:rsid w:val="00D75620"/>
    <w:rsid w:val="00D75621"/>
    <w:rsid w:val="00D7563D"/>
    <w:rsid w:val="00D75844"/>
    <w:rsid w:val="00D75913"/>
    <w:rsid w:val="00D75977"/>
    <w:rsid w:val="00D75A47"/>
    <w:rsid w:val="00D76071"/>
    <w:rsid w:val="00D76079"/>
    <w:rsid w:val="00D76108"/>
    <w:rsid w:val="00D765D7"/>
    <w:rsid w:val="00D76C39"/>
    <w:rsid w:val="00D770C9"/>
    <w:rsid w:val="00D770DF"/>
    <w:rsid w:val="00D77164"/>
    <w:rsid w:val="00D7747F"/>
    <w:rsid w:val="00D77610"/>
    <w:rsid w:val="00D77782"/>
    <w:rsid w:val="00D80280"/>
    <w:rsid w:val="00D8066F"/>
    <w:rsid w:val="00D806F1"/>
    <w:rsid w:val="00D8083A"/>
    <w:rsid w:val="00D809E7"/>
    <w:rsid w:val="00D80BB7"/>
    <w:rsid w:val="00D80CA8"/>
    <w:rsid w:val="00D812E7"/>
    <w:rsid w:val="00D813B3"/>
    <w:rsid w:val="00D813D8"/>
    <w:rsid w:val="00D81512"/>
    <w:rsid w:val="00D8154C"/>
    <w:rsid w:val="00D8178F"/>
    <w:rsid w:val="00D8186E"/>
    <w:rsid w:val="00D81C57"/>
    <w:rsid w:val="00D81CB9"/>
    <w:rsid w:val="00D81ED6"/>
    <w:rsid w:val="00D81EDB"/>
    <w:rsid w:val="00D82378"/>
    <w:rsid w:val="00D826DD"/>
    <w:rsid w:val="00D8274B"/>
    <w:rsid w:val="00D82863"/>
    <w:rsid w:val="00D82CF4"/>
    <w:rsid w:val="00D83322"/>
    <w:rsid w:val="00D836C9"/>
    <w:rsid w:val="00D839FB"/>
    <w:rsid w:val="00D83A0E"/>
    <w:rsid w:val="00D83A90"/>
    <w:rsid w:val="00D83AD3"/>
    <w:rsid w:val="00D83B7A"/>
    <w:rsid w:val="00D83DA6"/>
    <w:rsid w:val="00D83DCF"/>
    <w:rsid w:val="00D8445D"/>
    <w:rsid w:val="00D84C3B"/>
    <w:rsid w:val="00D84D47"/>
    <w:rsid w:val="00D84FCC"/>
    <w:rsid w:val="00D8550E"/>
    <w:rsid w:val="00D8553F"/>
    <w:rsid w:val="00D856D3"/>
    <w:rsid w:val="00D85BD6"/>
    <w:rsid w:val="00D85CFD"/>
    <w:rsid w:val="00D86962"/>
    <w:rsid w:val="00D86A49"/>
    <w:rsid w:val="00D8719D"/>
    <w:rsid w:val="00D87448"/>
    <w:rsid w:val="00D876BF"/>
    <w:rsid w:val="00D87730"/>
    <w:rsid w:val="00D90607"/>
    <w:rsid w:val="00D90785"/>
    <w:rsid w:val="00D9079E"/>
    <w:rsid w:val="00D9083F"/>
    <w:rsid w:val="00D90858"/>
    <w:rsid w:val="00D908BD"/>
    <w:rsid w:val="00D90EC5"/>
    <w:rsid w:val="00D91099"/>
    <w:rsid w:val="00D913C4"/>
    <w:rsid w:val="00D91795"/>
    <w:rsid w:val="00D91907"/>
    <w:rsid w:val="00D923AF"/>
    <w:rsid w:val="00D925CA"/>
    <w:rsid w:val="00D9275E"/>
    <w:rsid w:val="00D928DF"/>
    <w:rsid w:val="00D931AD"/>
    <w:rsid w:val="00D9352C"/>
    <w:rsid w:val="00D93961"/>
    <w:rsid w:val="00D93AB5"/>
    <w:rsid w:val="00D93E05"/>
    <w:rsid w:val="00D93F32"/>
    <w:rsid w:val="00D944F8"/>
    <w:rsid w:val="00D94738"/>
    <w:rsid w:val="00D94851"/>
    <w:rsid w:val="00D94883"/>
    <w:rsid w:val="00D94B6A"/>
    <w:rsid w:val="00D94D64"/>
    <w:rsid w:val="00D94E43"/>
    <w:rsid w:val="00D94F11"/>
    <w:rsid w:val="00D95050"/>
    <w:rsid w:val="00D951E2"/>
    <w:rsid w:val="00D953CD"/>
    <w:rsid w:val="00D95575"/>
    <w:rsid w:val="00D9583D"/>
    <w:rsid w:val="00D95A8D"/>
    <w:rsid w:val="00D95AE2"/>
    <w:rsid w:val="00D95C34"/>
    <w:rsid w:val="00D95F74"/>
    <w:rsid w:val="00D960C7"/>
    <w:rsid w:val="00D969A4"/>
    <w:rsid w:val="00D96C99"/>
    <w:rsid w:val="00D96E98"/>
    <w:rsid w:val="00D975EA"/>
    <w:rsid w:val="00D97627"/>
    <w:rsid w:val="00D9762D"/>
    <w:rsid w:val="00D97673"/>
    <w:rsid w:val="00D97713"/>
    <w:rsid w:val="00D979B7"/>
    <w:rsid w:val="00DA0390"/>
    <w:rsid w:val="00DA08E1"/>
    <w:rsid w:val="00DA0BF7"/>
    <w:rsid w:val="00DA0DD5"/>
    <w:rsid w:val="00DA0F03"/>
    <w:rsid w:val="00DA135D"/>
    <w:rsid w:val="00DA1F15"/>
    <w:rsid w:val="00DA2514"/>
    <w:rsid w:val="00DA25E7"/>
    <w:rsid w:val="00DA2ACE"/>
    <w:rsid w:val="00DA2AE2"/>
    <w:rsid w:val="00DA2DC3"/>
    <w:rsid w:val="00DA2F5E"/>
    <w:rsid w:val="00DA30D5"/>
    <w:rsid w:val="00DA31F3"/>
    <w:rsid w:val="00DA3200"/>
    <w:rsid w:val="00DA33C0"/>
    <w:rsid w:val="00DA35F2"/>
    <w:rsid w:val="00DA3688"/>
    <w:rsid w:val="00DA37EA"/>
    <w:rsid w:val="00DA3982"/>
    <w:rsid w:val="00DA3D3A"/>
    <w:rsid w:val="00DA3DC0"/>
    <w:rsid w:val="00DA4289"/>
    <w:rsid w:val="00DA43CE"/>
    <w:rsid w:val="00DA447F"/>
    <w:rsid w:val="00DA44FC"/>
    <w:rsid w:val="00DA4610"/>
    <w:rsid w:val="00DA482F"/>
    <w:rsid w:val="00DA4958"/>
    <w:rsid w:val="00DA4996"/>
    <w:rsid w:val="00DA507C"/>
    <w:rsid w:val="00DA55C9"/>
    <w:rsid w:val="00DA5642"/>
    <w:rsid w:val="00DA5654"/>
    <w:rsid w:val="00DA5B3B"/>
    <w:rsid w:val="00DA5D6D"/>
    <w:rsid w:val="00DA6032"/>
    <w:rsid w:val="00DA619E"/>
    <w:rsid w:val="00DA62F9"/>
    <w:rsid w:val="00DA6513"/>
    <w:rsid w:val="00DA66AF"/>
    <w:rsid w:val="00DA6AE8"/>
    <w:rsid w:val="00DA6B6E"/>
    <w:rsid w:val="00DA6FCA"/>
    <w:rsid w:val="00DA7007"/>
    <w:rsid w:val="00DA70BC"/>
    <w:rsid w:val="00DA730D"/>
    <w:rsid w:val="00DA73AB"/>
    <w:rsid w:val="00DA74F3"/>
    <w:rsid w:val="00DA79AD"/>
    <w:rsid w:val="00DA7AFA"/>
    <w:rsid w:val="00DA7B33"/>
    <w:rsid w:val="00DA7BE3"/>
    <w:rsid w:val="00DA7C94"/>
    <w:rsid w:val="00DB039D"/>
    <w:rsid w:val="00DB05BF"/>
    <w:rsid w:val="00DB05FB"/>
    <w:rsid w:val="00DB0669"/>
    <w:rsid w:val="00DB06CF"/>
    <w:rsid w:val="00DB097F"/>
    <w:rsid w:val="00DB0A89"/>
    <w:rsid w:val="00DB0BA2"/>
    <w:rsid w:val="00DB0C4E"/>
    <w:rsid w:val="00DB111F"/>
    <w:rsid w:val="00DB12B9"/>
    <w:rsid w:val="00DB1447"/>
    <w:rsid w:val="00DB153B"/>
    <w:rsid w:val="00DB1578"/>
    <w:rsid w:val="00DB1A81"/>
    <w:rsid w:val="00DB1B21"/>
    <w:rsid w:val="00DB1C7D"/>
    <w:rsid w:val="00DB2454"/>
    <w:rsid w:val="00DB25DB"/>
    <w:rsid w:val="00DB2A2B"/>
    <w:rsid w:val="00DB2A6E"/>
    <w:rsid w:val="00DB2CEF"/>
    <w:rsid w:val="00DB2D0B"/>
    <w:rsid w:val="00DB3687"/>
    <w:rsid w:val="00DB36C1"/>
    <w:rsid w:val="00DB3CAE"/>
    <w:rsid w:val="00DB3E16"/>
    <w:rsid w:val="00DB3E9E"/>
    <w:rsid w:val="00DB3EF4"/>
    <w:rsid w:val="00DB3F6C"/>
    <w:rsid w:val="00DB43B2"/>
    <w:rsid w:val="00DB46C9"/>
    <w:rsid w:val="00DB4B09"/>
    <w:rsid w:val="00DB4D5D"/>
    <w:rsid w:val="00DB4F35"/>
    <w:rsid w:val="00DB52E2"/>
    <w:rsid w:val="00DB5894"/>
    <w:rsid w:val="00DB5996"/>
    <w:rsid w:val="00DB5B96"/>
    <w:rsid w:val="00DB5ED3"/>
    <w:rsid w:val="00DB606C"/>
    <w:rsid w:val="00DB6318"/>
    <w:rsid w:val="00DB63D1"/>
    <w:rsid w:val="00DB6615"/>
    <w:rsid w:val="00DB6929"/>
    <w:rsid w:val="00DB692F"/>
    <w:rsid w:val="00DB6988"/>
    <w:rsid w:val="00DB72C3"/>
    <w:rsid w:val="00DB759F"/>
    <w:rsid w:val="00DB7743"/>
    <w:rsid w:val="00DB78A1"/>
    <w:rsid w:val="00DB7A7A"/>
    <w:rsid w:val="00DB7C81"/>
    <w:rsid w:val="00DB7E05"/>
    <w:rsid w:val="00DC0057"/>
    <w:rsid w:val="00DC031C"/>
    <w:rsid w:val="00DC03F4"/>
    <w:rsid w:val="00DC0629"/>
    <w:rsid w:val="00DC09F7"/>
    <w:rsid w:val="00DC0BCD"/>
    <w:rsid w:val="00DC1369"/>
    <w:rsid w:val="00DC1443"/>
    <w:rsid w:val="00DC15FB"/>
    <w:rsid w:val="00DC169A"/>
    <w:rsid w:val="00DC17C2"/>
    <w:rsid w:val="00DC1B80"/>
    <w:rsid w:val="00DC1BE7"/>
    <w:rsid w:val="00DC1C55"/>
    <w:rsid w:val="00DC2014"/>
    <w:rsid w:val="00DC228B"/>
    <w:rsid w:val="00DC2363"/>
    <w:rsid w:val="00DC256B"/>
    <w:rsid w:val="00DC267B"/>
    <w:rsid w:val="00DC276F"/>
    <w:rsid w:val="00DC27E4"/>
    <w:rsid w:val="00DC298F"/>
    <w:rsid w:val="00DC2B7A"/>
    <w:rsid w:val="00DC2B93"/>
    <w:rsid w:val="00DC2C5D"/>
    <w:rsid w:val="00DC3381"/>
    <w:rsid w:val="00DC35B1"/>
    <w:rsid w:val="00DC3928"/>
    <w:rsid w:val="00DC39F7"/>
    <w:rsid w:val="00DC3F23"/>
    <w:rsid w:val="00DC4404"/>
    <w:rsid w:val="00DC4683"/>
    <w:rsid w:val="00DC469E"/>
    <w:rsid w:val="00DC4949"/>
    <w:rsid w:val="00DC5053"/>
    <w:rsid w:val="00DC54D6"/>
    <w:rsid w:val="00DC55B8"/>
    <w:rsid w:val="00DC5766"/>
    <w:rsid w:val="00DC5B24"/>
    <w:rsid w:val="00DC5BBD"/>
    <w:rsid w:val="00DC6043"/>
    <w:rsid w:val="00DC6252"/>
    <w:rsid w:val="00DC667B"/>
    <w:rsid w:val="00DC69B6"/>
    <w:rsid w:val="00DC69E3"/>
    <w:rsid w:val="00DC6B50"/>
    <w:rsid w:val="00DC715A"/>
    <w:rsid w:val="00DC727C"/>
    <w:rsid w:val="00DC72B8"/>
    <w:rsid w:val="00DC73D3"/>
    <w:rsid w:val="00DC747E"/>
    <w:rsid w:val="00DC7490"/>
    <w:rsid w:val="00DC74E9"/>
    <w:rsid w:val="00DC7573"/>
    <w:rsid w:val="00DC7650"/>
    <w:rsid w:val="00DC7779"/>
    <w:rsid w:val="00DD02EB"/>
    <w:rsid w:val="00DD04ED"/>
    <w:rsid w:val="00DD060F"/>
    <w:rsid w:val="00DD0EB7"/>
    <w:rsid w:val="00DD0F35"/>
    <w:rsid w:val="00DD0FD2"/>
    <w:rsid w:val="00DD1390"/>
    <w:rsid w:val="00DD1A04"/>
    <w:rsid w:val="00DD1EA9"/>
    <w:rsid w:val="00DD2332"/>
    <w:rsid w:val="00DD24CB"/>
    <w:rsid w:val="00DD2974"/>
    <w:rsid w:val="00DD2A0E"/>
    <w:rsid w:val="00DD2A65"/>
    <w:rsid w:val="00DD2C38"/>
    <w:rsid w:val="00DD3C7D"/>
    <w:rsid w:val="00DD3CB7"/>
    <w:rsid w:val="00DD3D72"/>
    <w:rsid w:val="00DD3DBF"/>
    <w:rsid w:val="00DD3F33"/>
    <w:rsid w:val="00DD42DE"/>
    <w:rsid w:val="00DD4764"/>
    <w:rsid w:val="00DD4F20"/>
    <w:rsid w:val="00DD50E1"/>
    <w:rsid w:val="00DD50FD"/>
    <w:rsid w:val="00DD55B1"/>
    <w:rsid w:val="00DD5CD4"/>
    <w:rsid w:val="00DD5D21"/>
    <w:rsid w:val="00DD65B2"/>
    <w:rsid w:val="00DD65E0"/>
    <w:rsid w:val="00DD6800"/>
    <w:rsid w:val="00DD694E"/>
    <w:rsid w:val="00DD6FAC"/>
    <w:rsid w:val="00DD6FEC"/>
    <w:rsid w:val="00DD7237"/>
    <w:rsid w:val="00DD7387"/>
    <w:rsid w:val="00DD7787"/>
    <w:rsid w:val="00DD77CA"/>
    <w:rsid w:val="00DE027D"/>
    <w:rsid w:val="00DE0606"/>
    <w:rsid w:val="00DE06AD"/>
    <w:rsid w:val="00DE091A"/>
    <w:rsid w:val="00DE0B5B"/>
    <w:rsid w:val="00DE0E22"/>
    <w:rsid w:val="00DE0EC9"/>
    <w:rsid w:val="00DE174B"/>
    <w:rsid w:val="00DE1943"/>
    <w:rsid w:val="00DE19B6"/>
    <w:rsid w:val="00DE19D4"/>
    <w:rsid w:val="00DE222A"/>
    <w:rsid w:val="00DE2292"/>
    <w:rsid w:val="00DE27FF"/>
    <w:rsid w:val="00DE2B0E"/>
    <w:rsid w:val="00DE356B"/>
    <w:rsid w:val="00DE364F"/>
    <w:rsid w:val="00DE3A79"/>
    <w:rsid w:val="00DE3E4F"/>
    <w:rsid w:val="00DE478E"/>
    <w:rsid w:val="00DE49F5"/>
    <w:rsid w:val="00DE4BA6"/>
    <w:rsid w:val="00DE4BF5"/>
    <w:rsid w:val="00DE4D06"/>
    <w:rsid w:val="00DE4DB3"/>
    <w:rsid w:val="00DE5170"/>
    <w:rsid w:val="00DE522C"/>
    <w:rsid w:val="00DE52A0"/>
    <w:rsid w:val="00DE539D"/>
    <w:rsid w:val="00DE5639"/>
    <w:rsid w:val="00DE5A57"/>
    <w:rsid w:val="00DE60B4"/>
    <w:rsid w:val="00DE6698"/>
    <w:rsid w:val="00DE684D"/>
    <w:rsid w:val="00DE714E"/>
    <w:rsid w:val="00DE717B"/>
    <w:rsid w:val="00DE74D9"/>
    <w:rsid w:val="00DE74E4"/>
    <w:rsid w:val="00DE77D2"/>
    <w:rsid w:val="00DE7B3F"/>
    <w:rsid w:val="00DE7CE9"/>
    <w:rsid w:val="00DE7DB8"/>
    <w:rsid w:val="00DF0221"/>
    <w:rsid w:val="00DF02D7"/>
    <w:rsid w:val="00DF08FB"/>
    <w:rsid w:val="00DF0A49"/>
    <w:rsid w:val="00DF0E4B"/>
    <w:rsid w:val="00DF0FE4"/>
    <w:rsid w:val="00DF100A"/>
    <w:rsid w:val="00DF1313"/>
    <w:rsid w:val="00DF1326"/>
    <w:rsid w:val="00DF1885"/>
    <w:rsid w:val="00DF1A2C"/>
    <w:rsid w:val="00DF1E03"/>
    <w:rsid w:val="00DF1EA6"/>
    <w:rsid w:val="00DF25E4"/>
    <w:rsid w:val="00DF25F2"/>
    <w:rsid w:val="00DF2B99"/>
    <w:rsid w:val="00DF3058"/>
    <w:rsid w:val="00DF313F"/>
    <w:rsid w:val="00DF3525"/>
    <w:rsid w:val="00DF3761"/>
    <w:rsid w:val="00DF3AD1"/>
    <w:rsid w:val="00DF3D90"/>
    <w:rsid w:val="00DF3DE7"/>
    <w:rsid w:val="00DF3F90"/>
    <w:rsid w:val="00DF43B6"/>
    <w:rsid w:val="00DF445F"/>
    <w:rsid w:val="00DF44E2"/>
    <w:rsid w:val="00DF4970"/>
    <w:rsid w:val="00DF49E3"/>
    <w:rsid w:val="00DF49F0"/>
    <w:rsid w:val="00DF5264"/>
    <w:rsid w:val="00DF574E"/>
    <w:rsid w:val="00DF58C3"/>
    <w:rsid w:val="00DF59A3"/>
    <w:rsid w:val="00DF5BA9"/>
    <w:rsid w:val="00DF5BE5"/>
    <w:rsid w:val="00DF6346"/>
    <w:rsid w:val="00DF63BC"/>
    <w:rsid w:val="00DF68EE"/>
    <w:rsid w:val="00DF73FA"/>
    <w:rsid w:val="00DF75C8"/>
    <w:rsid w:val="00DF7644"/>
    <w:rsid w:val="00DF787D"/>
    <w:rsid w:val="00DF79AD"/>
    <w:rsid w:val="00DF7E31"/>
    <w:rsid w:val="00DF7F75"/>
    <w:rsid w:val="00DF7FF4"/>
    <w:rsid w:val="00E00171"/>
    <w:rsid w:val="00E0027C"/>
    <w:rsid w:val="00E003AB"/>
    <w:rsid w:val="00E005B9"/>
    <w:rsid w:val="00E0062D"/>
    <w:rsid w:val="00E006A4"/>
    <w:rsid w:val="00E007F4"/>
    <w:rsid w:val="00E00DE5"/>
    <w:rsid w:val="00E00FF5"/>
    <w:rsid w:val="00E013F2"/>
    <w:rsid w:val="00E01544"/>
    <w:rsid w:val="00E0185C"/>
    <w:rsid w:val="00E01B1B"/>
    <w:rsid w:val="00E01CB2"/>
    <w:rsid w:val="00E01D2D"/>
    <w:rsid w:val="00E01DE7"/>
    <w:rsid w:val="00E02290"/>
    <w:rsid w:val="00E027B4"/>
    <w:rsid w:val="00E02DCC"/>
    <w:rsid w:val="00E035CB"/>
    <w:rsid w:val="00E03A64"/>
    <w:rsid w:val="00E040F4"/>
    <w:rsid w:val="00E04B4B"/>
    <w:rsid w:val="00E04CD1"/>
    <w:rsid w:val="00E04D59"/>
    <w:rsid w:val="00E04DA7"/>
    <w:rsid w:val="00E04F3F"/>
    <w:rsid w:val="00E0520D"/>
    <w:rsid w:val="00E05353"/>
    <w:rsid w:val="00E05475"/>
    <w:rsid w:val="00E0596F"/>
    <w:rsid w:val="00E05CB9"/>
    <w:rsid w:val="00E05D73"/>
    <w:rsid w:val="00E06077"/>
    <w:rsid w:val="00E0613E"/>
    <w:rsid w:val="00E06AAA"/>
    <w:rsid w:val="00E06D37"/>
    <w:rsid w:val="00E06DA1"/>
    <w:rsid w:val="00E06E6E"/>
    <w:rsid w:val="00E07321"/>
    <w:rsid w:val="00E074F3"/>
    <w:rsid w:val="00E075C4"/>
    <w:rsid w:val="00E07AAC"/>
    <w:rsid w:val="00E1009F"/>
    <w:rsid w:val="00E1040B"/>
    <w:rsid w:val="00E105A4"/>
    <w:rsid w:val="00E10B8B"/>
    <w:rsid w:val="00E10E98"/>
    <w:rsid w:val="00E10F1D"/>
    <w:rsid w:val="00E10F94"/>
    <w:rsid w:val="00E1167B"/>
    <w:rsid w:val="00E1183E"/>
    <w:rsid w:val="00E11DB7"/>
    <w:rsid w:val="00E11DD9"/>
    <w:rsid w:val="00E11E9F"/>
    <w:rsid w:val="00E12326"/>
    <w:rsid w:val="00E1234B"/>
    <w:rsid w:val="00E127BB"/>
    <w:rsid w:val="00E12AFF"/>
    <w:rsid w:val="00E12B89"/>
    <w:rsid w:val="00E12BCF"/>
    <w:rsid w:val="00E12F50"/>
    <w:rsid w:val="00E131FE"/>
    <w:rsid w:val="00E13621"/>
    <w:rsid w:val="00E138F2"/>
    <w:rsid w:val="00E13B74"/>
    <w:rsid w:val="00E13B98"/>
    <w:rsid w:val="00E14313"/>
    <w:rsid w:val="00E143F2"/>
    <w:rsid w:val="00E1454E"/>
    <w:rsid w:val="00E14ADA"/>
    <w:rsid w:val="00E14AE6"/>
    <w:rsid w:val="00E14D4D"/>
    <w:rsid w:val="00E150FE"/>
    <w:rsid w:val="00E15159"/>
    <w:rsid w:val="00E1532C"/>
    <w:rsid w:val="00E153C2"/>
    <w:rsid w:val="00E153EE"/>
    <w:rsid w:val="00E15559"/>
    <w:rsid w:val="00E1563F"/>
    <w:rsid w:val="00E15AF9"/>
    <w:rsid w:val="00E1626D"/>
    <w:rsid w:val="00E1709F"/>
    <w:rsid w:val="00E1761A"/>
    <w:rsid w:val="00E1792B"/>
    <w:rsid w:val="00E17D14"/>
    <w:rsid w:val="00E17EA3"/>
    <w:rsid w:val="00E20061"/>
    <w:rsid w:val="00E201C6"/>
    <w:rsid w:val="00E2051D"/>
    <w:rsid w:val="00E20565"/>
    <w:rsid w:val="00E206AD"/>
    <w:rsid w:val="00E206E6"/>
    <w:rsid w:val="00E20B2D"/>
    <w:rsid w:val="00E20B37"/>
    <w:rsid w:val="00E20C70"/>
    <w:rsid w:val="00E20D37"/>
    <w:rsid w:val="00E20F6D"/>
    <w:rsid w:val="00E210A1"/>
    <w:rsid w:val="00E21427"/>
    <w:rsid w:val="00E216E5"/>
    <w:rsid w:val="00E2186F"/>
    <w:rsid w:val="00E21923"/>
    <w:rsid w:val="00E21A65"/>
    <w:rsid w:val="00E21A82"/>
    <w:rsid w:val="00E21CE7"/>
    <w:rsid w:val="00E21ECD"/>
    <w:rsid w:val="00E2248F"/>
    <w:rsid w:val="00E224A1"/>
    <w:rsid w:val="00E225E5"/>
    <w:rsid w:val="00E2262E"/>
    <w:rsid w:val="00E227B8"/>
    <w:rsid w:val="00E22B8C"/>
    <w:rsid w:val="00E22E1F"/>
    <w:rsid w:val="00E2320B"/>
    <w:rsid w:val="00E233E9"/>
    <w:rsid w:val="00E23490"/>
    <w:rsid w:val="00E238B5"/>
    <w:rsid w:val="00E23CD5"/>
    <w:rsid w:val="00E240D4"/>
    <w:rsid w:val="00E24365"/>
    <w:rsid w:val="00E24449"/>
    <w:rsid w:val="00E2444A"/>
    <w:rsid w:val="00E24A0A"/>
    <w:rsid w:val="00E24B66"/>
    <w:rsid w:val="00E24C1A"/>
    <w:rsid w:val="00E250B3"/>
    <w:rsid w:val="00E25E69"/>
    <w:rsid w:val="00E2631E"/>
    <w:rsid w:val="00E26385"/>
    <w:rsid w:val="00E26393"/>
    <w:rsid w:val="00E269D7"/>
    <w:rsid w:val="00E26ABF"/>
    <w:rsid w:val="00E26B64"/>
    <w:rsid w:val="00E26DC7"/>
    <w:rsid w:val="00E26F8F"/>
    <w:rsid w:val="00E270E2"/>
    <w:rsid w:val="00E27413"/>
    <w:rsid w:val="00E2749E"/>
    <w:rsid w:val="00E2784C"/>
    <w:rsid w:val="00E278FC"/>
    <w:rsid w:val="00E27F14"/>
    <w:rsid w:val="00E30686"/>
    <w:rsid w:val="00E30837"/>
    <w:rsid w:val="00E309DE"/>
    <w:rsid w:val="00E30A15"/>
    <w:rsid w:val="00E30B06"/>
    <w:rsid w:val="00E30B37"/>
    <w:rsid w:val="00E30C8D"/>
    <w:rsid w:val="00E30CC5"/>
    <w:rsid w:val="00E30FE2"/>
    <w:rsid w:val="00E3107D"/>
    <w:rsid w:val="00E310E5"/>
    <w:rsid w:val="00E3134D"/>
    <w:rsid w:val="00E3154E"/>
    <w:rsid w:val="00E31650"/>
    <w:rsid w:val="00E31667"/>
    <w:rsid w:val="00E31683"/>
    <w:rsid w:val="00E31C5F"/>
    <w:rsid w:val="00E31D6C"/>
    <w:rsid w:val="00E31D6F"/>
    <w:rsid w:val="00E31DED"/>
    <w:rsid w:val="00E321D3"/>
    <w:rsid w:val="00E32443"/>
    <w:rsid w:val="00E32792"/>
    <w:rsid w:val="00E32A4B"/>
    <w:rsid w:val="00E32A85"/>
    <w:rsid w:val="00E32C86"/>
    <w:rsid w:val="00E32E0D"/>
    <w:rsid w:val="00E32FD0"/>
    <w:rsid w:val="00E33C7B"/>
    <w:rsid w:val="00E33DFA"/>
    <w:rsid w:val="00E33E51"/>
    <w:rsid w:val="00E34300"/>
    <w:rsid w:val="00E34524"/>
    <w:rsid w:val="00E34662"/>
    <w:rsid w:val="00E347EC"/>
    <w:rsid w:val="00E349A3"/>
    <w:rsid w:val="00E34E20"/>
    <w:rsid w:val="00E34EAE"/>
    <w:rsid w:val="00E35066"/>
    <w:rsid w:val="00E3527D"/>
    <w:rsid w:val="00E352FF"/>
    <w:rsid w:val="00E354C0"/>
    <w:rsid w:val="00E35603"/>
    <w:rsid w:val="00E35E66"/>
    <w:rsid w:val="00E360F5"/>
    <w:rsid w:val="00E3638C"/>
    <w:rsid w:val="00E36B71"/>
    <w:rsid w:val="00E36DF1"/>
    <w:rsid w:val="00E36F21"/>
    <w:rsid w:val="00E37454"/>
    <w:rsid w:val="00E376E0"/>
    <w:rsid w:val="00E3795E"/>
    <w:rsid w:val="00E37B01"/>
    <w:rsid w:val="00E37BBF"/>
    <w:rsid w:val="00E37BFE"/>
    <w:rsid w:val="00E37FF2"/>
    <w:rsid w:val="00E40427"/>
    <w:rsid w:val="00E40751"/>
    <w:rsid w:val="00E409E8"/>
    <w:rsid w:val="00E41153"/>
    <w:rsid w:val="00E412B2"/>
    <w:rsid w:val="00E41BA3"/>
    <w:rsid w:val="00E41CAD"/>
    <w:rsid w:val="00E41DD0"/>
    <w:rsid w:val="00E41DE8"/>
    <w:rsid w:val="00E420D9"/>
    <w:rsid w:val="00E422DE"/>
    <w:rsid w:val="00E42314"/>
    <w:rsid w:val="00E42645"/>
    <w:rsid w:val="00E42E2D"/>
    <w:rsid w:val="00E43989"/>
    <w:rsid w:val="00E43C52"/>
    <w:rsid w:val="00E44182"/>
    <w:rsid w:val="00E441B5"/>
    <w:rsid w:val="00E44223"/>
    <w:rsid w:val="00E44322"/>
    <w:rsid w:val="00E446AF"/>
    <w:rsid w:val="00E446C0"/>
    <w:rsid w:val="00E446F2"/>
    <w:rsid w:val="00E44D59"/>
    <w:rsid w:val="00E44DD8"/>
    <w:rsid w:val="00E44E4B"/>
    <w:rsid w:val="00E452D0"/>
    <w:rsid w:val="00E4546A"/>
    <w:rsid w:val="00E45925"/>
    <w:rsid w:val="00E45D34"/>
    <w:rsid w:val="00E45F4D"/>
    <w:rsid w:val="00E4605B"/>
    <w:rsid w:val="00E4620E"/>
    <w:rsid w:val="00E46531"/>
    <w:rsid w:val="00E47530"/>
    <w:rsid w:val="00E501F1"/>
    <w:rsid w:val="00E50230"/>
    <w:rsid w:val="00E50434"/>
    <w:rsid w:val="00E504A7"/>
    <w:rsid w:val="00E50604"/>
    <w:rsid w:val="00E5068C"/>
    <w:rsid w:val="00E50B3E"/>
    <w:rsid w:val="00E50CC8"/>
    <w:rsid w:val="00E50E5C"/>
    <w:rsid w:val="00E51274"/>
    <w:rsid w:val="00E512BC"/>
    <w:rsid w:val="00E51577"/>
    <w:rsid w:val="00E51834"/>
    <w:rsid w:val="00E51B0D"/>
    <w:rsid w:val="00E51E8A"/>
    <w:rsid w:val="00E5272B"/>
    <w:rsid w:val="00E52946"/>
    <w:rsid w:val="00E529F6"/>
    <w:rsid w:val="00E52B44"/>
    <w:rsid w:val="00E53428"/>
    <w:rsid w:val="00E5344E"/>
    <w:rsid w:val="00E5357B"/>
    <w:rsid w:val="00E5368E"/>
    <w:rsid w:val="00E53AF9"/>
    <w:rsid w:val="00E53D81"/>
    <w:rsid w:val="00E541DC"/>
    <w:rsid w:val="00E54251"/>
    <w:rsid w:val="00E544A2"/>
    <w:rsid w:val="00E545B3"/>
    <w:rsid w:val="00E55C62"/>
    <w:rsid w:val="00E55F3F"/>
    <w:rsid w:val="00E56081"/>
    <w:rsid w:val="00E56809"/>
    <w:rsid w:val="00E5690D"/>
    <w:rsid w:val="00E5729B"/>
    <w:rsid w:val="00E57584"/>
    <w:rsid w:val="00E57B0A"/>
    <w:rsid w:val="00E57E2F"/>
    <w:rsid w:val="00E57F48"/>
    <w:rsid w:val="00E6036F"/>
    <w:rsid w:val="00E60404"/>
    <w:rsid w:val="00E60460"/>
    <w:rsid w:val="00E60582"/>
    <w:rsid w:val="00E60927"/>
    <w:rsid w:val="00E60F8D"/>
    <w:rsid w:val="00E61781"/>
    <w:rsid w:val="00E61B02"/>
    <w:rsid w:val="00E62359"/>
    <w:rsid w:val="00E62552"/>
    <w:rsid w:val="00E62756"/>
    <w:rsid w:val="00E6288A"/>
    <w:rsid w:val="00E62C1F"/>
    <w:rsid w:val="00E62C20"/>
    <w:rsid w:val="00E6363C"/>
    <w:rsid w:val="00E63849"/>
    <w:rsid w:val="00E638BA"/>
    <w:rsid w:val="00E639BE"/>
    <w:rsid w:val="00E63A2E"/>
    <w:rsid w:val="00E63CF5"/>
    <w:rsid w:val="00E63FA7"/>
    <w:rsid w:val="00E6405B"/>
    <w:rsid w:val="00E64060"/>
    <w:rsid w:val="00E641DC"/>
    <w:rsid w:val="00E6464F"/>
    <w:rsid w:val="00E648A9"/>
    <w:rsid w:val="00E64D1E"/>
    <w:rsid w:val="00E64E4B"/>
    <w:rsid w:val="00E65174"/>
    <w:rsid w:val="00E65249"/>
    <w:rsid w:val="00E658B4"/>
    <w:rsid w:val="00E65ABF"/>
    <w:rsid w:val="00E65AD2"/>
    <w:rsid w:val="00E65E2F"/>
    <w:rsid w:val="00E665A8"/>
    <w:rsid w:val="00E6686D"/>
    <w:rsid w:val="00E66AA3"/>
    <w:rsid w:val="00E66C04"/>
    <w:rsid w:val="00E66D66"/>
    <w:rsid w:val="00E66E9F"/>
    <w:rsid w:val="00E66EF3"/>
    <w:rsid w:val="00E67089"/>
    <w:rsid w:val="00E675CF"/>
    <w:rsid w:val="00E67624"/>
    <w:rsid w:val="00E67662"/>
    <w:rsid w:val="00E676BA"/>
    <w:rsid w:val="00E67848"/>
    <w:rsid w:val="00E6792F"/>
    <w:rsid w:val="00E70708"/>
    <w:rsid w:val="00E70E5D"/>
    <w:rsid w:val="00E70E67"/>
    <w:rsid w:val="00E70E7E"/>
    <w:rsid w:val="00E7114D"/>
    <w:rsid w:val="00E71157"/>
    <w:rsid w:val="00E71445"/>
    <w:rsid w:val="00E716FD"/>
    <w:rsid w:val="00E7195C"/>
    <w:rsid w:val="00E71C35"/>
    <w:rsid w:val="00E71E02"/>
    <w:rsid w:val="00E71EB2"/>
    <w:rsid w:val="00E7209F"/>
    <w:rsid w:val="00E72861"/>
    <w:rsid w:val="00E72980"/>
    <w:rsid w:val="00E72A37"/>
    <w:rsid w:val="00E72F54"/>
    <w:rsid w:val="00E72F9E"/>
    <w:rsid w:val="00E73A9B"/>
    <w:rsid w:val="00E73B2E"/>
    <w:rsid w:val="00E73DE7"/>
    <w:rsid w:val="00E749A7"/>
    <w:rsid w:val="00E749D3"/>
    <w:rsid w:val="00E749EE"/>
    <w:rsid w:val="00E74B23"/>
    <w:rsid w:val="00E74F8A"/>
    <w:rsid w:val="00E7504D"/>
    <w:rsid w:val="00E752C4"/>
    <w:rsid w:val="00E7588D"/>
    <w:rsid w:val="00E75CF7"/>
    <w:rsid w:val="00E75D83"/>
    <w:rsid w:val="00E75E6D"/>
    <w:rsid w:val="00E7646E"/>
    <w:rsid w:val="00E76680"/>
    <w:rsid w:val="00E76BB3"/>
    <w:rsid w:val="00E76C58"/>
    <w:rsid w:val="00E7751F"/>
    <w:rsid w:val="00E77962"/>
    <w:rsid w:val="00E77AC7"/>
    <w:rsid w:val="00E8027B"/>
    <w:rsid w:val="00E805E8"/>
    <w:rsid w:val="00E8062E"/>
    <w:rsid w:val="00E8070D"/>
    <w:rsid w:val="00E80C4F"/>
    <w:rsid w:val="00E81630"/>
    <w:rsid w:val="00E81666"/>
    <w:rsid w:val="00E81BC8"/>
    <w:rsid w:val="00E82042"/>
    <w:rsid w:val="00E82087"/>
    <w:rsid w:val="00E821B2"/>
    <w:rsid w:val="00E8225C"/>
    <w:rsid w:val="00E82264"/>
    <w:rsid w:val="00E82429"/>
    <w:rsid w:val="00E82481"/>
    <w:rsid w:val="00E82748"/>
    <w:rsid w:val="00E8285C"/>
    <w:rsid w:val="00E82A0E"/>
    <w:rsid w:val="00E82AD2"/>
    <w:rsid w:val="00E82B20"/>
    <w:rsid w:val="00E8314C"/>
    <w:rsid w:val="00E83225"/>
    <w:rsid w:val="00E8378C"/>
    <w:rsid w:val="00E8442F"/>
    <w:rsid w:val="00E84460"/>
    <w:rsid w:val="00E84800"/>
    <w:rsid w:val="00E84A76"/>
    <w:rsid w:val="00E84AF2"/>
    <w:rsid w:val="00E84D41"/>
    <w:rsid w:val="00E84FE0"/>
    <w:rsid w:val="00E850E7"/>
    <w:rsid w:val="00E85138"/>
    <w:rsid w:val="00E851AC"/>
    <w:rsid w:val="00E851C0"/>
    <w:rsid w:val="00E851FB"/>
    <w:rsid w:val="00E85290"/>
    <w:rsid w:val="00E855FA"/>
    <w:rsid w:val="00E856BD"/>
    <w:rsid w:val="00E85723"/>
    <w:rsid w:val="00E85788"/>
    <w:rsid w:val="00E857EB"/>
    <w:rsid w:val="00E85C27"/>
    <w:rsid w:val="00E8625C"/>
    <w:rsid w:val="00E86562"/>
    <w:rsid w:val="00E86CBC"/>
    <w:rsid w:val="00E872F8"/>
    <w:rsid w:val="00E8765A"/>
    <w:rsid w:val="00E877CB"/>
    <w:rsid w:val="00E87DE1"/>
    <w:rsid w:val="00E8921D"/>
    <w:rsid w:val="00E905E7"/>
    <w:rsid w:val="00E906A3"/>
    <w:rsid w:val="00E906CC"/>
    <w:rsid w:val="00E9079A"/>
    <w:rsid w:val="00E90BD2"/>
    <w:rsid w:val="00E90E6D"/>
    <w:rsid w:val="00E91322"/>
    <w:rsid w:val="00E91923"/>
    <w:rsid w:val="00E919DF"/>
    <w:rsid w:val="00E9210F"/>
    <w:rsid w:val="00E92171"/>
    <w:rsid w:val="00E92563"/>
    <w:rsid w:val="00E92588"/>
    <w:rsid w:val="00E9343E"/>
    <w:rsid w:val="00E9371B"/>
    <w:rsid w:val="00E93BF0"/>
    <w:rsid w:val="00E94125"/>
    <w:rsid w:val="00E94372"/>
    <w:rsid w:val="00E943DB"/>
    <w:rsid w:val="00E94420"/>
    <w:rsid w:val="00E949DE"/>
    <w:rsid w:val="00E9552E"/>
    <w:rsid w:val="00E9572C"/>
    <w:rsid w:val="00E9586F"/>
    <w:rsid w:val="00E95BD9"/>
    <w:rsid w:val="00E96869"/>
    <w:rsid w:val="00E96ABB"/>
    <w:rsid w:val="00E96D40"/>
    <w:rsid w:val="00E96EEE"/>
    <w:rsid w:val="00E972CA"/>
    <w:rsid w:val="00E97729"/>
    <w:rsid w:val="00E97884"/>
    <w:rsid w:val="00E97A9E"/>
    <w:rsid w:val="00E97D75"/>
    <w:rsid w:val="00EA0223"/>
    <w:rsid w:val="00EA077F"/>
    <w:rsid w:val="00EA08A4"/>
    <w:rsid w:val="00EA0CA9"/>
    <w:rsid w:val="00EA1036"/>
    <w:rsid w:val="00EA1F64"/>
    <w:rsid w:val="00EA20B9"/>
    <w:rsid w:val="00EA22CC"/>
    <w:rsid w:val="00EA22F1"/>
    <w:rsid w:val="00EA2309"/>
    <w:rsid w:val="00EA24AD"/>
    <w:rsid w:val="00EA2826"/>
    <w:rsid w:val="00EA3193"/>
    <w:rsid w:val="00EA3277"/>
    <w:rsid w:val="00EA339B"/>
    <w:rsid w:val="00EA35EE"/>
    <w:rsid w:val="00EA39A9"/>
    <w:rsid w:val="00EA3C47"/>
    <w:rsid w:val="00EA3E5C"/>
    <w:rsid w:val="00EA3E6E"/>
    <w:rsid w:val="00EA3F36"/>
    <w:rsid w:val="00EA3FD8"/>
    <w:rsid w:val="00EA424C"/>
    <w:rsid w:val="00EA480D"/>
    <w:rsid w:val="00EA486F"/>
    <w:rsid w:val="00EA4884"/>
    <w:rsid w:val="00EA4B18"/>
    <w:rsid w:val="00EA4C63"/>
    <w:rsid w:val="00EA4DBF"/>
    <w:rsid w:val="00EA53EE"/>
    <w:rsid w:val="00EA55FC"/>
    <w:rsid w:val="00EA5873"/>
    <w:rsid w:val="00EA58BF"/>
    <w:rsid w:val="00EA5949"/>
    <w:rsid w:val="00EA59B1"/>
    <w:rsid w:val="00EA59D0"/>
    <w:rsid w:val="00EA5E92"/>
    <w:rsid w:val="00EA61C8"/>
    <w:rsid w:val="00EA6266"/>
    <w:rsid w:val="00EA6291"/>
    <w:rsid w:val="00EA6296"/>
    <w:rsid w:val="00EA661B"/>
    <w:rsid w:val="00EA6741"/>
    <w:rsid w:val="00EA6851"/>
    <w:rsid w:val="00EA6A35"/>
    <w:rsid w:val="00EA6D01"/>
    <w:rsid w:val="00EA6EF9"/>
    <w:rsid w:val="00EA7322"/>
    <w:rsid w:val="00EA7341"/>
    <w:rsid w:val="00EA761D"/>
    <w:rsid w:val="00EA7690"/>
    <w:rsid w:val="00EA787E"/>
    <w:rsid w:val="00EA78F1"/>
    <w:rsid w:val="00EA7911"/>
    <w:rsid w:val="00EA7BA1"/>
    <w:rsid w:val="00EA7D27"/>
    <w:rsid w:val="00EA7DEA"/>
    <w:rsid w:val="00EB0391"/>
    <w:rsid w:val="00EB03F5"/>
    <w:rsid w:val="00EB0455"/>
    <w:rsid w:val="00EB0AA7"/>
    <w:rsid w:val="00EB0BB8"/>
    <w:rsid w:val="00EB0C7A"/>
    <w:rsid w:val="00EB0EE0"/>
    <w:rsid w:val="00EB0F65"/>
    <w:rsid w:val="00EB1563"/>
    <w:rsid w:val="00EB1A7D"/>
    <w:rsid w:val="00EB1D75"/>
    <w:rsid w:val="00EB2064"/>
    <w:rsid w:val="00EB2144"/>
    <w:rsid w:val="00EB24F8"/>
    <w:rsid w:val="00EB2D73"/>
    <w:rsid w:val="00EB2F22"/>
    <w:rsid w:val="00EB3192"/>
    <w:rsid w:val="00EB32EC"/>
    <w:rsid w:val="00EB3388"/>
    <w:rsid w:val="00EB33C8"/>
    <w:rsid w:val="00EB3C43"/>
    <w:rsid w:val="00EB3E5E"/>
    <w:rsid w:val="00EB3FA3"/>
    <w:rsid w:val="00EB4053"/>
    <w:rsid w:val="00EB4196"/>
    <w:rsid w:val="00EB42F4"/>
    <w:rsid w:val="00EB4ECC"/>
    <w:rsid w:val="00EB5446"/>
    <w:rsid w:val="00EB59AF"/>
    <w:rsid w:val="00EB5ADC"/>
    <w:rsid w:val="00EB5DE3"/>
    <w:rsid w:val="00EB5EFD"/>
    <w:rsid w:val="00EB61F9"/>
    <w:rsid w:val="00EB62D0"/>
    <w:rsid w:val="00EB62D9"/>
    <w:rsid w:val="00EB631B"/>
    <w:rsid w:val="00EB6451"/>
    <w:rsid w:val="00EB6477"/>
    <w:rsid w:val="00EB6599"/>
    <w:rsid w:val="00EB66EE"/>
    <w:rsid w:val="00EB6950"/>
    <w:rsid w:val="00EB6CC4"/>
    <w:rsid w:val="00EB6DF0"/>
    <w:rsid w:val="00EB7330"/>
    <w:rsid w:val="00EB7478"/>
    <w:rsid w:val="00EB747D"/>
    <w:rsid w:val="00EB782A"/>
    <w:rsid w:val="00EB7B1C"/>
    <w:rsid w:val="00EC01A3"/>
    <w:rsid w:val="00EC0333"/>
    <w:rsid w:val="00EC054C"/>
    <w:rsid w:val="00EC0F0C"/>
    <w:rsid w:val="00EC1218"/>
    <w:rsid w:val="00EC158D"/>
    <w:rsid w:val="00EC18F0"/>
    <w:rsid w:val="00EC2266"/>
    <w:rsid w:val="00EC2304"/>
    <w:rsid w:val="00EC29D2"/>
    <w:rsid w:val="00EC2E84"/>
    <w:rsid w:val="00EC2ED3"/>
    <w:rsid w:val="00EC309D"/>
    <w:rsid w:val="00EC3154"/>
    <w:rsid w:val="00EC3414"/>
    <w:rsid w:val="00EC3461"/>
    <w:rsid w:val="00EC34F3"/>
    <w:rsid w:val="00EC3810"/>
    <w:rsid w:val="00EC3B85"/>
    <w:rsid w:val="00EC3C20"/>
    <w:rsid w:val="00EC403A"/>
    <w:rsid w:val="00EC44A2"/>
    <w:rsid w:val="00EC46CD"/>
    <w:rsid w:val="00EC4BA5"/>
    <w:rsid w:val="00EC4D18"/>
    <w:rsid w:val="00EC50A6"/>
    <w:rsid w:val="00EC52F5"/>
    <w:rsid w:val="00EC5449"/>
    <w:rsid w:val="00EC551C"/>
    <w:rsid w:val="00EC5545"/>
    <w:rsid w:val="00EC578B"/>
    <w:rsid w:val="00EC5953"/>
    <w:rsid w:val="00EC5ABB"/>
    <w:rsid w:val="00EC5B2B"/>
    <w:rsid w:val="00EC5F46"/>
    <w:rsid w:val="00EC6401"/>
    <w:rsid w:val="00EC6426"/>
    <w:rsid w:val="00EC694F"/>
    <w:rsid w:val="00EC6B6E"/>
    <w:rsid w:val="00EC7176"/>
    <w:rsid w:val="00EC728D"/>
    <w:rsid w:val="00EC728E"/>
    <w:rsid w:val="00EC7405"/>
    <w:rsid w:val="00EC74D3"/>
    <w:rsid w:val="00EC7632"/>
    <w:rsid w:val="00EC79D4"/>
    <w:rsid w:val="00EC7FD5"/>
    <w:rsid w:val="00ED01D7"/>
    <w:rsid w:val="00ED01EF"/>
    <w:rsid w:val="00ED0295"/>
    <w:rsid w:val="00ED0376"/>
    <w:rsid w:val="00ED04B8"/>
    <w:rsid w:val="00ED0F1E"/>
    <w:rsid w:val="00ED159E"/>
    <w:rsid w:val="00ED187E"/>
    <w:rsid w:val="00ED1925"/>
    <w:rsid w:val="00ED19C8"/>
    <w:rsid w:val="00ED1A08"/>
    <w:rsid w:val="00ED1F64"/>
    <w:rsid w:val="00ED211E"/>
    <w:rsid w:val="00ED23D3"/>
    <w:rsid w:val="00ED2D90"/>
    <w:rsid w:val="00ED3325"/>
    <w:rsid w:val="00ED33C4"/>
    <w:rsid w:val="00ED36D9"/>
    <w:rsid w:val="00ED3BFA"/>
    <w:rsid w:val="00ED3CCF"/>
    <w:rsid w:val="00ED45D0"/>
    <w:rsid w:val="00ED4753"/>
    <w:rsid w:val="00ED4AD9"/>
    <w:rsid w:val="00ED4B80"/>
    <w:rsid w:val="00ED4F9C"/>
    <w:rsid w:val="00ED5007"/>
    <w:rsid w:val="00ED5167"/>
    <w:rsid w:val="00ED53F1"/>
    <w:rsid w:val="00ED5BC8"/>
    <w:rsid w:val="00ED5FAB"/>
    <w:rsid w:val="00ED609B"/>
    <w:rsid w:val="00ED6322"/>
    <w:rsid w:val="00ED63BB"/>
    <w:rsid w:val="00ED64E7"/>
    <w:rsid w:val="00ED6693"/>
    <w:rsid w:val="00ED670D"/>
    <w:rsid w:val="00ED6A02"/>
    <w:rsid w:val="00ED6D3B"/>
    <w:rsid w:val="00ED7049"/>
    <w:rsid w:val="00ED75B6"/>
    <w:rsid w:val="00ED77DE"/>
    <w:rsid w:val="00ED79ED"/>
    <w:rsid w:val="00ED7EF4"/>
    <w:rsid w:val="00ED7FA3"/>
    <w:rsid w:val="00EE0227"/>
    <w:rsid w:val="00EE069A"/>
    <w:rsid w:val="00EE0EBF"/>
    <w:rsid w:val="00EE0ECB"/>
    <w:rsid w:val="00EE1164"/>
    <w:rsid w:val="00EE1195"/>
    <w:rsid w:val="00EE1269"/>
    <w:rsid w:val="00EE1567"/>
    <w:rsid w:val="00EE1628"/>
    <w:rsid w:val="00EE18CF"/>
    <w:rsid w:val="00EE2079"/>
    <w:rsid w:val="00EE20D4"/>
    <w:rsid w:val="00EE2B0B"/>
    <w:rsid w:val="00EE2DB5"/>
    <w:rsid w:val="00EE2EA3"/>
    <w:rsid w:val="00EE32BA"/>
    <w:rsid w:val="00EE349B"/>
    <w:rsid w:val="00EE35BD"/>
    <w:rsid w:val="00EE35BF"/>
    <w:rsid w:val="00EE377D"/>
    <w:rsid w:val="00EE3D94"/>
    <w:rsid w:val="00EE3F1F"/>
    <w:rsid w:val="00EE3F3E"/>
    <w:rsid w:val="00EE4152"/>
    <w:rsid w:val="00EE4392"/>
    <w:rsid w:val="00EE44A3"/>
    <w:rsid w:val="00EE49ED"/>
    <w:rsid w:val="00EE4AE7"/>
    <w:rsid w:val="00EE4AEE"/>
    <w:rsid w:val="00EE4DE6"/>
    <w:rsid w:val="00EE5072"/>
    <w:rsid w:val="00EE557C"/>
    <w:rsid w:val="00EE5F76"/>
    <w:rsid w:val="00EE5F8A"/>
    <w:rsid w:val="00EE6534"/>
    <w:rsid w:val="00EE6A20"/>
    <w:rsid w:val="00EE6B3D"/>
    <w:rsid w:val="00EE6EC5"/>
    <w:rsid w:val="00EE7409"/>
    <w:rsid w:val="00EE781E"/>
    <w:rsid w:val="00EE7ED6"/>
    <w:rsid w:val="00EF00D0"/>
    <w:rsid w:val="00EF032E"/>
    <w:rsid w:val="00EF0376"/>
    <w:rsid w:val="00EF047C"/>
    <w:rsid w:val="00EF0D0C"/>
    <w:rsid w:val="00EF114A"/>
    <w:rsid w:val="00EF1A71"/>
    <w:rsid w:val="00EF1CE8"/>
    <w:rsid w:val="00EF29C5"/>
    <w:rsid w:val="00EF2AFE"/>
    <w:rsid w:val="00EF32AB"/>
    <w:rsid w:val="00EF354F"/>
    <w:rsid w:val="00EF3AB2"/>
    <w:rsid w:val="00EF3CB5"/>
    <w:rsid w:val="00EF3E2D"/>
    <w:rsid w:val="00EF40B9"/>
    <w:rsid w:val="00EF45B1"/>
    <w:rsid w:val="00EF4601"/>
    <w:rsid w:val="00EF4987"/>
    <w:rsid w:val="00EF4A93"/>
    <w:rsid w:val="00EF4E30"/>
    <w:rsid w:val="00EF4E7A"/>
    <w:rsid w:val="00EF4FB3"/>
    <w:rsid w:val="00EF52D1"/>
    <w:rsid w:val="00EF5325"/>
    <w:rsid w:val="00EF53A8"/>
    <w:rsid w:val="00EF5641"/>
    <w:rsid w:val="00EF5CDE"/>
    <w:rsid w:val="00EF5EB0"/>
    <w:rsid w:val="00EF5F86"/>
    <w:rsid w:val="00EF60E6"/>
    <w:rsid w:val="00EF6370"/>
    <w:rsid w:val="00EF6444"/>
    <w:rsid w:val="00EF64AA"/>
    <w:rsid w:val="00EF661E"/>
    <w:rsid w:val="00EF67DE"/>
    <w:rsid w:val="00EF6882"/>
    <w:rsid w:val="00EF6CD9"/>
    <w:rsid w:val="00EF6DDD"/>
    <w:rsid w:val="00EF77B9"/>
    <w:rsid w:val="00EF7B0F"/>
    <w:rsid w:val="00EF7C7D"/>
    <w:rsid w:val="00EF7CD5"/>
    <w:rsid w:val="00EF7D13"/>
    <w:rsid w:val="00EF7E40"/>
    <w:rsid w:val="00F00632"/>
    <w:rsid w:val="00F00B80"/>
    <w:rsid w:val="00F00C94"/>
    <w:rsid w:val="00F01203"/>
    <w:rsid w:val="00F014B0"/>
    <w:rsid w:val="00F014E7"/>
    <w:rsid w:val="00F015EB"/>
    <w:rsid w:val="00F01C49"/>
    <w:rsid w:val="00F022D1"/>
    <w:rsid w:val="00F02683"/>
    <w:rsid w:val="00F029D6"/>
    <w:rsid w:val="00F02B7E"/>
    <w:rsid w:val="00F0309E"/>
    <w:rsid w:val="00F0325D"/>
    <w:rsid w:val="00F0385E"/>
    <w:rsid w:val="00F03AAD"/>
    <w:rsid w:val="00F03B19"/>
    <w:rsid w:val="00F03DDE"/>
    <w:rsid w:val="00F03E92"/>
    <w:rsid w:val="00F03F2F"/>
    <w:rsid w:val="00F040DC"/>
    <w:rsid w:val="00F0426D"/>
    <w:rsid w:val="00F042A7"/>
    <w:rsid w:val="00F04378"/>
    <w:rsid w:val="00F04766"/>
    <w:rsid w:val="00F04847"/>
    <w:rsid w:val="00F05219"/>
    <w:rsid w:val="00F056D4"/>
    <w:rsid w:val="00F058A3"/>
    <w:rsid w:val="00F05C05"/>
    <w:rsid w:val="00F05C06"/>
    <w:rsid w:val="00F05F7A"/>
    <w:rsid w:val="00F06147"/>
    <w:rsid w:val="00F0619A"/>
    <w:rsid w:val="00F06496"/>
    <w:rsid w:val="00F0649E"/>
    <w:rsid w:val="00F065B3"/>
    <w:rsid w:val="00F0677B"/>
    <w:rsid w:val="00F06EBD"/>
    <w:rsid w:val="00F07036"/>
    <w:rsid w:val="00F07068"/>
    <w:rsid w:val="00F07084"/>
    <w:rsid w:val="00F071C5"/>
    <w:rsid w:val="00F0784F"/>
    <w:rsid w:val="00F0793B"/>
    <w:rsid w:val="00F07AFD"/>
    <w:rsid w:val="00F07C38"/>
    <w:rsid w:val="00F07D5A"/>
    <w:rsid w:val="00F10095"/>
    <w:rsid w:val="00F1014C"/>
    <w:rsid w:val="00F103C5"/>
    <w:rsid w:val="00F10A78"/>
    <w:rsid w:val="00F11061"/>
    <w:rsid w:val="00F11E17"/>
    <w:rsid w:val="00F11EB1"/>
    <w:rsid w:val="00F1275E"/>
    <w:rsid w:val="00F1283A"/>
    <w:rsid w:val="00F1283B"/>
    <w:rsid w:val="00F12D77"/>
    <w:rsid w:val="00F12E74"/>
    <w:rsid w:val="00F13321"/>
    <w:rsid w:val="00F13834"/>
    <w:rsid w:val="00F1386D"/>
    <w:rsid w:val="00F13CCA"/>
    <w:rsid w:val="00F13F3E"/>
    <w:rsid w:val="00F1436C"/>
    <w:rsid w:val="00F144AA"/>
    <w:rsid w:val="00F145A5"/>
    <w:rsid w:val="00F14F20"/>
    <w:rsid w:val="00F14FBE"/>
    <w:rsid w:val="00F152CA"/>
    <w:rsid w:val="00F155B9"/>
    <w:rsid w:val="00F1581D"/>
    <w:rsid w:val="00F15AE9"/>
    <w:rsid w:val="00F15C95"/>
    <w:rsid w:val="00F15F6D"/>
    <w:rsid w:val="00F162AB"/>
    <w:rsid w:val="00F162D1"/>
    <w:rsid w:val="00F16318"/>
    <w:rsid w:val="00F168F4"/>
    <w:rsid w:val="00F169FD"/>
    <w:rsid w:val="00F16A55"/>
    <w:rsid w:val="00F16FA1"/>
    <w:rsid w:val="00F17123"/>
    <w:rsid w:val="00F17169"/>
    <w:rsid w:val="00F1739D"/>
    <w:rsid w:val="00F173D2"/>
    <w:rsid w:val="00F176E0"/>
    <w:rsid w:val="00F17AAD"/>
    <w:rsid w:val="00F17B33"/>
    <w:rsid w:val="00F17DBD"/>
    <w:rsid w:val="00F20430"/>
    <w:rsid w:val="00F206E3"/>
    <w:rsid w:val="00F22118"/>
    <w:rsid w:val="00F2211D"/>
    <w:rsid w:val="00F22345"/>
    <w:rsid w:val="00F2234E"/>
    <w:rsid w:val="00F225D4"/>
    <w:rsid w:val="00F225E2"/>
    <w:rsid w:val="00F2294A"/>
    <w:rsid w:val="00F22E5B"/>
    <w:rsid w:val="00F23137"/>
    <w:rsid w:val="00F23759"/>
    <w:rsid w:val="00F237C0"/>
    <w:rsid w:val="00F23824"/>
    <w:rsid w:val="00F23CB6"/>
    <w:rsid w:val="00F23D4C"/>
    <w:rsid w:val="00F23EC1"/>
    <w:rsid w:val="00F23F7A"/>
    <w:rsid w:val="00F24065"/>
    <w:rsid w:val="00F24129"/>
    <w:rsid w:val="00F24427"/>
    <w:rsid w:val="00F247FD"/>
    <w:rsid w:val="00F248B0"/>
    <w:rsid w:val="00F24A57"/>
    <w:rsid w:val="00F24A67"/>
    <w:rsid w:val="00F24AE5"/>
    <w:rsid w:val="00F24BF4"/>
    <w:rsid w:val="00F25009"/>
    <w:rsid w:val="00F252DA"/>
    <w:rsid w:val="00F254E5"/>
    <w:rsid w:val="00F25518"/>
    <w:rsid w:val="00F255A6"/>
    <w:rsid w:val="00F255F3"/>
    <w:rsid w:val="00F25767"/>
    <w:rsid w:val="00F25C41"/>
    <w:rsid w:val="00F25FAA"/>
    <w:rsid w:val="00F26300"/>
    <w:rsid w:val="00F264A8"/>
    <w:rsid w:val="00F2655D"/>
    <w:rsid w:val="00F2670B"/>
    <w:rsid w:val="00F267C1"/>
    <w:rsid w:val="00F26981"/>
    <w:rsid w:val="00F26B01"/>
    <w:rsid w:val="00F26CF4"/>
    <w:rsid w:val="00F270B4"/>
    <w:rsid w:val="00F27411"/>
    <w:rsid w:val="00F27424"/>
    <w:rsid w:val="00F276AB"/>
    <w:rsid w:val="00F3039A"/>
    <w:rsid w:val="00F303CA"/>
    <w:rsid w:val="00F30500"/>
    <w:rsid w:val="00F30546"/>
    <w:rsid w:val="00F309FB"/>
    <w:rsid w:val="00F30B07"/>
    <w:rsid w:val="00F30CF0"/>
    <w:rsid w:val="00F312B4"/>
    <w:rsid w:val="00F31566"/>
    <w:rsid w:val="00F31699"/>
    <w:rsid w:val="00F31761"/>
    <w:rsid w:val="00F31884"/>
    <w:rsid w:val="00F3207D"/>
    <w:rsid w:val="00F320F8"/>
    <w:rsid w:val="00F3218D"/>
    <w:rsid w:val="00F32AAF"/>
    <w:rsid w:val="00F32C16"/>
    <w:rsid w:val="00F32E42"/>
    <w:rsid w:val="00F33810"/>
    <w:rsid w:val="00F33AD1"/>
    <w:rsid w:val="00F33C59"/>
    <w:rsid w:val="00F33C5D"/>
    <w:rsid w:val="00F33F4D"/>
    <w:rsid w:val="00F34544"/>
    <w:rsid w:val="00F345B2"/>
    <w:rsid w:val="00F34876"/>
    <w:rsid w:val="00F34AC0"/>
    <w:rsid w:val="00F34B00"/>
    <w:rsid w:val="00F34CA8"/>
    <w:rsid w:val="00F34FC4"/>
    <w:rsid w:val="00F35514"/>
    <w:rsid w:val="00F35558"/>
    <w:rsid w:val="00F3558C"/>
    <w:rsid w:val="00F356AB"/>
    <w:rsid w:val="00F35713"/>
    <w:rsid w:val="00F357D4"/>
    <w:rsid w:val="00F36045"/>
    <w:rsid w:val="00F363FB"/>
    <w:rsid w:val="00F36420"/>
    <w:rsid w:val="00F365C5"/>
    <w:rsid w:val="00F370C6"/>
    <w:rsid w:val="00F3714A"/>
    <w:rsid w:val="00F3716B"/>
    <w:rsid w:val="00F40446"/>
    <w:rsid w:val="00F40693"/>
    <w:rsid w:val="00F40F35"/>
    <w:rsid w:val="00F4106D"/>
    <w:rsid w:val="00F41188"/>
    <w:rsid w:val="00F412A5"/>
    <w:rsid w:val="00F41310"/>
    <w:rsid w:val="00F41851"/>
    <w:rsid w:val="00F418D2"/>
    <w:rsid w:val="00F41A34"/>
    <w:rsid w:val="00F41BF3"/>
    <w:rsid w:val="00F41FA0"/>
    <w:rsid w:val="00F41FC6"/>
    <w:rsid w:val="00F428A5"/>
    <w:rsid w:val="00F42BD4"/>
    <w:rsid w:val="00F43027"/>
    <w:rsid w:val="00F43162"/>
    <w:rsid w:val="00F43475"/>
    <w:rsid w:val="00F438CA"/>
    <w:rsid w:val="00F43C44"/>
    <w:rsid w:val="00F44243"/>
    <w:rsid w:val="00F446F6"/>
    <w:rsid w:val="00F448A2"/>
    <w:rsid w:val="00F44A13"/>
    <w:rsid w:val="00F44A96"/>
    <w:rsid w:val="00F44B3A"/>
    <w:rsid w:val="00F44BA8"/>
    <w:rsid w:val="00F44BC8"/>
    <w:rsid w:val="00F44C86"/>
    <w:rsid w:val="00F44F14"/>
    <w:rsid w:val="00F44F27"/>
    <w:rsid w:val="00F45172"/>
    <w:rsid w:val="00F4521B"/>
    <w:rsid w:val="00F452DA"/>
    <w:rsid w:val="00F459D0"/>
    <w:rsid w:val="00F45D12"/>
    <w:rsid w:val="00F463B8"/>
    <w:rsid w:val="00F46675"/>
    <w:rsid w:val="00F467B7"/>
    <w:rsid w:val="00F46A1A"/>
    <w:rsid w:val="00F46BB6"/>
    <w:rsid w:val="00F474E0"/>
    <w:rsid w:val="00F47522"/>
    <w:rsid w:val="00F47582"/>
    <w:rsid w:val="00F476AB"/>
    <w:rsid w:val="00F476E0"/>
    <w:rsid w:val="00F47C76"/>
    <w:rsid w:val="00F47F86"/>
    <w:rsid w:val="00F47FF4"/>
    <w:rsid w:val="00F50865"/>
    <w:rsid w:val="00F50B4D"/>
    <w:rsid w:val="00F51956"/>
    <w:rsid w:val="00F51A2C"/>
    <w:rsid w:val="00F51E1F"/>
    <w:rsid w:val="00F5226F"/>
    <w:rsid w:val="00F522CD"/>
    <w:rsid w:val="00F52A85"/>
    <w:rsid w:val="00F52DEF"/>
    <w:rsid w:val="00F52F89"/>
    <w:rsid w:val="00F53019"/>
    <w:rsid w:val="00F53061"/>
    <w:rsid w:val="00F53422"/>
    <w:rsid w:val="00F5385C"/>
    <w:rsid w:val="00F54006"/>
    <w:rsid w:val="00F5420E"/>
    <w:rsid w:val="00F542C4"/>
    <w:rsid w:val="00F544FC"/>
    <w:rsid w:val="00F54512"/>
    <w:rsid w:val="00F5488B"/>
    <w:rsid w:val="00F54911"/>
    <w:rsid w:val="00F54A67"/>
    <w:rsid w:val="00F54BBD"/>
    <w:rsid w:val="00F551F9"/>
    <w:rsid w:val="00F55258"/>
    <w:rsid w:val="00F554A0"/>
    <w:rsid w:val="00F5623B"/>
    <w:rsid w:val="00F56455"/>
    <w:rsid w:val="00F56553"/>
    <w:rsid w:val="00F5687F"/>
    <w:rsid w:val="00F56F32"/>
    <w:rsid w:val="00F57656"/>
    <w:rsid w:val="00F57826"/>
    <w:rsid w:val="00F57A6F"/>
    <w:rsid w:val="00F6033A"/>
    <w:rsid w:val="00F60383"/>
    <w:rsid w:val="00F6085E"/>
    <w:rsid w:val="00F60DE6"/>
    <w:rsid w:val="00F61076"/>
    <w:rsid w:val="00F61097"/>
    <w:rsid w:val="00F612ED"/>
    <w:rsid w:val="00F613BD"/>
    <w:rsid w:val="00F615BF"/>
    <w:rsid w:val="00F6196C"/>
    <w:rsid w:val="00F619AC"/>
    <w:rsid w:val="00F61EA9"/>
    <w:rsid w:val="00F61EF7"/>
    <w:rsid w:val="00F6211F"/>
    <w:rsid w:val="00F62688"/>
    <w:rsid w:val="00F62808"/>
    <w:rsid w:val="00F62AEB"/>
    <w:rsid w:val="00F62C09"/>
    <w:rsid w:val="00F62EA6"/>
    <w:rsid w:val="00F632F1"/>
    <w:rsid w:val="00F6338E"/>
    <w:rsid w:val="00F634F1"/>
    <w:rsid w:val="00F635F1"/>
    <w:rsid w:val="00F6365C"/>
    <w:rsid w:val="00F63665"/>
    <w:rsid w:val="00F637ED"/>
    <w:rsid w:val="00F63FE1"/>
    <w:rsid w:val="00F640AD"/>
    <w:rsid w:val="00F64430"/>
    <w:rsid w:val="00F64636"/>
    <w:rsid w:val="00F648A1"/>
    <w:rsid w:val="00F648C8"/>
    <w:rsid w:val="00F64A16"/>
    <w:rsid w:val="00F64B1F"/>
    <w:rsid w:val="00F64D31"/>
    <w:rsid w:val="00F65A81"/>
    <w:rsid w:val="00F65C00"/>
    <w:rsid w:val="00F65C52"/>
    <w:rsid w:val="00F6615C"/>
    <w:rsid w:val="00F664D5"/>
    <w:rsid w:val="00F6657E"/>
    <w:rsid w:val="00F66A51"/>
    <w:rsid w:val="00F66C06"/>
    <w:rsid w:val="00F66D82"/>
    <w:rsid w:val="00F67403"/>
    <w:rsid w:val="00F678B4"/>
    <w:rsid w:val="00F67943"/>
    <w:rsid w:val="00F6798E"/>
    <w:rsid w:val="00F679CF"/>
    <w:rsid w:val="00F67E80"/>
    <w:rsid w:val="00F67F53"/>
    <w:rsid w:val="00F70021"/>
    <w:rsid w:val="00F70254"/>
    <w:rsid w:val="00F7075C"/>
    <w:rsid w:val="00F70C2A"/>
    <w:rsid w:val="00F70CE8"/>
    <w:rsid w:val="00F7120E"/>
    <w:rsid w:val="00F71342"/>
    <w:rsid w:val="00F716BB"/>
    <w:rsid w:val="00F71701"/>
    <w:rsid w:val="00F71909"/>
    <w:rsid w:val="00F71A09"/>
    <w:rsid w:val="00F71AA3"/>
    <w:rsid w:val="00F71F78"/>
    <w:rsid w:val="00F721F0"/>
    <w:rsid w:val="00F72716"/>
    <w:rsid w:val="00F72883"/>
    <w:rsid w:val="00F72931"/>
    <w:rsid w:val="00F72A68"/>
    <w:rsid w:val="00F72DDA"/>
    <w:rsid w:val="00F730B8"/>
    <w:rsid w:val="00F7338D"/>
    <w:rsid w:val="00F7347C"/>
    <w:rsid w:val="00F73D76"/>
    <w:rsid w:val="00F741E5"/>
    <w:rsid w:val="00F7428E"/>
    <w:rsid w:val="00F744BA"/>
    <w:rsid w:val="00F74787"/>
    <w:rsid w:val="00F74C32"/>
    <w:rsid w:val="00F74DD8"/>
    <w:rsid w:val="00F7508E"/>
    <w:rsid w:val="00F753A3"/>
    <w:rsid w:val="00F75765"/>
    <w:rsid w:val="00F757BD"/>
    <w:rsid w:val="00F75A04"/>
    <w:rsid w:val="00F764AF"/>
    <w:rsid w:val="00F76718"/>
    <w:rsid w:val="00F76B5B"/>
    <w:rsid w:val="00F76DA0"/>
    <w:rsid w:val="00F76E42"/>
    <w:rsid w:val="00F77175"/>
    <w:rsid w:val="00F77360"/>
    <w:rsid w:val="00F773AC"/>
    <w:rsid w:val="00F77752"/>
    <w:rsid w:val="00F779B6"/>
    <w:rsid w:val="00F77BD1"/>
    <w:rsid w:val="00F8044E"/>
    <w:rsid w:val="00F807BC"/>
    <w:rsid w:val="00F80BA3"/>
    <w:rsid w:val="00F80FF5"/>
    <w:rsid w:val="00F81577"/>
    <w:rsid w:val="00F821CC"/>
    <w:rsid w:val="00F8240B"/>
    <w:rsid w:val="00F825F4"/>
    <w:rsid w:val="00F83311"/>
    <w:rsid w:val="00F83326"/>
    <w:rsid w:val="00F833A1"/>
    <w:rsid w:val="00F8349E"/>
    <w:rsid w:val="00F834F8"/>
    <w:rsid w:val="00F83512"/>
    <w:rsid w:val="00F83778"/>
    <w:rsid w:val="00F839DE"/>
    <w:rsid w:val="00F83C42"/>
    <w:rsid w:val="00F8412B"/>
    <w:rsid w:val="00F841C1"/>
    <w:rsid w:val="00F84237"/>
    <w:rsid w:val="00F8484F"/>
    <w:rsid w:val="00F848F8"/>
    <w:rsid w:val="00F84E20"/>
    <w:rsid w:val="00F850CF"/>
    <w:rsid w:val="00F85131"/>
    <w:rsid w:val="00F85184"/>
    <w:rsid w:val="00F85558"/>
    <w:rsid w:val="00F856CE"/>
    <w:rsid w:val="00F85708"/>
    <w:rsid w:val="00F85860"/>
    <w:rsid w:val="00F85BE9"/>
    <w:rsid w:val="00F85C82"/>
    <w:rsid w:val="00F86223"/>
    <w:rsid w:val="00F864B5"/>
    <w:rsid w:val="00F866D1"/>
    <w:rsid w:val="00F86B8B"/>
    <w:rsid w:val="00F87047"/>
    <w:rsid w:val="00F87848"/>
    <w:rsid w:val="00F87A6A"/>
    <w:rsid w:val="00F87BC1"/>
    <w:rsid w:val="00F87E76"/>
    <w:rsid w:val="00F87F71"/>
    <w:rsid w:val="00F902C9"/>
    <w:rsid w:val="00F90710"/>
    <w:rsid w:val="00F90746"/>
    <w:rsid w:val="00F90FBA"/>
    <w:rsid w:val="00F913CD"/>
    <w:rsid w:val="00F91A0D"/>
    <w:rsid w:val="00F9201D"/>
    <w:rsid w:val="00F9212D"/>
    <w:rsid w:val="00F921EF"/>
    <w:rsid w:val="00F9241D"/>
    <w:rsid w:val="00F92CBB"/>
    <w:rsid w:val="00F93667"/>
    <w:rsid w:val="00F936C0"/>
    <w:rsid w:val="00F93714"/>
    <w:rsid w:val="00F93AEB"/>
    <w:rsid w:val="00F93B53"/>
    <w:rsid w:val="00F93EB7"/>
    <w:rsid w:val="00F93EC3"/>
    <w:rsid w:val="00F93FEC"/>
    <w:rsid w:val="00F94194"/>
    <w:rsid w:val="00F941D5"/>
    <w:rsid w:val="00F947C4"/>
    <w:rsid w:val="00F94ACD"/>
    <w:rsid w:val="00F94B75"/>
    <w:rsid w:val="00F952AC"/>
    <w:rsid w:val="00F9530E"/>
    <w:rsid w:val="00F95471"/>
    <w:rsid w:val="00F9562E"/>
    <w:rsid w:val="00F957F8"/>
    <w:rsid w:val="00F9595D"/>
    <w:rsid w:val="00F95CB8"/>
    <w:rsid w:val="00F95F86"/>
    <w:rsid w:val="00F964C5"/>
    <w:rsid w:val="00F9673A"/>
    <w:rsid w:val="00F96A58"/>
    <w:rsid w:val="00F96CFF"/>
    <w:rsid w:val="00F96FD4"/>
    <w:rsid w:val="00F97451"/>
    <w:rsid w:val="00F976F9"/>
    <w:rsid w:val="00F978F4"/>
    <w:rsid w:val="00F97D67"/>
    <w:rsid w:val="00F97E01"/>
    <w:rsid w:val="00FA004E"/>
    <w:rsid w:val="00FA010A"/>
    <w:rsid w:val="00FA0256"/>
    <w:rsid w:val="00FA049E"/>
    <w:rsid w:val="00FA06BE"/>
    <w:rsid w:val="00FA06BF"/>
    <w:rsid w:val="00FA09A7"/>
    <w:rsid w:val="00FA0AAD"/>
    <w:rsid w:val="00FA0CCD"/>
    <w:rsid w:val="00FA1151"/>
    <w:rsid w:val="00FA118C"/>
    <w:rsid w:val="00FA126E"/>
    <w:rsid w:val="00FA1392"/>
    <w:rsid w:val="00FA1490"/>
    <w:rsid w:val="00FA1523"/>
    <w:rsid w:val="00FA19D5"/>
    <w:rsid w:val="00FA1D73"/>
    <w:rsid w:val="00FA1FF5"/>
    <w:rsid w:val="00FA21E3"/>
    <w:rsid w:val="00FA23AA"/>
    <w:rsid w:val="00FA243E"/>
    <w:rsid w:val="00FA261B"/>
    <w:rsid w:val="00FA2898"/>
    <w:rsid w:val="00FA29C8"/>
    <w:rsid w:val="00FA2A0A"/>
    <w:rsid w:val="00FA2CA8"/>
    <w:rsid w:val="00FA2E2D"/>
    <w:rsid w:val="00FA30BB"/>
    <w:rsid w:val="00FA30EA"/>
    <w:rsid w:val="00FA30FF"/>
    <w:rsid w:val="00FA31F6"/>
    <w:rsid w:val="00FA3222"/>
    <w:rsid w:val="00FA34FB"/>
    <w:rsid w:val="00FA350C"/>
    <w:rsid w:val="00FA357D"/>
    <w:rsid w:val="00FA3802"/>
    <w:rsid w:val="00FA39E8"/>
    <w:rsid w:val="00FA3C56"/>
    <w:rsid w:val="00FA3D22"/>
    <w:rsid w:val="00FA3FCE"/>
    <w:rsid w:val="00FA40DA"/>
    <w:rsid w:val="00FA4516"/>
    <w:rsid w:val="00FA4B21"/>
    <w:rsid w:val="00FA51CA"/>
    <w:rsid w:val="00FA5254"/>
    <w:rsid w:val="00FA5382"/>
    <w:rsid w:val="00FA5651"/>
    <w:rsid w:val="00FA59BF"/>
    <w:rsid w:val="00FA5C29"/>
    <w:rsid w:val="00FA6429"/>
    <w:rsid w:val="00FA69E9"/>
    <w:rsid w:val="00FA6DC6"/>
    <w:rsid w:val="00FA6F6E"/>
    <w:rsid w:val="00FA6F89"/>
    <w:rsid w:val="00FA74F7"/>
    <w:rsid w:val="00FA75F1"/>
    <w:rsid w:val="00FA763A"/>
    <w:rsid w:val="00FA7AAA"/>
    <w:rsid w:val="00FA7ACF"/>
    <w:rsid w:val="00FA7E8D"/>
    <w:rsid w:val="00FB06E6"/>
    <w:rsid w:val="00FB0BA4"/>
    <w:rsid w:val="00FB0D68"/>
    <w:rsid w:val="00FB0FC7"/>
    <w:rsid w:val="00FB1195"/>
    <w:rsid w:val="00FB1487"/>
    <w:rsid w:val="00FB1B4D"/>
    <w:rsid w:val="00FB1E04"/>
    <w:rsid w:val="00FB2041"/>
    <w:rsid w:val="00FB210B"/>
    <w:rsid w:val="00FB2C31"/>
    <w:rsid w:val="00FB3348"/>
    <w:rsid w:val="00FB3B9C"/>
    <w:rsid w:val="00FB3CA8"/>
    <w:rsid w:val="00FB3E12"/>
    <w:rsid w:val="00FB3E7D"/>
    <w:rsid w:val="00FB41C8"/>
    <w:rsid w:val="00FB41CC"/>
    <w:rsid w:val="00FB4A47"/>
    <w:rsid w:val="00FB4A56"/>
    <w:rsid w:val="00FB4A5A"/>
    <w:rsid w:val="00FB4A6A"/>
    <w:rsid w:val="00FB4B3E"/>
    <w:rsid w:val="00FB4D42"/>
    <w:rsid w:val="00FB4FB4"/>
    <w:rsid w:val="00FB52EB"/>
    <w:rsid w:val="00FB553F"/>
    <w:rsid w:val="00FB5644"/>
    <w:rsid w:val="00FB569C"/>
    <w:rsid w:val="00FB587F"/>
    <w:rsid w:val="00FB5FED"/>
    <w:rsid w:val="00FB6BFC"/>
    <w:rsid w:val="00FB6CD7"/>
    <w:rsid w:val="00FB6F89"/>
    <w:rsid w:val="00FB6F92"/>
    <w:rsid w:val="00FB70A4"/>
    <w:rsid w:val="00FB7726"/>
    <w:rsid w:val="00FB798E"/>
    <w:rsid w:val="00FB7D03"/>
    <w:rsid w:val="00FB7E38"/>
    <w:rsid w:val="00FC00BF"/>
    <w:rsid w:val="00FC0EEC"/>
    <w:rsid w:val="00FC1380"/>
    <w:rsid w:val="00FC1616"/>
    <w:rsid w:val="00FC1807"/>
    <w:rsid w:val="00FC1B3C"/>
    <w:rsid w:val="00FC1DAD"/>
    <w:rsid w:val="00FC2179"/>
    <w:rsid w:val="00FC2238"/>
    <w:rsid w:val="00FC2383"/>
    <w:rsid w:val="00FC241D"/>
    <w:rsid w:val="00FC2930"/>
    <w:rsid w:val="00FC2A6D"/>
    <w:rsid w:val="00FC2A97"/>
    <w:rsid w:val="00FC2E10"/>
    <w:rsid w:val="00FC30B5"/>
    <w:rsid w:val="00FC355E"/>
    <w:rsid w:val="00FC364D"/>
    <w:rsid w:val="00FC373A"/>
    <w:rsid w:val="00FC3D1F"/>
    <w:rsid w:val="00FC3D6E"/>
    <w:rsid w:val="00FC3DC7"/>
    <w:rsid w:val="00FC3EBF"/>
    <w:rsid w:val="00FC3FD3"/>
    <w:rsid w:val="00FC4644"/>
    <w:rsid w:val="00FC4869"/>
    <w:rsid w:val="00FC4CD4"/>
    <w:rsid w:val="00FC4DD1"/>
    <w:rsid w:val="00FC4E85"/>
    <w:rsid w:val="00FC530E"/>
    <w:rsid w:val="00FC5349"/>
    <w:rsid w:val="00FC535A"/>
    <w:rsid w:val="00FC5820"/>
    <w:rsid w:val="00FC5D95"/>
    <w:rsid w:val="00FC63D9"/>
    <w:rsid w:val="00FC6538"/>
    <w:rsid w:val="00FC67FA"/>
    <w:rsid w:val="00FC6805"/>
    <w:rsid w:val="00FC6820"/>
    <w:rsid w:val="00FC6829"/>
    <w:rsid w:val="00FC68A3"/>
    <w:rsid w:val="00FC6948"/>
    <w:rsid w:val="00FC6C08"/>
    <w:rsid w:val="00FC6CF5"/>
    <w:rsid w:val="00FC6DA6"/>
    <w:rsid w:val="00FC6E6C"/>
    <w:rsid w:val="00FC6F85"/>
    <w:rsid w:val="00FC7332"/>
    <w:rsid w:val="00FC76E7"/>
    <w:rsid w:val="00FC76FD"/>
    <w:rsid w:val="00FC7CBF"/>
    <w:rsid w:val="00FC7D1D"/>
    <w:rsid w:val="00FD01AC"/>
    <w:rsid w:val="00FD0508"/>
    <w:rsid w:val="00FD088B"/>
    <w:rsid w:val="00FD08A5"/>
    <w:rsid w:val="00FD0905"/>
    <w:rsid w:val="00FD0BF7"/>
    <w:rsid w:val="00FD0F91"/>
    <w:rsid w:val="00FD0FB9"/>
    <w:rsid w:val="00FD135F"/>
    <w:rsid w:val="00FD13E8"/>
    <w:rsid w:val="00FD1528"/>
    <w:rsid w:val="00FD1926"/>
    <w:rsid w:val="00FD1A8F"/>
    <w:rsid w:val="00FD1D2B"/>
    <w:rsid w:val="00FD1F71"/>
    <w:rsid w:val="00FD3031"/>
    <w:rsid w:val="00FD327B"/>
    <w:rsid w:val="00FD34DF"/>
    <w:rsid w:val="00FD3661"/>
    <w:rsid w:val="00FD368D"/>
    <w:rsid w:val="00FD36F3"/>
    <w:rsid w:val="00FD3976"/>
    <w:rsid w:val="00FD3CF8"/>
    <w:rsid w:val="00FD3E4C"/>
    <w:rsid w:val="00FD444D"/>
    <w:rsid w:val="00FD45A6"/>
    <w:rsid w:val="00FD4A24"/>
    <w:rsid w:val="00FD4C89"/>
    <w:rsid w:val="00FD4EC0"/>
    <w:rsid w:val="00FD511A"/>
    <w:rsid w:val="00FD5132"/>
    <w:rsid w:val="00FD532B"/>
    <w:rsid w:val="00FD549C"/>
    <w:rsid w:val="00FD54FA"/>
    <w:rsid w:val="00FD560D"/>
    <w:rsid w:val="00FD56CF"/>
    <w:rsid w:val="00FD591B"/>
    <w:rsid w:val="00FD5B26"/>
    <w:rsid w:val="00FD5B5C"/>
    <w:rsid w:val="00FD605D"/>
    <w:rsid w:val="00FD61A2"/>
    <w:rsid w:val="00FD66FA"/>
    <w:rsid w:val="00FD6F24"/>
    <w:rsid w:val="00FD71E1"/>
    <w:rsid w:val="00FD73AD"/>
    <w:rsid w:val="00FD764A"/>
    <w:rsid w:val="00FD7AB2"/>
    <w:rsid w:val="00FE0119"/>
    <w:rsid w:val="00FE02DC"/>
    <w:rsid w:val="00FE0304"/>
    <w:rsid w:val="00FE06FE"/>
    <w:rsid w:val="00FE0957"/>
    <w:rsid w:val="00FE0A64"/>
    <w:rsid w:val="00FE0F58"/>
    <w:rsid w:val="00FE0F6B"/>
    <w:rsid w:val="00FE14DF"/>
    <w:rsid w:val="00FE14F2"/>
    <w:rsid w:val="00FE1A50"/>
    <w:rsid w:val="00FE1AF0"/>
    <w:rsid w:val="00FE1CB2"/>
    <w:rsid w:val="00FE1CBB"/>
    <w:rsid w:val="00FE1DE6"/>
    <w:rsid w:val="00FE1E94"/>
    <w:rsid w:val="00FE1ED4"/>
    <w:rsid w:val="00FE1FE8"/>
    <w:rsid w:val="00FE2660"/>
    <w:rsid w:val="00FE2B1F"/>
    <w:rsid w:val="00FE2B82"/>
    <w:rsid w:val="00FE2F4B"/>
    <w:rsid w:val="00FE2FD5"/>
    <w:rsid w:val="00FE305F"/>
    <w:rsid w:val="00FE366D"/>
    <w:rsid w:val="00FE3697"/>
    <w:rsid w:val="00FE3913"/>
    <w:rsid w:val="00FE3A1B"/>
    <w:rsid w:val="00FE3DB3"/>
    <w:rsid w:val="00FE3ED6"/>
    <w:rsid w:val="00FE3F56"/>
    <w:rsid w:val="00FE41D5"/>
    <w:rsid w:val="00FE44A5"/>
    <w:rsid w:val="00FE47AF"/>
    <w:rsid w:val="00FE491E"/>
    <w:rsid w:val="00FE4957"/>
    <w:rsid w:val="00FE49ED"/>
    <w:rsid w:val="00FE4B65"/>
    <w:rsid w:val="00FE4C94"/>
    <w:rsid w:val="00FE4CA0"/>
    <w:rsid w:val="00FE4DA7"/>
    <w:rsid w:val="00FE500C"/>
    <w:rsid w:val="00FE50BB"/>
    <w:rsid w:val="00FE53E9"/>
    <w:rsid w:val="00FE548E"/>
    <w:rsid w:val="00FE554D"/>
    <w:rsid w:val="00FE5696"/>
    <w:rsid w:val="00FE57BF"/>
    <w:rsid w:val="00FE610B"/>
    <w:rsid w:val="00FE6215"/>
    <w:rsid w:val="00FE67FF"/>
    <w:rsid w:val="00FE686E"/>
    <w:rsid w:val="00FE6E2E"/>
    <w:rsid w:val="00FE6FD5"/>
    <w:rsid w:val="00FE70E8"/>
    <w:rsid w:val="00FE72D6"/>
    <w:rsid w:val="00FE747D"/>
    <w:rsid w:val="00FE753C"/>
    <w:rsid w:val="00FE767D"/>
    <w:rsid w:val="00FE7994"/>
    <w:rsid w:val="00FE7AE9"/>
    <w:rsid w:val="00FE7C77"/>
    <w:rsid w:val="00FE7CD5"/>
    <w:rsid w:val="00FE7D3B"/>
    <w:rsid w:val="00FE7DDF"/>
    <w:rsid w:val="00FF0252"/>
    <w:rsid w:val="00FF03A4"/>
    <w:rsid w:val="00FF0438"/>
    <w:rsid w:val="00FF06DC"/>
    <w:rsid w:val="00FF0865"/>
    <w:rsid w:val="00FF0AC4"/>
    <w:rsid w:val="00FF16C7"/>
    <w:rsid w:val="00FF1925"/>
    <w:rsid w:val="00FF1EBE"/>
    <w:rsid w:val="00FF20F4"/>
    <w:rsid w:val="00FF22B0"/>
    <w:rsid w:val="00FF25E0"/>
    <w:rsid w:val="00FF28F6"/>
    <w:rsid w:val="00FF2EAB"/>
    <w:rsid w:val="00FF33BC"/>
    <w:rsid w:val="00FF3535"/>
    <w:rsid w:val="00FF3653"/>
    <w:rsid w:val="00FF3932"/>
    <w:rsid w:val="00FF3A42"/>
    <w:rsid w:val="00FF3FDA"/>
    <w:rsid w:val="00FF42E2"/>
    <w:rsid w:val="00FF49F1"/>
    <w:rsid w:val="00FF4A27"/>
    <w:rsid w:val="00FF4BA9"/>
    <w:rsid w:val="00FF4DBD"/>
    <w:rsid w:val="00FF4E81"/>
    <w:rsid w:val="00FF4FD8"/>
    <w:rsid w:val="00FF50B8"/>
    <w:rsid w:val="00FF5196"/>
    <w:rsid w:val="00FF5217"/>
    <w:rsid w:val="00FF531F"/>
    <w:rsid w:val="00FF5410"/>
    <w:rsid w:val="00FF56CE"/>
    <w:rsid w:val="00FF58B0"/>
    <w:rsid w:val="00FF5B5D"/>
    <w:rsid w:val="00FF5F2E"/>
    <w:rsid w:val="00FF60A6"/>
    <w:rsid w:val="00FF616A"/>
    <w:rsid w:val="00FF6428"/>
    <w:rsid w:val="00FF64FE"/>
    <w:rsid w:val="00FF65E9"/>
    <w:rsid w:val="00FF6A8B"/>
    <w:rsid w:val="00FF6B93"/>
    <w:rsid w:val="00FF6C38"/>
    <w:rsid w:val="00FF6CF8"/>
    <w:rsid w:val="00FF6D30"/>
    <w:rsid w:val="00FF70A0"/>
    <w:rsid w:val="00FF73B7"/>
    <w:rsid w:val="00FF749E"/>
    <w:rsid w:val="00FF7584"/>
    <w:rsid w:val="00FF762F"/>
    <w:rsid w:val="00FF7912"/>
    <w:rsid w:val="00FF7BB8"/>
    <w:rsid w:val="00FF7E84"/>
    <w:rsid w:val="00FF7FA9"/>
    <w:rsid w:val="0104FB93"/>
    <w:rsid w:val="010754E2"/>
    <w:rsid w:val="0109B2C2"/>
    <w:rsid w:val="01105780"/>
    <w:rsid w:val="0112E0BB"/>
    <w:rsid w:val="0117DC53"/>
    <w:rsid w:val="0129FD27"/>
    <w:rsid w:val="012A2C82"/>
    <w:rsid w:val="013F8C08"/>
    <w:rsid w:val="014182E7"/>
    <w:rsid w:val="014A13F4"/>
    <w:rsid w:val="015A8406"/>
    <w:rsid w:val="016A2C93"/>
    <w:rsid w:val="017BAB98"/>
    <w:rsid w:val="0181A2A5"/>
    <w:rsid w:val="018BB31A"/>
    <w:rsid w:val="018EED1F"/>
    <w:rsid w:val="0196DDD5"/>
    <w:rsid w:val="019C8398"/>
    <w:rsid w:val="01A82474"/>
    <w:rsid w:val="01AB9912"/>
    <w:rsid w:val="01AE0F8C"/>
    <w:rsid w:val="01B2ECC2"/>
    <w:rsid w:val="01C18B09"/>
    <w:rsid w:val="01CE0102"/>
    <w:rsid w:val="01CF1FEA"/>
    <w:rsid w:val="01E2A138"/>
    <w:rsid w:val="01F52388"/>
    <w:rsid w:val="01FF242F"/>
    <w:rsid w:val="0213990A"/>
    <w:rsid w:val="021A2BBC"/>
    <w:rsid w:val="021EE004"/>
    <w:rsid w:val="0221F3A1"/>
    <w:rsid w:val="0227CC43"/>
    <w:rsid w:val="02329293"/>
    <w:rsid w:val="0235C849"/>
    <w:rsid w:val="023676F8"/>
    <w:rsid w:val="023B83DF"/>
    <w:rsid w:val="02411CC8"/>
    <w:rsid w:val="024AC080"/>
    <w:rsid w:val="02559131"/>
    <w:rsid w:val="02586F22"/>
    <w:rsid w:val="02622515"/>
    <w:rsid w:val="0264239C"/>
    <w:rsid w:val="028542A5"/>
    <w:rsid w:val="028C8D97"/>
    <w:rsid w:val="0294B339"/>
    <w:rsid w:val="029D7773"/>
    <w:rsid w:val="029F65DC"/>
    <w:rsid w:val="02A591F1"/>
    <w:rsid w:val="02ABC489"/>
    <w:rsid w:val="02B97D70"/>
    <w:rsid w:val="02BB5D09"/>
    <w:rsid w:val="02BBE0BB"/>
    <w:rsid w:val="02CDE27B"/>
    <w:rsid w:val="02DBB64C"/>
    <w:rsid w:val="02E40401"/>
    <w:rsid w:val="02E9271F"/>
    <w:rsid w:val="02EB12D3"/>
    <w:rsid w:val="02EBED92"/>
    <w:rsid w:val="02F670AE"/>
    <w:rsid w:val="02FA9091"/>
    <w:rsid w:val="02FC7408"/>
    <w:rsid w:val="0315FB34"/>
    <w:rsid w:val="03169412"/>
    <w:rsid w:val="0320AC08"/>
    <w:rsid w:val="032199C6"/>
    <w:rsid w:val="03312ACE"/>
    <w:rsid w:val="03352A9A"/>
    <w:rsid w:val="033EBADE"/>
    <w:rsid w:val="036E7E3B"/>
    <w:rsid w:val="0375CDC5"/>
    <w:rsid w:val="037AA1A7"/>
    <w:rsid w:val="037E514F"/>
    <w:rsid w:val="037F83B6"/>
    <w:rsid w:val="0380AA99"/>
    <w:rsid w:val="038DA362"/>
    <w:rsid w:val="038E967D"/>
    <w:rsid w:val="03902013"/>
    <w:rsid w:val="0399DE84"/>
    <w:rsid w:val="039C1335"/>
    <w:rsid w:val="039C4E83"/>
    <w:rsid w:val="03A41AE7"/>
    <w:rsid w:val="03A590A0"/>
    <w:rsid w:val="03AD86CD"/>
    <w:rsid w:val="03BC3B2B"/>
    <w:rsid w:val="03C3D0A7"/>
    <w:rsid w:val="03C9B666"/>
    <w:rsid w:val="03CD3C11"/>
    <w:rsid w:val="03D069BA"/>
    <w:rsid w:val="03D08F7C"/>
    <w:rsid w:val="03D6E347"/>
    <w:rsid w:val="03E2BC8B"/>
    <w:rsid w:val="03E51DC1"/>
    <w:rsid w:val="03F91164"/>
    <w:rsid w:val="03FB3128"/>
    <w:rsid w:val="041968FA"/>
    <w:rsid w:val="041D717D"/>
    <w:rsid w:val="0420157C"/>
    <w:rsid w:val="04220504"/>
    <w:rsid w:val="0422CC21"/>
    <w:rsid w:val="04260857"/>
    <w:rsid w:val="0428752F"/>
    <w:rsid w:val="042FDC50"/>
    <w:rsid w:val="04331295"/>
    <w:rsid w:val="043F0C2C"/>
    <w:rsid w:val="0443C0F5"/>
    <w:rsid w:val="044449F5"/>
    <w:rsid w:val="04471FB8"/>
    <w:rsid w:val="044AFFFC"/>
    <w:rsid w:val="044CE725"/>
    <w:rsid w:val="0450444C"/>
    <w:rsid w:val="045955A5"/>
    <w:rsid w:val="045A816A"/>
    <w:rsid w:val="045FFAA4"/>
    <w:rsid w:val="04625415"/>
    <w:rsid w:val="0464CDD5"/>
    <w:rsid w:val="046713F1"/>
    <w:rsid w:val="0472CF6E"/>
    <w:rsid w:val="04885B63"/>
    <w:rsid w:val="04918B5C"/>
    <w:rsid w:val="0491F5A4"/>
    <w:rsid w:val="0498007C"/>
    <w:rsid w:val="049B5D10"/>
    <w:rsid w:val="04A1B48B"/>
    <w:rsid w:val="04A37CB2"/>
    <w:rsid w:val="04A6D2E7"/>
    <w:rsid w:val="04A81018"/>
    <w:rsid w:val="04B0F18F"/>
    <w:rsid w:val="04B9C743"/>
    <w:rsid w:val="04BB12ED"/>
    <w:rsid w:val="04C73451"/>
    <w:rsid w:val="04CDE74C"/>
    <w:rsid w:val="04D679FB"/>
    <w:rsid w:val="04D9780A"/>
    <w:rsid w:val="04DDC50B"/>
    <w:rsid w:val="04E1FC5C"/>
    <w:rsid w:val="04E31296"/>
    <w:rsid w:val="04E46DC3"/>
    <w:rsid w:val="04EB3278"/>
    <w:rsid w:val="04F20974"/>
    <w:rsid w:val="04F2BE0C"/>
    <w:rsid w:val="051A3C40"/>
    <w:rsid w:val="051DEF11"/>
    <w:rsid w:val="052BA428"/>
    <w:rsid w:val="05308D88"/>
    <w:rsid w:val="05405D01"/>
    <w:rsid w:val="0545312C"/>
    <w:rsid w:val="05474D6D"/>
    <w:rsid w:val="054886F5"/>
    <w:rsid w:val="0550544F"/>
    <w:rsid w:val="055876A9"/>
    <w:rsid w:val="055E7F05"/>
    <w:rsid w:val="055EA4DB"/>
    <w:rsid w:val="055F7D96"/>
    <w:rsid w:val="05691D54"/>
    <w:rsid w:val="05700C08"/>
    <w:rsid w:val="057183A8"/>
    <w:rsid w:val="05748858"/>
    <w:rsid w:val="0580D9CF"/>
    <w:rsid w:val="0587E88C"/>
    <w:rsid w:val="05943B7F"/>
    <w:rsid w:val="0594F8D2"/>
    <w:rsid w:val="05A063A6"/>
    <w:rsid w:val="05A21FDA"/>
    <w:rsid w:val="05AE75BE"/>
    <w:rsid w:val="05BA86C0"/>
    <w:rsid w:val="05D06D07"/>
    <w:rsid w:val="05D619A1"/>
    <w:rsid w:val="05F06701"/>
    <w:rsid w:val="06004838"/>
    <w:rsid w:val="06075BD2"/>
    <w:rsid w:val="06088C08"/>
    <w:rsid w:val="060D77B6"/>
    <w:rsid w:val="0616C8B7"/>
    <w:rsid w:val="06174F00"/>
    <w:rsid w:val="062DA744"/>
    <w:rsid w:val="0633928B"/>
    <w:rsid w:val="063F9BA4"/>
    <w:rsid w:val="06505614"/>
    <w:rsid w:val="065136EF"/>
    <w:rsid w:val="0651753B"/>
    <w:rsid w:val="0657FB3E"/>
    <w:rsid w:val="0659A02A"/>
    <w:rsid w:val="065AA039"/>
    <w:rsid w:val="06681795"/>
    <w:rsid w:val="066D84FF"/>
    <w:rsid w:val="067DB017"/>
    <w:rsid w:val="067FE88B"/>
    <w:rsid w:val="0683C5A7"/>
    <w:rsid w:val="068C8EC6"/>
    <w:rsid w:val="069482BA"/>
    <w:rsid w:val="069C84C0"/>
    <w:rsid w:val="069D3D3E"/>
    <w:rsid w:val="06AFD146"/>
    <w:rsid w:val="06B0A4B6"/>
    <w:rsid w:val="06B65E1F"/>
    <w:rsid w:val="06BE425D"/>
    <w:rsid w:val="06C098D8"/>
    <w:rsid w:val="06C0A820"/>
    <w:rsid w:val="06CBF15F"/>
    <w:rsid w:val="06CD9661"/>
    <w:rsid w:val="06D1B99E"/>
    <w:rsid w:val="06D3AC61"/>
    <w:rsid w:val="06DB910F"/>
    <w:rsid w:val="0700D8B7"/>
    <w:rsid w:val="070E2312"/>
    <w:rsid w:val="0711EAD5"/>
    <w:rsid w:val="0722EC4F"/>
    <w:rsid w:val="072325E4"/>
    <w:rsid w:val="0723A2D4"/>
    <w:rsid w:val="072A3A35"/>
    <w:rsid w:val="075C4758"/>
    <w:rsid w:val="07609EAF"/>
    <w:rsid w:val="076325E8"/>
    <w:rsid w:val="07740B99"/>
    <w:rsid w:val="0777B662"/>
    <w:rsid w:val="0780260B"/>
    <w:rsid w:val="0781D001"/>
    <w:rsid w:val="078B0DA3"/>
    <w:rsid w:val="078BC6B9"/>
    <w:rsid w:val="078E6CCB"/>
    <w:rsid w:val="07911A2A"/>
    <w:rsid w:val="0794F106"/>
    <w:rsid w:val="079EC289"/>
    <w:rsid w:val="07A797DD"/>
    <w:rsid w:val="07A8D278"/>
    <w:rsid w:val="07A8D556"/>
    <w:rsid w:val="07BA91BD"/>
    <w:rsid w:val="07C49D4A"/>
    <w:rsid w:val="07C67461"/>
    <w:rsid w:val="07D101A1"/>
    <w:rsid w:val="07DF61BF"/>
    <w:rsid w:val="07E50EB2"/>
    <w:rsid w:val="07F4FB07"/>
    <w:rsid w:val="07F6D895"/>
    <w:rsid w:val="07FC360C"/>
    <w:rsid w:val="0804FDF3"/>
    <w:rsid w:val="08211AAD"/>
    <w:rsid w:val="0829EB59"/>
    <w:rsid w:val="0836AC0F"/>
    <w:rsid w:val="0845BF87"/>
    <w:rsid w:val="084C7A6D"/>
    <w:rsid w:val="084DFD2B"/>
    <w:rsid w:val="0857C0F7"/>
    <w:rsid w:val="086F2CA7"/>
    <w:rsid w:val="08752203"/>
    <w:rsid w:val="087F85A7"/>
    <w:rsid w:val="08838445"/>
    <w:rsid w:val="08857644"/>
    <w:rsid w:val="0886DC9F"/>
    <w:rsid w:val="08871AF1"/>
    <w:rsid w:val="088D4377"/>
    <w:rsid w:val="0892FB09"/>
    <w:rsid w:val="08982BB6"/>
    <w:rsid w:val="089ABA39"/>
    <w:rsid w:val="08A979BC"/>
    <w:rsid w:val="08A9A784"/>
    <w:rsid w:val="08AC9ADA"/>
    <w:rsid w:val="08B9308A"/>
    <w:rsid w:val="08D86278"/>
    <w:rsid w:val="08DC5A49"/>
    <w:rsid w:val="08E34D04"/>
    <w:rsid w:val="08E553F9"/>
    <w:rsid w:val="08E8D212"/>
    <w:rsid w:val="08EC35DD"/>
    <w:rsid w:val="08EFB110"/>
    <w:rsid w:val="08F6C8D2"/>
    <w:rsid w:val="08FBB233"/>
    <w:rsid w:val="090816ED"/>
    <w:rsid w:val="090BCE8A"/>
    <w:rsid w:val="09147183"/>
    <w:rsid w:val="0915976D"/>
    <w:rsid w:val="09177983"/>
    <w:rsid w:val="0922E6D8"/>
    <w:rsid w:val="092464D8"/>
    <w:rsid w:val="092694F5"/>
    <w:rsid w:val="0927A74B"/>
    <w:rsid w:val="0945A5AF"/>
    <w:rsid w:val="094B578B"/>
    <w:rsid w:val="094E0FDC"/>
    <w:rsid w:val="094E3545"/>
    <w:rsid w:val="094EEF0A"/>
    <w:rsid w:val="0952CA2F"/>
    <w:rsid w:val="095CB047"/>
    <w:rsid w:val="096D2A38"/>
    <w:rsid w:val="0976892E"/>
    <w:rsid w:val="0980FE41"/>
    <w:rsid w:val="098828AC"/>
    <w:rsid w:val="09882E9F"/>
    <w:rsid w:val="098C3751"/>
    <w:rsid w:val="09992CEE"/>
    <w:rsid w:val="09A37D70"/>
    <w:rsid w:val="09AD86AE"/>
    <w:rsid w:val="09AE63D4"/>
    <w:rsid w:val="09B0131B"/>
    <w:rsid w:val="09B6DD6E"/>
    <w:rsid w:val="09B96272"/>
    <w:rsid w:val="09C7A0E3"/>
    <w:rsid w:val="09D7B13E"/>
    <w:rsid w:val="09DA4463"/>
    <w:rsid w:val="09E2BBAE"/>
    <w:rsid w:val="09EC09CD"/>
    <w:rsid w:val="0A0B14F2"/>
    <w:rsid w:val="0A1FCD1D"/>
    <w:rsid w:val="0A27466E"/>
    <w:rsid w:val="0A2830F3"/>
    <w:rsid w:val="0A375A0C"/>
    <w:rsid w:val="0A3881F4"/>
    <w:rsid w:val="0A3D051D"/>
    <w:rsid w:val="0A460478"/>
    <w:rsid w:val="0A47CAE0"/>
    <w:rsid w:val="0A4827D6"/>
    <w:rsid w:val="0A489CB7"/>
    <w:rsid w:val="0A4A1497"/>
    <w:rsid w:val="0A5E909E"/>
    <w:rsid w:val="0A611A56"/>
    <w:rsid w:val="0A660168"/>
    <w:rsid w:val="0A661FAD"/>
    <w:rsid w:val="0A6B7ACB"/>
    <w:rsid w:val="0A6EB400"/>
    <w:rsid w:val="0A719F85"/>
    <w:rsid w:val="0A822F4A"/>
    <w:rsid w:val="0A887D1D"/>
    <w:rsid w:val="0A8D6313"/>
    <w:rsid w:val="0A9C8D12"/>
    <w:rsid w:val="0A9FFE0E"/>
    <w:rsid w:val="0AA0324D"/>
    <w:rsid w:val="0ABA03B5"/>
    <w:rsid w:val="0ACFB0B7"/>
    <w:rsid w:val="0ACFF1C1"/>
    <w:rsid w:val="0AD8FCA5"/>
    <w:rsid w:val="0ADBDCF1"/>
    <w:rsid w:val="0ADC0C15"/>
    <w:rsid w:val="0ADC1BCD"/>
    <w:rsid w:val="0AE58E98"/>
    <w:rsid w:val="0AE9E510"/>
    <w:rsid w:val="0AEDC31C"/>
    <w:rsid w:val="0AFCDEE7"/>
    <w:rsid w:val="0AFF78CD"/>
    <w:rsid w:val="0B0144A9"/>
    <w:rsid w:val="0B026164"/>
    <w:rsid w:val="0B04D8F8"/>
    <w:rsid w:val="0B08025F"/>
    <w:rsid w:val="0B0A020C"/>
    <w:rsid w:val="0B22EB95"/>
    <w:rsid w:val="0B238598"/>
    <w:rsid w:val="0B36F679"/>
    <w:rsid w:val="0B3B5B02"/>
    <w:rsid w:val="0B3DD09B"/>
    <w:rsid w:val="0B3F3893"/>
    <w:rsid w:val="0B581755"/>
    <w:rsid w:val="0B5BAB46"/>
    <w:rsid w:val="0B5C7A15"/>
    <w:rsid w:val="0B64BDE8"/>
    <w:rsid w:val="0B81DBB9"/>
    <w:rsid w:val="0B87706F"/>
    <w:rsid w:val="0B9BAFAF"/>
    <w:rsid w:val="0B9C8C62"/>
    <w:rsid w:val="0B9ECB0A"/>
    <w:rsid w:val="0B9F5FCD"/>
    <w:rsid w:val="0BA0BA85"/>
    <w:rsid w:val="0BACE696"/>
    <w:rsid w:val="0BB592D2"/>
    <w:rsid w:val="0BB78B10"/>
    <w:rsid w:val="0BD4A4BB"/>
    <w:rsid w:val="0BDCD8E7"/>
    <w:rsid w:val="0BF03A70"/>
    <w:rsid w:val="0BF3CB2B"/>
    <w:rsid w:val="0C03913F"/>
    <w:rsid w:val="0C1053F4"/>
    <w:rsid w:val="0C1644F6"/>
    <w:rsid w:val="0C2227AD"/>
    <w:rsid w:val="0C25BD2B"/>
    <w:rsid w:val="0C263800"/>
    <w:rsid w:val="0C29ED33"/>
    <w:rsid w:val="0C2C503C"/>
    <w:rsid w:val="0C2F94DB"/>
    <w:rsid w:val="0C335C80"/>
    <w:rsid w:val="0C3F2892"/>
    <w:rsid w:val="0C3F6908"/>
    <w:rsid w:val="0C51C46B"/>
    <w:rsid w:val="0C5E2930"/>
    <w:rsid w:val="0C662DB0"/>
    <w:rsid w:val="0C73B0C3"/>
    <w:rsid w:val="0C77AB80"/>
    <w:rsid w:val="0C7877DF"/>
    <w:rsid w:val="0C7E398E"/>
    <w:rsid w:val="0C845747"/>
    <w:rsid w:val="0C8ADF1B"/>
    <w:rsid w:val="0C8E10BA"/>
    <w:rsid w:val="0C99B6A3"/>
    <w:rsid w:val="0CA28021"/>
    <w:rsid w:val="0CA2A683"/>
    <w:rsid w:val="0CAAF788"/>
    <w:rsid w:val="0CB1E3D7"/>
    <w:rsid w:val="0CB45D93"/>
    <w:rsid w:val="0CBB32AB"/>
    <w:rsid w:val="0CC0B933"/>
    <w:rsid w:val="0CCA6E4F"/>
    <w:rsid w:val="0CD3FCAB"/>
    <w:rsid w:val="0CF1B050"/>
    <w:rsid w:val="0D01C18D"/>
    <w:rsid w:val="0D0F4E43"/>
    <w:rsid w:val="0D10A8F7"/>
    <w:rsid w:val="0D164473"/>
    <w:rsid w:val="0D1783AD"/>
    <w:rsid w:val="0D19E139"/>
    <w:rsid w:val="0D1D2E3A"/>
    <w:rsid w:val="0D2787C7"/>
    <w:rsid w:val="0D362B1E"/>
    <w:rsid w:val="0D45B01F"/>
    <w:rsid w:val="0D493D5C"/>
    <w:rsid w:val="0D6B9AC4"/>
    <w:rsid w:val="0D718184"/>
    <w:rsid w:val="0D766493"/>
    <w:rsid w:val="0D8269A8"/>
    <w:rsid w:val="0D8BB9DE"/>
    <w:rsid w:val="0D8ED935"/>
    <w:rsid w:val="0D93B16A"/>
    <w:rsid w:val="0D972E08"/>
    <w:rsid w:val="0D9C3F2A"/>
    <w:rsid w:val="0D9D5A05"/>
    <w:rsid w:val="0DA2F6BE"/>
    <w:rsid w:val="0DA36716"/>
    <w:rsid w:val="0DA81750"/>
    <w:rsid w:val="0DAAB455"/>
    <w:rsid w:val="0DAD8A4C"/>
    <w:rsid w:val="0DAF8184"/>
    <w:rsid w:val="0DB2822F"/>
    <w:rsid w:val="0DB46DEA"/>
    <w:rsid w:val="0DB5DA78"/>
    <w:rsid w:val="0DC6F789"/>
    <w:rsid w:val="0DDD85C3"/>
    <w:rsid w:val="0DDD94BA"/>
    <w:rsid w:val="0DE21944"/>
    <w:rsid w:val="0DE9723D"/>
    <w:rsid w:val="0DEA9431"/>
    <w:rsid w:val="0DF75460"/>
    <w:rsid w:val="0DF779E8"/>
    <w:rsid w:val="0DFB9C8B"/>
    <w:rsid w:val="0E095957"/>
    <w:rsid w:val="0E0E1F20"/>
    <w:rsid w:val="0E175E5B"/>
    <w:rsid w:val="0E27DEB2"/>
    <w:rsid w:val="0E2A4B01"/>
    <w:rsid w:val="0E2F3018"/>
    <w:rsid w:val="0E39AE72"/>
    <w:rsid w:val="0E3DE7B2"/>
    <w:rsid w:val="0E5168C6"/>
    <w:rsid w:val="0E54AEA5"/>
    <w:rsid w:val="0E59A191"/>
    <w:rsid w:val="0E8B8C26"/>
    <w:rsid w:val="0E94C27A"/>
    <w:rsid w:val="0E977019"/>
    <w:rsid w:val="0EA9242B"/>
    <w:rsid w:val="0EAF5FE2"/>
    <w:rsid w:val="0EB5731A"/>
    <w:rsid w:val="0EC2DFB4"/>
    <w:rsid w:val="0ED0F0C4"/>
    <w:rsid w:val="0ED67B95"/>
    <w:rsid w:val="0ED911ED"/>
    <w:rsid w:val="0EDF64D3"/>
    <w:rsid w:val="0F0BC35E"/>
    <w:rsid w:val="0F30FB93"/>
    <w:rsid w:val="0F36028F"/>
    <w:rsid w:val="0F370CF0"/>
    <w:rsid w:val="0F3B50AE"/>
    <w:rsid w:val="0F3C2447"/>
    <w:rsid w:val="0F5812E3"/>
    <w:rsid w:val="0F59EEC1"/>
    <w:rsid w:val="0F678C0E"/>
    <w:rsid w:val="0F6BB094"/>
    <w:rsid w:val="0F6BE9B6"/>
    <w:rsid w:val="0F724C26"/>
    <w:rsid w:val="0F78BFA1"/>
    <w:rsid w:val="0F79EE91"/>
    <w:rsid w:val="0F85D98E"/>
    <w:rsid w:val="0F8C3A04"/>
    <w:rsid w:val="0F8CCEDB"/>
    <w:rsid w:val="0F8F0C72"/>
    <w:rsid w:val="0F9EB596"/>
    <w:rsid w:val="0FA110BF"/>
    <w:rsid w:val="0FA97E4E"/>
    <w:rsid w:val="0FAA2151"/>
    <w:rsid w:val="0FAD35E4"/>
    <w:rsid w:val="0FAE1BE7"/>
    <w:rsid w:val="0FAEA01B"/>
    <w:rsid w:val="0FB3D4BC"/>
    <w:rsid w:val="0FB3D5C5"/>
    <w:rsid w:val="0FB5BE72"/>
    <w:rsid w:val="0FB92BAE"/>
    <w:rsid w:val="0FC80F45"/>
    <w:rsid w:val="0FCFCCC3"/>
    <w:rsid w:val="0FD6330D"/>
    <w:rsid w:val="0FDB7B1B"/>
    <w:rsid w:val="0FE0F800"/>
    <w:rsid w:val="0FE4458C"/>
    <w:rsid w:val="0FE9175D"/>
    <w:rsid w:val="0FEF5D69"/>
    <w:rsid w:val="10278012"/>
    <w:rsid w:val="10392571"/>
    <w:rsid w:val="1045468E"/>
    <w:rsid w:val="10558130"/>
    <w:rsid w:val="10564E94"/>
    <w:rsid w:val="105FBC82"/>
    <w:rsid w:val="1060A7CD"/>
    <w:rsid w:val="10670EAE"/>
    <w:rsid w:val="1068B18F"/>
    <w:rsid w:val="10697592"/>
    <w:rsid w:val="107AA3A3"/>
    <w:rsid w:val="107D46E0"/>
    <w:rsid w:val="10901CAB"/>
    <w:rsid w:val="1093ECC0"/>
    <w:rsid w:val="109651B2"/>
    <w:rsid w:val="10A10C30"/>
    <w:rsid w:val="10A4E9C1"/>
    <w:rsid w:val="10B26521"/>
    <w:rsid w:val="10B371C1"/>
    <w:rsid w:val="10BE3C0D"/>
    <w:rsid w:val="10BE998A"/>
    <w:rsid w:val="10CEE60C"/>
    <w:rsid w:val="10D2FA56"/>
    <w:rsid w:val="10D5BFA8"/>
    <w:rsid w:val="10D8162E"/>
    <w:rsid w:val="10D8ACAB"/>
    <w:rsid w:val="10DA5675"/>
    <w:rsid w:val="10DDAC33"/>
    <w:rsid w:val="10DE23CA"/>
    <w:rsid w:val="10DF4F21"/>
    <w:rsid w:val="10E12710"/>
    <w:rsid w:val="10E3A53F"/>
    <w:rsid w:val="10E75517"/>
    <w:rsid w:val="10EE7A13"/>
    <w:rsid w:val="10F53B31"/>
    <w:rsid w:val="10F6B116"/>
    <w:rsid w:val="10FE984B"/>
    <w:rsid w:val="11036884"/>
    <w:rsid w:val="1108E80C"/>
    <w:rsid w:val="1118ACD4"/>
    <w:rsid w:val="113007E2"/>
    <w:rsid w:val="11336408"/>
    <w:rsid w:val="11336616"/>
    <w:rsid w:val="1136DB19"/>
    <w:rsid w:val="11399A85"/>
    <w:rsid w:val="113CD9AA"/>
    <w:rsid w:val="114626B2"/>
    <w:rsid w:val="114F2BE3"/>
    <w:rsid w:val="114F3A6B"/>
    <w:rsid w:val="1155F961"/>
    <w:rsid w:val="115AA5F4"/>
    <w:rsid w:val="115F929F"/>
    <w:rsid w:val="1160FDFF"/>
    <w:rsid w:val="11613617"/>
    <w:rsid w:val="116C5FF7"/>
    <w:rsid w:val="11727D8E"/>
    <w:rsid w:val="1172C89B"/>
    <w:rsid w:val="1173B9F5"/>
    <w:rsid w:val="117F7DC0"/>
    <w:rsid w:val="1181AF66"/>
    <w:rsid w:val="118E9EAA"/>
    <w:rsid w:val="119C3116"/>
    <w:rsid w:val="11B43266"/>
    <w:rsid w:val="11CAE3EA"/>
    <w:rsid w:val="11D0252E"/>
    <w:rsid w:val="11D4DFBD"/>
    <w:rsid w:val="11DAAB64"/>
    <w:rsid w:val="11E14313"/>
    <w:rsid w:val="11F8B91B"/>
    <w:rsid w:val="11FAFD76"/>
    <w:rsid w:val="1216745C"/>
    <w:rsid w:val="1220C87E"/>
    <w:rsid w:val="12229099"/>
    <w:rsid w:val="1233401B"/>
    <w:rsid w:val="1233C805"/>
    <w:rsid w:val="123C178A"/>
    <w:rsid w:val="1251E88D"/>
    <w:rsid w:val="1258FA52"/>
    <w:rsid w:val="1258FF24"/>
    <w:rsid w:val="125C572F"/>
    <w:rsid w:val="125FCD81"/>
    <w:rsid w:val="126737CE"/>
    <w:rsid w:val="126DCA35"/>
    <w:rsid w:val="126DD622"/>
    <w:rsid w:val="1274E844"/>
    <w:rsid w:val="12756523"/>
    <w:rsid w:val="127E37E2"/>
    <w:rsid w:val="1297DD80"/>
    <w:rsid w:val="129AD2D8"/>
    <w:rsid w:val="12B03C60"/>
    <w:rsid w:val="12B6D395"/>
    <w:rsid w:val="12C6F8F7"/>
    <w:rsid w:val="12C87A5A"/>
    <w:rsid w:val="12CF8B0F"/>
    <w:rsid w:val="12D3AAF2"/>
    <w:rsid w:val="12E05242"/>
    <w:rsid w:val="12E4A860"/>
    <w:rsid w:val="12E6999A"/>
    <w:rsid w:val="130806FF"/>
    <w:rsid w:val="13097736"/>
    <w:rsid w:val="130E8D82"/>
    <w:rsid w:val="1311F024"/>
    <w:rsid w:val="131452F9"/>
    <w:rsid w:val="132383C4"/>
    <w:rsid w:val="132D6223"/>
    <w:rsid w:val="1330ECAC"/>
    <w:rsid w:val="133A7EAB"/>
    <w:rsid w:val="13435A4F"/>
    <w:rsid w:val="134ACD9D"/>
    <w:rsid w:val="1363EE7D"/>
    <w:rsid w:val="136C9BF8"/>
    <w:rsid w:val="1380FECE"/>
    <w:rsid w:val="1383687D"/>
    <w:rsid w:val="138444A2"/>
    <w:rsid w:val="139EA4C0"/>
    <w:rsid w:val="13A067EB"/>
    <w:rsid w:val="13A36390"/>
    <w:rsid w:val="13A7C6AC"/>
    <w:rsid w:val="13C29AF5"/>
    <w:rsid w:val="13C48F57"/>
    <w:rsid w:val="13D09032"/>
    <w:rsid w:val="13E4A85C"/>
    <w:rsid w:val="13E8DA7E"/>
    <w:rsid w:val="13EEFC3B"/>
    <w:rsid w:val="13F5089A"/>
    <w:rsid w:val="140CBEF4"/>
    <w:rsid w:val="140FC750"/>
    <w:rsid w:val="14293253"/>
    <w:rsid w:val="142CD630"/>
    <w:rsid w:val="1433D284"/>
    <w:rsid w:val="144963A5"/>
    <w:rsid w:val="145CA44D"/>
    <w:rsid w:val="145E0A57"/>
    <w:rsid w:val="14615C17"/>
    <w:rsid w:val="147969AA"/>
    <w:rsid w:val="147D3F31"/>
    <w:rsid w:val="148D9AE3"/>
    <w:rsid w:val="149B09C7"/>
    <w:rsid w:val="14A67940"/>
    <w:rsid w:val="14B1C5D1"/>
    <w:rsid w:val="14B2C243"/>
    <w:rsid w:val="14B7D385"/>
    <w:rsid w:val="14BB2FDD"/>
    <w:rsid w:val="14CC30FB"/>
    <w:rsid w:val="14D9EAFE"/>
    <w:rsid w:val="14DB4CDC"/>
    <w:rsid w:val="14E974A7"/>
    <w:rsid w:val="14E9B904"/>
    <w:rsid w:val="14F4B1A7"/>
    <w:rsid w:val="14F9E4B2"/>
    <w:rsid w:val="14FE3116"/>
    <w:rsid w:val="1502E953"/>
    <w:rsid w:val="1507F088"/>
    <w:rsid w:val="15161C68"/>
    <w:rsid w:val="15177E29"/>
    <w:rsid w:val="1517AE9C"/>
    <w:rsid w:val="151CD296"/>
    <w:rsid w:val="15249D67"/>
    <w:rsid w:val="1525A3DD"/>
    <w:rsid w:val="15269D17"/>
    <w:rsid w:val="153A7CAE"/>
    <w:rsid w:val="153E8C87"/>
    <w:rsid w:val="153ED8D7"/>
    <w:rsid w:val="15438EDB"/>
    <w:rsid w:val="154C6E10"/>
    <w:rsid w:val="15502068"/>
    <w:rsid w:val="15524AEF"/>
    <w:rsid w:val="15559631"/>
    <w:rsid w:val="1564129E"/>
    <w:rsid w:val="15825A6A"/>
    <w:rsid w:val="1598AD8C"/>
    <w:rsid w:val="159E928E"/>
    <w:rsid w:val="15A6BFF2"/>
    <w:rsid w:val="15B2740D"/>
    <w:rsid w:val="15B3C777"/>
    <w:rsid w:val="15B4CE67"/>
    <w:rsid w:val="15BBF11A"/>
    <w:rsid w:val="15BBFBC7"/>
    <w:rsid w:val="15C43C9E"/>
    <w:rsid w:val="15C88651"/>
    <w:rsid w:val="15CAC271"/>
    <w:rsid w:val="15D8F9A0"/>
    <w:rsid w:val="15E3DD00"/>
    <w:rsid w:val="15E8131F"/>
    <w:rsid w:val="15E8CF40"/>
    <w:rsid w:val="15E9F7B7"/>
    <w:rsid w:val="15EA9FD4"/>
    <w:rsid w:val="15ED5DFA"/>
    <w:rsid w:val="15F0A429"/>
    <w:rsid w:val="15FE428B"/>
    <w:rsid w:val="1600FEC9"/>
    <w:rsid w:val="1601AD23"/>
    <w:rsid w:val="16082F4A"/>
    <w:rsid w:val="161332AB"/>
    <w:rsid w:val="16196DBE"/>
    <w:rsid w:val="1628408A"/>
    <w:rsid w:val="1634C0CB"/>
    <w:rsid w:val="163BEAF0"/>
    <w:rsid w:val="1647307D"/>
    <w:rsid w:val="164CF6F3"/>
    <w:rsid w:val="165E757D"/>
    <w:rsid w:val="165F67DA"/>
    <w:rsid w:val="1661D789"/>
    <w:rsid w:val="166272AE"/>
    <w:rsid w:val="1662BA6C"/>
    <w:rsid w:val="1665ED28"/>
    <w:rsid w:val="1666A86E"/>
    <w:rsid w:val="167428E0"/>
    <w:rsid w:val="167658E7"/>
    <w:rsid w:val="167666FB"/>
    <w:rsid w:val="167BB0C4"/>
    <w:rsid w:val="1680DAC8"/>
    <w:rsid w:val="168A8131"/>
    <w:rsid w:val="168BEF7C"/>
    <w:rsid w:val="16937CF9"/>
    <w:rsid w:val="1694C958"/>
    <w:rsid w:val="16A242B6"/>
    <w:rsid w:val="16A46CEB"/>
    <w:rsid w:val="16AB0249"/>
    <w:rsid w:val="16AEEBC3"/>
    <w:rsid w:val="16B37DAB"/>
    <w:rsid w:val="16BE8A60"/>
    <w:rsid w:val="16C488E3"/>
    <w:rsid w:val="16CFDA83"/>
    <w:rsid w:val="16D4C70F"/>
    <w:rsid w:val="16E4BB90"/>
    <w:rsid w:val="16EC8864"/>
    <w:rsid w:val="16F2F0B1"/>
    <w:rsid w:val="16F35691"/>
    <w:rsid w:val="16F5BF24"/>
    <w:rsid w:val="17000AC6"/>
    <w:rsid w:val="171587FD"/>
    <w:rsid w:val="172E624A"/>
    <w:rsid w:val="1733EBBE"/>
    <w:rsid w:val="17406396"/>
    <w:rsid w:val="1741AF76"/>
    <w:rsid w:val="17459CC1"/>
    <w:rsid w:val="174E8A78"/>
    <w:rsid w:val="1750D841"/>
    <w:rsid w:val="175853CD"/>
    <w:rsid w:val="175F7B28"/>
    <w:rsid w:val="1761E7BD"/>
    <w:rsid w:val="1762BFCC"/>
    <w:rsid w:val="1763B8BD"/>
    <w:rsid w:val="1767DE7E"/>
    <w:rsid w:val="177C24DF"/>
    <w:rsid w:val="1780E064"/>
    <w:rsid w:val="17837D56"/>
    <w:rsid w:val="178F874F"/>
    <w:rsid w:val="17A8DCC0"/>
    <w:rsid w:val="17AA6631"/>
    <w:rsid w:val="17B97BEB"/>
    <w:rsid w:val="17C3A80E"/>
    <w:rsid w:val="17DB322D"/>
    <w:rsid w:val="17DC0155"/>
    <w:rsid w:val="17DC99F8"/>
    <w:rsid w:val="18035EC4"/>
    <w:rsid w:val="18045BF9"/>
    <w:rsid w:val="1808900A"/>
    <w:rsid w:val="180D9E4E"/>
    <w:rsid w:val="180E32D9"/>
    <w:rsid w:val="1812A3DA"/>
    <w:rsid w:val="1815CDD7"/>
    <w:rsid w:val="182198BF"/>
    <w:rsid w:val="18253027"/>
    <w:rsid w:val="18264133"/>
    <w:rsid w:val="1826BD6D"/>
    <w:rsid w:val="1826FB73"/>
    <w:rsid w:val="1834D767"/>
    <w:rsid w:val="1839D5D7"/>
    <w:rsid w:val="183EAD62"/>
    <w:rsid w:val="1842DC42"/>
    <w:rsid w:val="184EA157"/>
    <w:rsid w:val="185D8748"/>
    <w:rsid w:val="18628055"/>
    <w:rsid w:val="186CE46C"/>
    <w:rsid w:val="187253F3"/>
    <w:rsid w:val="1872C703"/>
    <w:rsid w:val="187739E0"/>
    <w:rsid w:val="187994BA"/>
    <w:rsid w:val="188243B3"/>
    <w:rsid w:val="188CB4DE"/>
    <w:rsid w:val="1895541E"/>
    <w:rsid w:val="18971AD5"/>
    <w:rsid w:val="189EB5BE"/>
    <w:rsid w:val="18B7C784"/>
    <w:rsid w:val="18BB8C8F"/>
    <w:rsid w:val="18BE7FF6"/>
    <w:rsid w:val="18C999D3"/>
    <w:rsid w:val="18CBC190"/>
    <w:rsid w:val="18E13BDC"/>
    <w:rsid w:val="18E25B1B"/>
    <w:rsid w:val="18E6614C"/>
    <w:rsid w:val="18EA9B18"/>
    <w:rsid w:val="18F413F9"/>
    <w:rsid w:val="18F9CD9B"/>
    <w:rsid w:val="18FCE8F4"/>
    <w:rsid w:val="1907D430"/>
    <w:rsid w:val="1909705B"/>
    <w:rsid w:val="1913D998"/>
    <w:rsid w:val="19166C94"/>
    <w:rsid w:val="19178A76"/>
    <w:rsid w:val="19191C30"/>
    <w:rsid w:val="1921A915"/>
    <w:rsid w:val="192DED4A"/>
    <w:rsid w:val="19351E9C"/>
    <w:rsid w:val="193E0812"/>
    <w:rsid w:val="193EEB72"/>
    <w:rsid w:val="193FF5D7"/>
    <w:rsid w:val="19431935"/>
    <w:rsid w:val="194C7AF9"/>
    <w:rsid w:val="19550B60"/>
    <w:rsid w:val="1960A75F"/>
    <w:rsid w:val="196BD5CE"/>
    <w:rsid w:val="19708D57"/>
    <w:rsid w:val="19752B88"/>
    <w:rsid w:val="197F956E"/>
    <w:rsid w:val="198B5B2B"/>
    <w:rsid w:val="1990AC4C"/>
    <w:rsid w:val="19916B94"/>
    <w:rsid w:val="199A4B76"/>
    <w:rsid w:val="199C552E"/>
    <w:rsid w:val="19A7A255"/>
    <w:rsid w:val="19A9A26D"/>
    <w:rsid w:val="19ABD3F0"/>
    <w:rsid w:val="19B1D00C"/>
    <w:rsid w:val="19B3B6B3"/>
    <w:rsid w:val="19B3F7FA"/>
    <w:rsid w:val="19BF0253"/>
    <w:rsid w:val="19C92299"/>
    <w:rsid w:val="19D27497"/>
    <w:rsid w:val="19D627A5"/>
    <w:rsid w:val="19DE834A"/>
    <w:rsid w:val="19E5466A"/>
    <w:rsid w:val="19E65BE3"/>
    <w:rsid w:val="19E6E4F8"/>
    <w:rsid w:val="19EE4433"/>
    <w:rsid w:val="19F32084"/>
    <w:rsid w:val="19F77E2C"/>
    <w:rsid w:val="1A009EE9"/>
    <w:rsid w:val="1A01675B"/>
    <w:rsid w:val="1A028E21"/>
    <w:rsid w:val="1A02929A"/>
    <w:rsid w:val="1A0B9BE0"/>
    <w:rsid w:val="1A0F4805"/>
    <w:rsid w:val="1A20CAF1"/>
    <w:rsid w:val="1A235D64"/>
    <w:rsid w:val="1A24AE39"/>
    <w:rsid w:val="1A28B3FB"/>
    <w:rsid w:val="1A31DE79"/>
    <w:rsid w:val="1A35BBC7"/>
    <w:rsid w:val="1A3BAB87"/>
    <w:rsid w:val="1A3DD52E"/>
    <w:rsid w:val="1A3FF86F"/>
    <w:rsid w:val="1A4A66A0"/>
    <w:rsid w:val="1A4F4E21"/>
    <w:rsid w:val="1A557C02"/>
    <w:rsid w:val="1A586946"/>
    <w:rsid w:val="1A61B841"/>
    <w:rsid w:val="1A630B99"/>
    <w:rsid w:val="1A68F745"/>
    <w:rsid w:val="1A821E19"/>
    <w:rsid w:val="1A87CCD1"/>
    <w:rsid w:val="1A97BB9C"/>
    <w:rsid w:val="1A9A2110"/>
    <w:rsid w:val="1A9D5B92"/>
    <w:rsid w:val="1A9F8B54"/>
    <w:rsid w:val="1AA521E9"/>
    <w:rsid w:val="1AA7D005"/>
    <w:rsid w:val="1AAE0159"/>
    <w:rsid w:val="1AE362BA"/>
    <w:rsid w:val="1AE68CAB"/>
    <w:rsid w:val="1AEA6120"/>
    <w:rsid w:val="1AF14288"/>
    <w:rsid w:val="1AF161EC"/>
    <w:rsid w:val="1AF7882D"/>
    <w:rsid w:val="1B036C62"/>
    <w:rsid w:val="1B13AECA"/>
    <w:rsid w:val="1B15C98B"/>
    <w:rsid w:val="1B1630FE"/>
    <w:rsid w:val="1B24DEA6"/>
    <w:rsid w:val="1B26F22B"/>
    <w:rsid w:val="1B29898D"/>
    <w:rsid w:val="1B3ECE1A"/>
    <w:rsid w:val="1B4345EE"/>
    <w:rsid w:val="1B44B065"/>
    <w:rsid w:val="1B4BBF87"/>
    <w:rsid w:val="1B4D4E49"/>
    <w:rsid w:val="1B653B27"/>
    <w:rsid w:val="1B760AFB"/>
    <w:rsid w:val="1B78C208"/>
    <w:rsid w:val="1B818DAA"/>
    <w:rsid w:val="1B9C96E9"/>
    <w:rsid w:val="1B9EDB9E"/>
    <w:rsid w:val="1BA5BD96"/>
    <w:rsid w:val="1BA8E7C9"/>
    <w:rsid w:val="1BB629DD"/>
    <w:rsid w:val="1BB63475"/>
    <w:rsid w:val="1BB6DC2D"/>
    <w:rsid w:val="1BC209B6"/>
    <w:rsid w:val="1BC63B06"/>
    <w:rsid w:val="1BCA0444"/>
    <w:rsid w:val="1BCBD89E"/>
    <w:rsid w:val="1BCE8C81"/>
    <w:rsid w:val="1BD0D72E"/>
    <w:rsid w:val="1BD33AAE"/>
    <w:rsid w:val="1BE3D33E"/>
    <w:rsid w:val="1BF60840"/>
    <w:rsid w:val="1BFE89AA"/>
    <w:rsid w:val="1C033C36"/>
    <w:rsid w:val="1C03AED2"/>
    <w:rsid w:val="1C0D2ED6"/>
    <w:rsid w:val="1C23955F"/>
    <w:rsid w:val="1C241AA9"/>
    <w:rsid w:val="1C419BCC"/>
    <w:rsid w:val="1C5738D0"/>
    <w:rsid w:val="1C591799"/>
    <w:rsid w:val="1C65090E"/>
    <w:rsid w:val="1C705B56"/>
    <w:rsid w:val="1C73F01D"/>
    <w:rsid w:val="1C7C7E8E"/>
    <w:rsid w:val="1C7E4BDE"/>
    <w:rsid w:val="1C826F4B"/>
    <w:rsid w:val="1C874693"/>
    <w:rsid w:val="1C961223"/>
    <w:rsid w:val="1C9EF21F"/>
    <w:rsid w:val="1CA75C1F"/>
    <w:rsid w:val="1CAE25F2"/>
    <w:rsid w:val="1CB207F6"/>
    <w:rsid w:val="1CCB3E61"/>
    <w:rsid w:val="1CD18C59"/>
    <w:rsid w:val="1CDBD8CE"/>
    <w:rsid w:val="1CE7EE50"/>
    <w:rsid w:val="1CEF8503"/>
    <w:rsid w:val="1CF98E9B"/>
    <w:rsid w:val="1D0289C3"/>
    <w:rsid w:val="1D03AB34"/>
    <w:rsid w:val="1D03FA1F"/>
    <w:rsid w:val="1D05A359"/>
    <w:rsid w:val="1D0A051C"/>
    <w:rsid w:val="1D19B537"/>
    <w:rsid w:val="1D1D641F"/>
    <w:rsid w:val="1D2A882C"/>
    <w:rsid w:val="1D2F47C7"/>
    <w:rsid w:val="1D3A37E9"/>
    <w:rsid w:val="1D54F933"/>
    <w:rsid w:val="1D5AA1DF"/>
    <w:rsid w:val="1D62AD07"/>
    <w:rsid w:val="1D636529"/>
    <w:rsid w:val="1D646DFB"/>
    <w:rsid w:val="1D69FD77"/>
    <w:rsid w:val="1D6DA81B"/>
    <w:rsid w:val="1D7C2F54"/>
    <w:rsid w:val="1D9A2533"/>
    <w:rsid w:val="1DACC3D2"/>
    <w:rsid w:val="1DB1FC44"/>
    <w:rsid w:val="1DCD84E3"/>
    <w:rsid w:val="1DE10FEF"/>
    <w:rsid w:val="1DF0B7AF"/>
    <w:rsid w:val="1DFEA6C1"/>
    <w:rsid w:val="1E0978E0"/>
    <w:rsid w:val="1E1B8BD3"/>
    <w:rsid w:val="1E1DDC76"/>
    <w:rsid w:val="1E2C9E2F"/>
    <w:rsid w:val="1E348AE6"/>
    <w:rsid w:val="1E3A43D6"/>
    <w:rsid w:val="1E3FA914"/>
    <w:rsid w:val="1E49F541"/>
    <w:rsid w:val="1E4CB22A"/>
    <w:rsid w:val="1E4DBB95"/>
    <w:rsid w:val="1E5013DF"/>
    <w:rsid w:val="1E621BF5"/>
    <w:rsid w:val="1E832210"/>
    <w:rsid w:val="1E8A380F"/>
    <w:rsid w:val="1E92D1CE"/>
    <w:rsid w:val="1E92D7C3"/>
    <w:rsid w:val="1E966D99"/>
    <w:rsid w:val="1E984FAC"/>
    <w:rsid w:val="1E98A32B"/>
    <w:rsid w:val="1E99A081"/>
    <w:rsid w:val="1E9B6D91"/>
    <w:rsid w:val="1EA59B39"/>
    <w:rsid w:val="1EA87775"/>
    <w:rsid w:val="1EA89FC0"/>
    <w:rsid w:val="1EB881CC"/>
    <w:rsid w:val="1EBAE379"/>
    <w:rsid w:val="1ECEE0C6"/>
    <w:rsid w:val="1ED00625"/>
    <w:rsid w:val="1ED962C5"/>
    <w:rsid w:val="1EDAD931"/>
    <w:rsid w:val="1EDEE7EF"/>
    <w:rsid w:val="1EEAC679"/>
    <w:rsid w:val="1EEBF569"/>
    <w:rsid w:val="1EFC5A69"/>
    <w:rsid w:val="1EFF4524"/>
    <w:rsid w:val="1F024BFF"/>
    <w:rsid w:val="1F02B650"/>
    <w:rsid w:val="1F05FAE4"/>
    <w:rsid w:val="1F114651"/>
    <w:rsid w:val="1F18D7A3"/>
    <w:rsid w:val="1F1C9921"/>
    <w:rsid w:val="1F1F95E1"/>
    <w:rsid w:val="1F289573"/>
    <w:rsid w:val="1F38D202"/>
    <w:rsid w:val="1F419DB6"/>
    <w:rsid w:val="1F44998C"/>
    <w:rsid w:val="1F504E55"/>
    <w:rsid w:val="1F60E9CA"/>
    <w:rsid w:val="1F61F569"/>
    <w:rsid w:val="1F639835"/>
    <w:rsid w:val="1F658255"/>
    <w:rsid w:val="1F684A5A"/>
    <w:rsid w:val="1F83AF86"/>
    <w:rsid w:val="1F88662E"/>
    <w:rsid w:val="1F8E0045"/>
    <w:rsid w:val="1FA1B459"/>
    <w:rsid w:val="1FBC541C"/>
    <w:rsid w:val="1FC4636A"/>
    <w:rsid w:val="1FD521E7"/>
    <w:rsid w:val="1FD7703E"/>
    <w:rsid w:val="1FD88EA4"/>
    <w:rsid w:val="1FE8DD82"/>
    <w:rsid w:val="1FEBAFC2"/>
    <w:rsid w:val="1FEC538A"/>
    <w:rsid w:val="2001B6CF"/>
    <w:rsid w:val="2001CC18"/>
    <w:rsid w:val="20080A6D"/>
    <w:rsid w:val="200A0D8F"/>
    <w:rsid w:val="200F4F1E"/>
    <w:rsid w:val="2022181F"/>
    <w:rsid w:val="204904C7"/>
    <w:rsid w:val="204E1D72"/>
    <w:rsid w:val="20511259"/>
    <w:rsid w:val="20541DC2"/>
    <w:rsid w:val="2054CE08"/>
    <w:rsid w:val="205BDE53"/>
    <w:rsid w:val="205FA7ED"/>
    <w:rsid w:val="2063E773"/>
    <w:rsid w:val="20733F7C"/>
    <w:rsid w:val="2074BE10"/>
    <w:rsid w:val="2075C46E"/>
    <w:rsid w:val="207C0FE3"/>
    <w:rsid w:val="207F0BA5"/>
    <w:rsid w:val="2082AEDB"/>
    <w:rsid w:val="20861AEB"/>
    <w:rsid w:val="2089B6F6"/>
    <w:rsid w:val="208A6218"/>
    <w:rsid w:val="20AD16B2"/>
    <w:rsid w:val="20B96A3A"/>
    <w:rsid w:val="20C39323"/>
    <w:rsid w:val="20D07B20"/>
    <w:rsid w:val="20D1B67D"/>
    <w:rsid w:val="20D9B040"/>
    <w:rsid w:val="20DCCCBD"/>
    <w:rsid w:val="20E3ACA6"/>
    <w:rsid w:val="20EFDDCD"/>
    <w:rsid w:val="20F07DFA"/>
    <w:rsid w:val="2102DA9C"/>
    <w:rsid w:val="21034122"/>
    <w:rsid w:val="210F87BD"/>
    <w:rsid w:val="211D4669"/>
    <w:rsid w:val="21207888"/>
    <w:rsid w:val="212BF3CF"/>
    <w:rsid w:val="212D8968"/>
    <w:rsid w:val="212E3FA1"/>
    <w:rsid w:val="2132E438"/>
    <w:rsid w:val="2136D604"/>
    <w:rsid w:val="2139F665"/>
    <w:rsid w:val="214DCFC0"/>
    <w:rsid w:val="215B56BB"/>
    <w:rsid w:val="216D5B3C"/>
    <w:rsid w:val="21723F9A"/>
    <w:rsid w:val="21769968"/>
    <w:rsid w:val="21797648"/>
    <w:rsid w:val="217F1214"/>
    <w:rsid w:val="218169E7"/>
    <w:rsid w:val="218B0836"/>
    <w:rsid w:val="218C02D5"/>
    <w:rsid w:val="218FC189"/>
    <w:rsid w:val="218FE3AD"/>
    <w:rsid w:val="21909AED"/>
    <w:rsid w:val="2190D9EB"/>
    <w:rsid w:val="219188F1"/>
    <w:rsid w:val="219B614C"/>
    <w:rsid w:val="219C6488"/>
    <w:rsid w:val="21A04733"/>
    <w:rsid w:val="21A20512"/>
    <w:rsid w:val="21AB9431"/>
    <w:rsid w:val="21AE15E5"/>
    <w:rsid w:val="21B10E93"/>
    <w:rsid w:val="21B4C511"/>
    <w:rsid w:val="21BA6326"/>
    <w:rsid w:val="21C19C65"/>
    <w:rsid w:val="21C4074C"/>
    <w:rsid w:val="21EF8748"/>
    <w:rsid w:val="21F3A233"/>
    <w:rsid w:val="21F3AA28"/>
    <w:rsid w:val="21F869A9"/>
    <w:rsid w:val="22007955"/>
    <w:rsid w:val="22020972"/>
    <w:rsid w:val="22091984"/>
    <w:rsid w:val="22149EFD"/>
    <w:rsid w:val="2217F949"/>
    <w:rsid w:val="221F0652"/>
    <w:rsid w:val="22227B4B"/>
    <w:rsid w:val="2222D6EC"/>
    <w:rsid w:val="223066BC"/>
    <w:rsid w:val="2232B34A"/>
    <w:rsid w:val="22377AD3"/>
    <w:rsid w:val="22390B73"/>
    <w:rsid w:val="223C5DE2"/>
    <w:rsid w:val="224BB4E5"/>
    <w:rsid w:val="2258B14A"/>
    <w:rsid w:val="2260558A"/>
    <w:rsid w:val="22609F94"/>
    <w:rsid w:val="226E4E96"/>
    <w:rsid w:val="226F9D03"/>
    <w:rsid w:val="227279F0"/>
    <w:rsid w:val="228E62C2"/>
    <w:rsid w:val="22963624"/>
    <w:rsid w:val="2299E7A2"/>
    <w:rsid w:val="22B35453"/>
    <w:rsid w:val="22C3DB23"/>
    <w:rsid w:val="22C70BF5"/>
    <w:rsid w:val="22C8DE04"/>
    <w:rsid w:val="22D6E0DC"/>
    <w:rsid w:val="22DA18B7"/>
    <w:rsid w:val="22DFDC8A"/>
    <w:rsid w:val="22E109A0"/>
    <w:rsid w:val="22E3E4C8"/>
    <w:rsid w:val="22EC03C7"/>
    <w:rsid w:val="22EDCEBB"/>
    <w:rsid w:val="22F036F4"/>
    <w:rsid w:val="22F45A24"/>
    <w:rsid w:val="2303FA5C"/>
    <w:rsid w:val="230489B5"/>
    <w:rsid w:val="230DD0CD"/>
    <w:rsid w:val="2312A6D6"/>
    <w:rsid w:val="23178491"/>
    <w:rsid w:val="231FE7B9"/>
    <w:rsid w:val="232341B8"/>
    <w:rsid w:val="23243E00"/>
    <w:rsid w:val="23259A3C"/>
    <w:rsid w:val="232D9AAB"/>
    <w:rsid w:val="2331A6A1"/>
    <w:rsid w:val="2341709C"/>
    <w:rsid w:val="2343DDDB"/>
    <w:rsid w:val="23481423"/>
    <w:rsid w:val="23537052"/>
    <w:rsid w:val="235C5E95"/>
    <w:rsid w:val="23892109"/>
    <w:rsid w:val="2389F82D"/>
    <w:rsid w:val="238D5B21"/>
    <w:rsid w:val="2391E36E"/>
    <w:rsid w:val="2396BDC0"/>
    <w:rsid w:val="239C89B4"/>
    <w:rsid w:val="23A7721E"/>
    <w:rsid w:val="23ACBFB5"/>
    <w:rsid w:val="23B2A7B3"/>
    <w:rsid w:val="23B6CD11"/>
    <w:rsid w:val="23BC1D28"/>
    <w:rsid w:val="23C0B8CA"/>
    <w:rsid w:val="23C10523"/>
    <w:rsid w:val="23CBF7BF"/>
    <w:rsid w:val="23CCBC24"/>
    <w:rsid w:val="23D04E98"/>
    <w:rsid w:val="23DEB50C"/>
    <w:rsid w:val="23E092D8"/>
    <w:rsid w:val="23E0E39D"/>
    <w:rsid w:val="23E1BCC6"/>
    <w:rsid w:val="23EEBF90"/>
    <w:rsid w:val="23F36700"/>
    <w:rsid w:val="23FB91B5"/>
    <w:rsid w:val="240244EA"/>
    <w:rsid w:val="2408ACC0"/>
    <w:rsid w:val="240AA552"/>
    <w:rsid w:val="240AE2C5"/>
    <w:rsid w:val="2414A702"/>
    <w:rsid w:val="2415E443"/>
    <w:rsid w:val="2415E4F4"/>
    <w:rsid w:val="241F1C91"/>
    <w:rsid w:val="2420E4C8"/>
    <w:rsid w:val="24351708"/>
    <w:rsid w:val="24520413"/>
    <w:rsid w:val="245EB7EA"/>
    <w:rsid w:val="245EBE34"/>
    <w:rsid w:val="24645C17"/>
    <w:rsid w:val="24712F17"/>
    <w:rsid w:val="247ED5EF"/>
    <w:rsid w:val="249841C6"/>
    <w:rsid w:val="249969AA"/>
    <w:rsid w:val="24A2F8C6"/>
    <w:rsid w:val="24ACD340"/>
    <w:rsid w:val="24B54CC8"/>
    <w:rsid w:val="24B78F52"/>
    <w:rsid w:val="24D1B73D"/>
    <w:rsid w:val="24D223B4"/>
    <w:rsid w:val="24D682DC"/>
    <w:rsid w:val="24D9C0B8"/>
    <w:rsid w:val="24DBD081"/>
    <w:rsid w:val="24DD8E64"/>
    <w:rsid w:val="24EFA4A0"/>
    <w:rsid w:val="24F369F9"/>
    <w:rsid w:val="24FB7DE8"/>
    <w:rsid w:val="2508DCC6"/>
    <w:rsid w:val="250D5C2C"/>
    <w:rsid w:val="250E6076"/>
    <w:rsid w:val="25161CB0"/>
    <w:rsid w:val="25294FE4"/>
    <w:rsid w:val="2532AC9F"/>
    <w:rsid w:val="25349CF7"/>
    <w:rsid w:val="253A63A4"/>
    <w:rsid w:val="253F6488"/>
    <w:rsid w:val="254B02CD"/>
    <w:rsid w:val="25531791"/>
    <w:rsid w:val="25575F5C"/>
    <w:rsid w:val="25612E84"/>
    <w:rsid w:val="2563A1B4"/>
    <w:rsid w:val="25679F47"/>
    <w:rsid w:val="25694905"/>
    <w:rsid w:val="256CD934"/>
    <w:rsid w:val="25753D32"/>
    <w:rsid w:val="257ED2F4"/>
    <w:rsid w:val="257F2C79"/>
    <w:rsid w:val="258AF6F6"/>
    <w:rsid w:val="258B8E6E"/>
    <w:rsid w:val="25932FB8"/>
    <w:rsid w:val="25A3F84D"/>
    <w:rsid w:val="25A891E5"/>
    <w:rsid w:val="25B946F9"/>
    <w:rsid w:val="25C45D29"/>
    <w:rsid w:val="25C70440"/>
    <w:rsid w:val="25C86416"/>
    <w:rsid w:val="25CACD7E"/>
    <w:rsid w:val="25D2482D"/>
    <w:rsid w:val="25D8D790"/>
    <w:rsid w:val="25DA1E9F"/>
    <w:rsid w:val="25DA6DD6"/>
    <w:rsid w:val="25DBB2D5"/>
    <w:rsid w:val="25DE3C74"/>
    <w:rsid w:val="25E97D96"/>
    <w:rsid w:val="25EC0A6B"/>
    <w:rsid w:val="25F2E26C"/>
    <w:rsid w:val="25F9B72C"/>
    <w:rsid w:val="260A627B"/>
    <w:rsid w:val="2610D028"/>
    <w:rsid w:val="261586E4"/>
    <w:rsid w:val="2621D1C5"/>
    <w:rsid w:val="2622786F"/>
    <w:rsid w:val="2623F03B"/>
    <w:rsid w:val="2630F12D"/>
    <w:rsid w:val="26362FAF"/>
    <w:rsid w:val="263964EF"/>
    <w:rsid w:val="26398925"/>
    <w:rsid w:val="2639CCA5"/>
    <w:rsid w:val="263D127E"/>
    <w:rsid w:val="264D4CBC"/>
    <w:rsid w:val="264FA46D"/>
    <w:rsid w:val="2651D587"/>
    <w:rsid w:val="2651D653"/>
    <w:rsid w:val="2661665C"/>
    <w:rsid w:val="2669C767"/>
    <w:rsid w:val="266A9452"/>
    <w:rsid w:val="266CF232"/>
    <w:rsid w:val="2671DD86"/>
    <w:rsid w:val="267C7B43"/>
    <w:rsid w:val="2684BB56"/>
    <w:rsid w:val="2689D83A"/>
    <w:rsid w:val="269ECCA5"/>
    <w:rsid w:val="26B59817"/>
    <w:rsid w:val="26BEEE9D"/>
    <w:rsid w:val="26C5C27C"/>
    <w:rsid w:val="26C97CEC"/>
    <w:rsid w:val="26CD7CEB"/>
    <w:rsid w:val="26D69866"/>
    <w:rsid w:val="26D6DFBB"/>
    <w:rsid w:val="26DCBFCA"/>
    <w:rsid w:val="26E03680"/>
    <w:rsid w:val="26EA4775"/>
    <w:rsid w:val="26F1214D"/>
    <w:rsid w:val="2707AE5D"/>
    <w:rsid w:val="27103A43"/>
    <w:rsid w:val="2715277B"/>
    <w:rsid w:val="2726A545"/>
    <w:rsid w:val="272F30D1"/>
    <w:rsid w:val="27308501"/>
    <w:rsid w:val="27311E36"/>
    <w:rsid w:val="27571DB5"/>
    <w:rsid w:val="27613EAC"/>
    <w:rsid w:val="27684ADB"/>
    <w:rsid w:val="278CF598"/>
    <w:rsid w:val="27AA3C85"/>
    <w:rsid w:val="27B0CC5B"/>
    <w:rsid w:val="27C6BA65"/>
    <w:rsid w:val="27CF963C"/>
    <w:rsid w:val="27D1193A"/>
    <w:rsid w:val="27D1F68E"/>
    <w:rsid w:val="27DAC8F2"/>
    <w:rsid w:val="27EB4ABD"/>
    <w:rsid w:val="27EED760"/>
    <w:rsid w:val="27FC882D"/>
    <w:rsid w:val="28010755"/>
    <w:rsid w:val="28021861"/>
    <w:rsid w:val="28024FC7"/>
    <w:rsid w:val="281BEE75"/>
    <w:rsid w:val="281FBEE6"/>
    <w:rsid w:val="28234D35"/>
    <w:rsid w:val="28255672"/>
    <w:rsid w:val="282F61EC"/>
    <w:rsid w:val="28356BEC"/>
    <w:rsid w:val="2838A389"/>
    <w:rsid w:val="283995F2"/>
    <w:rsid w:val="284838AA"/>
    <w:rsid w:val="284D86B1"/>
    <w:rsid w:val="2852E7BC"/>
    <w:rsid w:val="285514F9"/>
    <w:rsid w:val="285D7B4B"/>
    <w:rsid w:val="28634EF1"/>
    <w:rsid w:val="286AE129"/>
    <w:rsid w:val="2878899B"/>
    <w:rsid w:val="287AE341"/>
    <w:rsid w:val="287B1E4C"/>
    <w:rsid w:val="287EDAD1"/>
    <w:rsid w:val="28806C96"/>
    <w:rsid w:val="28872C7E"/>
    <w:rsid w:val="288D085A"/>
    <w:rsid w:val="2894B42C"/>
    <w:rsid w:val="28961772"/>
    <w:rsid w:val="2898F4BB"/>
    <w:rsid w:val="28ADD285"/>
    <w:rsid w:val="28AF167A"/>
    <w:rsid w:val="28C62E25"/>
    <w:rsid w:val="28C92DBA"/>
    <w:rsid w:val="28D12AE3"/>
    <w:rsid w:val="28DA77BA"/>
    <w:rsid w:val="28DD1D81"/>
    <w:rsid w:val="28F177A2"/>
    <w:rsid w:val="28F39BE1"/>
    <w:rsid w:val="28F3BF36"/>
    <w:rsid w:val="28F8B8C2"/>
    <w:rsid w:val="28F9A8B7"/>
    <w:rsid w:val="28FDE64C"/>
    <w:rsid w:val="290CB27A"/>
    <w:rsid w:val="2913DE5C"/>
    <w:rsid w:val="29231148"/>
    <w:rsid w:val="2939B9DD"/>
    <w:rsid w:val="293B6E50"/>
    <w:rsid w:val="294E651E"/>
    <w:rsid w:val="29511D21"/>
    <w:rsid w:val="29577CA9"/>
    <w:rsid w:val="295E7CC5"/>
    <w:rsid w:val="29682E0A"/>
    <w:rsid w:val="296EF0F8"/>
    <w:rsid w:val="2972792F"/>
    <w:rsid w:val="2972ABCC"/>
    <w:rsid w:val="29786E16"/>
    <w:rsid w:val="297F7DD1"/>
    <w:rsid w:val="2983676F"/>
    <w:rsid w:val="29861B46"/>
    <w:rsid w:val="2988AD87"/>
    <w:rsid w:val="2997285F"/>
    <w:rsid w:val="29A432D1"/>
    <w:rsid w:val="29A4D0D8"/>
    <w:rsid w:val="29A6FED6"/>
    <w:rsid w:val="29AEBF5B"/>
    <w:rsid w:val="29AEC105"/>
    <w:rsid w:val="29B82435"/>
    <w:rsid w:val="29C5C466"/>
    <w:rsid w:val="29C96424"/>
    <w:rsid w:val="29CEDCA3"/>
    <w:rsid w:val="29D5C24B"/>
    <w:rsid w:val="29D8823E"/>
    <w:rsid w:val="29DA41DB"/>
    <w:rsid w:val="29E0A474"/>
    <w:rsid w:val="29F2E400"/>
    <w:rsid w:val="29F40F9C"/>
    <w:rsid w:val="29FAA0B7"/>
    <w:rsid w:val="2A113D35"/>
    <w:rsid w:val="2A187309"/>
    <w:rsid w:val="2A3448ED"/>
    <w:rsid w:val="2A36B3AE"/>
    <w:rsid w:val="2A36D204"/>
    <w:rsid w:val="2A3C61AA"/>
    <w:rsid w:val="2A428A02"/>
    <w:rsid w:val="2A4FE07E"/>
    <w:rsid w:val="2A5F3E73"/>
    <w:rsid w:val="2A67A0AA"/>
    <w:rsid w:val="2A6D335D"/>
    <w:rsid w:val="2A71C749"/>
    <w:rsid w:val="2A79BE64"/>
    <w:rsid w:val="2A7B8F3A"/>
    <w:rsid w:val="2A8F90BE"/>
    <w:rsid w:val="2A987200"/>
    <w:rsid w:val="2A9CD73D"/>
    <w:rsid w:val="2AA14CF2"/>
    <w:rsid w:val="2AAA555A"/>
    <w:rsid w:val="2AB57958"/>
    <w:rsid w:val="2AB8BACE"/>
    <w:rsid w:val="2ABA4D16"/>
    <w:rsid w:val="2ACF4700"/>
    <w:rsid w:val="2AD55EC7"/>
    <w:rsid w:val="2AE1463D"/>
    <w:rsid w:val="2AE36436"/>
    <w:rsid w:val="2AFB557B"/>
    <w:rsid w:val="2AFB7444"/>
    <w:rsid w:val="2B06D436"/>
    <w:rsid w:val="2B06E52D"/>
    <w:rsid w:val="2B078EBC"/>
    <w:rsid w:val="2B0C2365"/>
    <w:rsid w:val="2B0CFA48"/>
    <w:rsid w:val="2B1CF47D"/>
    <w:rsid w:val="2B1F71FB"/>
    <w:rsid w:val="2B248F3B"/>
    <w:rsid w:val="2B273CB9"/>
    <w:rsid w:val="2B27BD51"/>
    <w:rsid w:val="2B3BDE9C"/>
    <w:rsid w:val="2B4357B2"/>
    <w:rsid w:val="2B4E5228"/>
    <w:rsid w:val="2B514787"/>
    <w:rsid w:val="2B5384CE"/>
    <w:rsid w:val="2B544FCA"/>
    <w:rsid w:val="2B56F0B5"/>
    <w:rsid w:val="2B5DB997"/>
    <w:rsid w:val="2B7120F6"/>
    <w:rsid w:val="2B7B4532"/>
    <w:rsid w:val="2B7EBBDA"/>
    <w:rsid w:val="2B81CC37"/>
    <w:rsid w:val="2B8DDE47"/>
    <w:rsid w:val="2B971FCD"/>
    <w:rsid w:val="2BAB3972"/>
    <w:rsid w:val="2BB5450A"/>
    <w:rsid w:val="2BBEBBAA"/>
    <w:rsid w:val="2BC0F9C8"/>
    <w:rsid w:val="2BCD5418"/>
    <w:rsid w:val="2BFC91DE"/>
    <w:rsid w:val="2BFFBA97"/>
    <w:rsid w:val="2C07E8DA"/>
    <w:rsid w:val="2C083911"/>
    <w:rsid w:val="2C0A8B42"/>
    <w:rsid w:val="2C1B4F94"/>
    <w:rsid w:val="2C224ADA"/>
    <w:rsid w:val="2C2EAB05"/>
    <w:rsid w:val="2C3D0940"/>
    <w:rsid w:val="2C47867B"/>
    <w:rsid w:val="2C4C5A08"/>
    <w:rsid w:val="2C4F1C8F"/>
    <w:rsid w:val="2C5651E2"/>
    <w:rsid w:val="2C577699"/>
    <w:rsid w:val="2C632B2F"/>
    <w:rsid w:val="2C653767"/>
    <w:rsid w:val="2C71F9FA"/>
    <w:rsid w:val="2C8DDD68"/>
    <w:rsid w:val="2C90C99F"/>
    <w:rsid w:val="2C9BC7BD"/>
    <w:rsid w:val="2CB2F0D1"/>
    <w:rsid w:val="2CBA09CC"/>
    <w:rsid w:val="2CC8E403"/>
    <w:rsid w:val="2CD8541C"/>
    <w:rsid w:val="2CD92F2C"/>
    <w:rsid w:val="2CDCB60F"/>
    <w:rsid w:val="2CE0B94C"/>
    <w:rsid w:val="2CE4D927"/>
    <w:rsid w:val="2CE7E85F"/>
    <w:rsid w:val="2CF8EA36"/>
    <w:rsid w:val="2D10B91C"/>
    <w:rsid w:val="2D13F943"/>
    <w:rsid w:val="2D1B379F"/>
    <w:rsid w:val="2D1BD64D"/>
    <w:rsid w:val="2D1E0767"/>
    <w:rsid w:val="2D20ED3C"/>
    <w:rsid w:val="2D3A8ED8"/>
    <w:rsid w:val="2D3B6F5B"/>
    <w:rsid w:val="2D4E875F"/>
    <w:rsid w:val="2D51E0C1"/>
    <w:rsid w:val="2D5D6A37"/>
    <w:rsid w:val="2D63D043"/>
    <w:rsid w:val="2D6D8825"/>
    <w:rsid w:val="2D83DAB0"/>
    <w:rsid w:val="2D858C7E"/>
    <w:rsid w:val="2D880398"/>
    <w:rsid w:val="2D89F03C"/>
    <w:rsid w:val="2D8CB103"/>
    <w:rsid w:val="2D97D1F8"/>
    <w:rsid w:val="2D9C1BA0"/>
    <w:rsid w:val="2DA27E93"/>
    <w:rsid w:val="2DA87D3A"/>
    <w:rsid w:val="2DAE3001"/>
    <w:rsid w:val="2DB085A7"/>
    <w:rsid w:val="2DB08B87"/>
    <w:rsid w:val="2DB0F75E"/>
    <w:rsid w:val="2DBB5640"/>
    <w:rsid w:val="2DCE0556"/>
    <w:rsid w:val="2DCE8A50"/>
    <w:rsid w:val="2DD5B60A"/>
    <w:rsid w:val="2DE3389D"/>
    <w:rsid w:val="2DE5D333"/>
    <w:rsid w:val="2DEB6DCE"/>
    <w:rsid w:val="2DECB35B"/>
    <w:rsid w:val="2DFA37F9"/>
    <w:rsid w:val="2E00E82A"/>
    <w:rsid w:val="2E04BC9B"/>
    <w:rsid w:val="2E15818A"/>
    <w:rsid w:val="2E16B09D"/>
    <w:rsid w:val="2E1EE12F"/>
    <w:rsid w:val="2E289CA7"/>
    <w:rsid w:val="2E3566BC"/>
    <w:rsid w:val="2E3F220D"/>
    <w:rsid w:val="2E402BF9"/>
    <w:rsid w:val="2E489E1D"/>
    <w:rsid w:val="2E50464A"/>
    <w:rsid w:val="2E578ADD"/>
    <w:rsid w:val="2E579553"/>
    <w:rsid w:val="2E5ECEC4"/>
    <w:rsid w:val="2E73D1D4"/>
    <w:rsid w:val="2E788670"/>
    <w:rsid w:val="2E8FCAB3"/>
    <w:rsid w:val="2E902872"/>
    <w:rsid w:val="2E90702D"/>
    <w:rsid w:val="2EA61F4D"/>
    <w:rsid w:val="2EADA67B"/>
    <w:rsid w:val="2EADF150"/>
    <w:rsid w:val="2EAF5784"/>
    <w:rsid w:val="2EB535B9"/>
    <w:rsid w:val="2EBA8EDE"/>
    <w:rsid w:val="2EC15FF2"/>
    <w:rsid w:val="2EC2C473"/>
    <w:rsid w:val="2ED530DD"/>
    <w:rsid w:val="2ED73FBC"/>
    <w:rsid w:val="2EEB7AC8"/>
    <w:rsid w:val="2EEEB3F1"/>
    <w:rsid w:val="2F0D41F1"/>
    <w:rsid w:val="2F11BF6D"/>
    <w:rsid w:val="2F16FB61"/>
    <w:rsid w:val="2F33F6E3"/>
    <w:rsid w:val="2F49D8BF"/>
    <w:rsid w:val="2F526ED9"/>
    <w:rsid w:val="2F5A424E"/>
    <w:rsid w:val="2F645BDD"/>
    <w:rsid w:val="2F6FC0FE"/>
    <w:rsid w:val="2F7170A2"/>
    <w:rsid w:val="2F7A5835"/>
    <w:rsid w:val="2F7BA020"/>
    <w:rsid w:val="2F7CC584"/>
    <w:rsid w:val="2F813482"/>
    <w:rsid w:val="2F875B1A"/>
    <w:rsid w:val="2F9EB70A"/>
    <w:rsid w:val="2FA22740"/>
    <w:rsid w:val="2FA32745"/>
    <w:rsid w:val="2FA46FBD"/>
    <w:rsid w:val="2FA644F3"/>
    <w:rsid w:val="2FA86843"/>
    <w:rsid w:val="2FAF1ECF"/>
    <w:rsid w:val="2FB01162"/>
    <w:rsid w:val="2FBB10E1"/>
    <w:rsid w:val="2FC0D25D"/>
    <w:rsid w:val="2FD3912E"/>
    <w:rsid w:val="2FD6F988"/>
    <w:rsid w:val="2FE00F59"/>
    <w:rsid w:val="2FE0B120"/>
    <w:rsid w:val="2FEA297F"/>
    <w:rsid w:val="2FEC9303"/>
    <w:rsid w:val="2FF55402"/>
    <w:rsid w:val="300C36EA"/>
    <w:rsid w:val="300D4CE9"/>
    <w:rsid w:val="3012F26A"/>
    <w:rsid w:val="302459F6"/>
    <w:rsid w:val="3024F548"/>
    <w:rsid w:val="3025E7C4"/>
    <w:rsid w:val="302722DE"/>
    <w:rsid w:val="302BBB90"/>
    <w:rsid w:val="302D3FBE"/>
    <w:rsid w:val="303D178A"/>
    <w:rsid w:val="30484F46"/>
    <w:rsid w:val="304F49C1"/>
    <w:rsid w:val="305805ED"/>
    <w:rsid w:val="305C3A66"/>
    <w:rsid w:val="3062F189"/>
    <w:rsid w:val="3081F34F"/>
    <w:rsid w:val="3083401E"/>
    <w:rsid w:val="3085BE9E"/>
    <w:rsid w:val="30869DB4"/>
    <w:rsid w:val="30916DED"/>
    <w:rsid w:val="3098ECEA"/>
    <w:rsid w:val="309C2648"/>
    <w:rsid w:val="30A0FB07"/>
    <w:rsid w:val="30A32318"/>
    <w:rsid w:val="30A4B750"/>
    <w:rsid w:val="30B42198"/>
    <w:rsid w:val="30BA43B7"/>
    <w:rsid w:val="30C8824E"/>
    <w:rsid w:val="30DA79BD"/>
    <w:rsid w:val="30DDFD85"/>
    <w:rsid w:val="30EC4B18"/>
    <w:rsid w:val="30F254F2"/>
    <w:rsid w:val="30F34B4F"/>
    <w:rsid w:val="30F42476"/>
    <w:rsid w:val="30F5BBA8"/>
    <w:rsid w:val="30FD830C"/>
    <w:rsid w:val="31023A1B"/>
    <w:rsid w:val="31066CB1"/>
    <w:rsid w:val="310819C4"/>
    <w:rsid w:val="3109C8B7"/>
    <w:rsid w:val="310D56CC"/>
    <w:rsid w:val="311602C5"/>
    <w:rsid w:val="312A6E76"/>
    <w:rsid w:val="313BAC97"/>
    <w:rsid w:val="313FA8A6"/>
    <w:rsid w:val="3141B362"/>
    <w:rsid w:val="3141E633"/>
    <w:rsid w:val="3142E43E"/>
    <w:rsid w:val="3149C8F0"/>
    <w:rsid w:val="315179A3"/>
    <w:rsid w:val="3154A898"/>
    <w:rsid w:val="315901A5"/>
    <w:rsid w:val="3159D731"/>
    <w:rsid w:val="31660EA3"/>
    <w:rsid w:val="316F9B80"/>
    <w:rsid w:val="3172FF8E"/>
    <w:rsid w:val="3174C576"/>
    <w:rsid w:val="31797DC2"/>
    <w:rsid w:val="317D1ACF"/>
    <w:rsid w:val="31821024"/>
    <w:rsid w:val="318AF737"/>
    <w:rsid w:val="319C0AB0"/>
    <w:rsid w:val="31A0F8B7"/>
    <w:rsid w:val="31A420E6"/>
    <w:rsid w:val="31A452BC"/>
    <w:rsid w:val="31A57CB5"/>
    <w:rsid w:val="31B9D013"/>
    <w:rsid w:val="31C4D2FD"/>
    <w:rsid w:val="31C8DB09"/>
    <w:rsid w:val="31C939EA"/>
    <w:rsid w:val="31E42A3F"/>
    <w:rsid w:val="31EE1880"/>
    <w:rsid w:val="31F46D2D"/>
    <w:rsid w:val="31FA30E0"/>
    <w:rsid w:val="31FE6C77"/>
    <w:rsid w:val="32059936"/>
    <w:rsid w:val="32089D2A"/>
    <w:rsid w:val="32097684"/>
    <w:rsid w:val="321BFCDA"/>
    <w:rsid w:val="32214209"/>
    <w:rsid w:val="3221A2A8"/>
    <w:rsid w:val="32272875"/>
    <w:rsid w:val="322EB182"/>
    <w:rsid w:val="32344765"/>
    <w:rsid w:val="32383A6E"/>
    <w:rsid w:val="32447158"/>
    <w:rsid w:val="3244F8B5"/>
    <w:rsid w:val="3251C977"/>
    <w:rsid w:val="3258F9ED"/>
    <w:rsid w:val="325C7F17"/>
    <w:rsid w:val="32642195"/>
    <w:rsid w:val="3264BF39"/>
    <w:rsid w:val="32660E50"/>
    <w:rsid w:val="326A4B2F"/>
    <w:rsid w:val="326AC34B"/>
    <w:rsid w:val="32711D15"/>
    <w:rsid w:val="327C508A"/>
    <w:rsid w:val="32930A99"/>
    <w:rsid w:val="3295EAA0"/>
    <w:rsid w:val="329D2AE8"/>
    <w:rsid w:val="329DDB13"/>
    <w:rsid w:val="32A1711A"/>
    <w:rsid w:val="32AC184F"/>
    <w:rsid w:val="32BA0368"/>
    <w:rsid w:val="32BC8F2E"/>
    <w:rsid w:val="32BE3543"/>
    <w:rsid w:val="32C5D183"/>
    <w:rsid w:val="32CD4B86"/>
    <w:rsid w:val="32EB06EE"/>
    <w:rsid w:val="32F733CF"/>
    <w:rsid w:val="32FCF296"/>
    <w:rsid w:val="33069D7A"/>
    <w:rsid w:val="33123C17"/>
    <w:rsid w:val="33124874"/>
    <w:rsid w:val="33220D9C"/>
    <w:rsid w:val="332F5CB6"/>
    <w:rsid w:val="3334F687"/>
    <w:rsid w:val="333D36CD"/>
    <w:rsid w:val="3341E4C6"/>
    <w:rsid w:val="33456BD0"/>
    <w:rsid w:val="334A9B55"/>
    <w:rsid w:val="335473C9"/>
    <w:rsid w:val="33576B4E"/>
    <w:rsid w:val="33588131"/>
    <w:rsid w:val="335CC82E"/>
    <w:rsid w:val="33637F18"/>
    <w:rsid w:val="33691F64"/>
    <w:rsid w:val="3369258B"/>
    <w:rsid w:val="336B2BE4"/>
    <w:rsid w:val="336F9074"/>
    <w:rsid w:val="337188CE"/>
    <w:rsid w:val="3379E250"/>
    <w:rsid w:val="33859DDF"/>
    <w:rsid w:val="338DBC15"/>
    <w:rsid w:val="3392F7C1"/>
    <w:rsid w:val="3396FBDE"/>
    <w:rsid w:val="339AA6E4"/>
    <w:rsid w:val="339BDEE0"/>
    <w:rsid w:val="339C77FE"/>
    <w:rsid w:val="33A1505B"/>
    <w:rsid w:val="33A80E7C"/>
    <w:rsid w:val="33A97F5D"/>
    <w:rsid w:val="33AD93D0"/>
    <w:rsid w:val="33AF96A6"/>
    <w:rsid w:val="33B8830A"/>
    <w:rsid w:val="33BDF33E"/>
    <w:rsid w:val="33BEB066"/>
    <w:rsid w:val="33C54EF0"/>
    <w:rsid w:val="33C9EC95"/>
    <w:rsid w:val="33CEDEEB"/>
    <w:rsid w:val="33E03D85"/>
    <w:rsid w:val="33E90519"/>
    <w:rsid w:val="33F9B9D5"/>
    <w:rsid w:val="33FF36CF"/>
    <w:rsid w:val="340D46FA"/>
    <w:rsid w:val="340F16B8"/>
    <w:rsid w:val="3415A259"/>
    <w:rsid w:val="34291D26"/>
    <w:rsid w:val="34332B90"/>
    <w:rsid w:val="343427AF"/>
    <w:rsid w:val="343E1BE2"/>
    <w:rsid w:val="343E5275"/>
    <w:rsid w:val="3442B2B5"/>
    <w:rsid w:val="3447E8B0"/>
    <w:rsid w:val="34499B35"/>
    <w:rsid w:val="344BE9E1"/>
    <w:rsid w:val="34521569"/>
    <w:rsid w:val="34536655"/>
    <w:rsid w:val="345BDF38"/>
    <w:rsid w:val="3462A79C"/>
    <w:rsid w:val="3473347C"/>
    <w:rsid w:val="3473C0E6"/>
    <w:rsid w:val="347A8173"/>
    <w:rsid w:val="347C5A3F"/>
    <w:rsid w:val="3484D132"/>
    <w:rsid w:val="3487FF80"/>
    <w:rsid w:val="348FBDF0"/>
    <w:rsid w:val="349C219F"/>
    <w:rsid w:val="34A32AB9"/>
    <w:rsid w:val="34B01C0D"/>
    <w:rsid w:val="34B7DFA1"/>
    <w:rsid w:val="34BA3C86"/>
    <w:rsid w:val="34BD9268"/>
    <w:rsid w:val="34CA62CA"/>
    <w:rsid w:val="34D8AD1F"/>
    <w:rsid w:val="34E0E114"/>
    <w:rsid w:val="34EA687A"/>
    <w:rsid w:val="34EE5A90"/>
    <w:rsid w:val="34F166AD"/>
    <w:rsid w:val="34FA13F8"/>
    <w:rsid w:val="34FF3F08"/>
    <w:rsid w:val="350B5CF0"/>
    <w:rsid w:val="350F09F3"/>
    <w:rsid w:val="35170C32"/>
    <w:rsid w:val="351806AF"/>
    <w:rsid w:val="351C762E"/>
    <w:rsid w:val="3523DFC5"/>
    <w:rsid w:val="352A15B1"/>
    <w:rsid w:val="352E7667"/>
    <w:rsid w:val="353E1D61"/>
    <w:rsid w:val="353FD038"/>
    <w:rsid w:val="35408BC0"/>
    <w:rsid w:val="3545EC50"/>
    <w:rsid w:val="355C5957"/>
    <w:rsid w:val="355D0780"/>
    <w:rsid w:val="3560963A"/>
    <w:rsid w:val="3562D7C1"/>
    <w:rsid w:val="35717C86"/>
    <w:rsid w:val="358030AF"/>
    <w:rsid w:val="3583BBD5"/>
    <w:rsid w:val="3589D703"/>
    <w:rsid w:val="358D5F01"/>
    <w:rsid w:val="3599516A"/>
    <w:rsid w:val="359C2344"/>
    <w:rsid w:val="359D851F"/>
    <w:rsid w:val="359FF0CC"/>
    <w:rsid w:val="35A07188"/>
    <w:rsid w:val="35A31D18"/>
    <w:rsid w:val="35B407C2"/>
    <w:rsid w:val="35B48791"/>
    <w:rsid w:val="35BCC393"/>
    <w:rsid w:val="35D15E18"/>
    <w:rsid w:val="35D2BA97"/>
    <w:rsid w:val="35DEF907"/>
    <w:rsid w:val="35E955F3"/>
    <w:rsid w:val="35EC753B"/>
    <w:rsid w:val="35F6A818"/>
    <w:rsid w:val="3607A6EB"/>
    <w:rsid w:val="360A3F21"/>
    <w:rsid w:val="360C63E3"/>
    <w:rsid w:val="3615CF3E"/>
    <w:rsid w:val="3616A973"/>
    <w:rsid w:val="36192E50"/>
    <w:rsid w:val="361C1683"/>
    <w:rsid w:val="36227CF3"/>
    <w:rsid w:val="362C82CA"/>
    <w:rsid w:val="363B2DEB"/>
    <w:rsid w:val="363DBF3B"/>
    <w:rsid w:val="3641716F"/>
    <w:rsid w:val="364AE91A"/>
    <w:rsid w:val="364C19E1"/>
    <w:rsid w:val="36516355"/>
    <w:rsid w:val="36563CDD"/>
    <w:rsid w:val="36672D59"/>
    <w:rsid w:val="367243BC"/>
    <w:rsid w:val="36743E27"/>
    <w:rsid w:val="367C6634"/>
    <w:rsid w:val="368861B9"/>
    <w:rsid w:val="368F5130"/>
    <w:rsid w:val="36A5CD49"/>
    <w:rsid w:val="36B57489"/>
    <w:rsid w:val="36BC97C6"/>
    <w:rsid w:val="36C50680"/>
    <w:rsid w:val="36C5B2FB"/>
    <w:rsid w:val="36C6BE09"/>
    <w:rsid w:val="36CE5E19"/>
    <w:rsid w:val="36DD1077"/>
    <w:rsid w:val="36DD7CEB"/>
    <w:rsid w:val="36E046FC"/>
    <w:rsid w:val="36E3C0F6"/>
    <w:rsid w:val="36E6F905"/>
    <w:rsid w:val="36F2579D"/>
    <w:rsid w:val="36F4FEDA"/>
    <w:rsid w:val="36F6A681"/>
    <w:rsid w:val="36F7A8AB"/>
    <w:rsid w:val="3712B8C9"/>
    <w:rsid w:val="3712F322"/>
    <w:rsid w:val="37257371"/>
    <w:rsid w:val="372EACE1"/>
    <w:rsid w:val="37306808"/>
    <w:rsid w:val="373303C1"/>
    <w:rsid w:val="37339349"/>
    <w:rsid w:val="373EC6B9"/>
    <w:rsid w:val="37436FE2"/>
    <w:rsid w:val="37473B9F"/>
    <w:rsid w:val="374B8D0D"/>
    <w:rsid w:val="374C6AA2"/>
    <w:rsid w:val="3751C7F8"/>
    <w:rsid w:val="375E9571"/>
    <w:rsid w:val="375EA219"/>
    <w:rsid w:val="3765166D"/>
    <w:rsid w:val="376EB0C0"/>
    <w:rsid w:val="3783C1DE"/>
    <w:rsid w:val="37872A42"/>
    <w:rsid w:val="3787E5DE"/>
    <w:rsid w:val="3796930A"/>
    <w:rsid w:val="37A2174D"/>
    <w:rsid w:val="37A95694"/>
    <w:rsid w:val="37C4C96E"/>
    <w:rsid w:val="37C5C375"/>
    <w:rsid w:val="37C881C6"/>
    <w:rsid w:val="37CB5355"/>
    <w:rsid w:val="37CF051B"/>
    <w:rsid w:val="37D07D78"/>
    <w:rsid w:val="37D44827"/>
    <w:rsid w:val="37D69D55"/>
    <w:rsid w:val="37D6E896"/>
    <w:rsid w:val="37E836A3"/>
    <w:rsid w:val="37EDF6DB"/>
    <w:rsid w:val="37F8DB00"/>
    <w:rsid w:val="380ECD7B"/>
    <w:rsid w:val="3818F40B"/>
    <w:rsid w:val="381FC8A4"/>
    <w:rsid w:val="3822B3D1"/>
    <w:rsid w:val="385118C0"/>
    <w:rsid w:val="38530FDE"/>
    <w:rsid w:val="385417D4"/>
    <w:rsid w:val="385B3640"/>
    <w:rsid w:val="386613B2"/>
    <w:rsid w:val="3879FE90"/>
    <w:rsid w:val="387E2B9D"/>
    <w:rsid w:val="3883E240"/>
    <w:rsid w:val="388521F8"/>
    <w:rsid w:val="388A6252"/>
    <w:rsid w:val="388C2B80"/>
    <w:rsid w:val="388C2D6F"/>
    <w:rsid w:val="388FE5EC"/>
    <w:rsid w:val="38997C03"/>
    <w:rsid w:val="38A84F68"/>
    <w:rsid w:val="38B2CCC7"/>
    <w:rsid w:val="38BCA31B"/>
    <w:rsid w:val="38BDDC86"/>
    <w:rsid w:val="38D3781C"/>
    <w:rsid w:val="38D4738A"/>
    <w:rsid w:val="38D80E4F"/>
    <w:rsid w:val="38E2DB9A"/>
    <w:rsid w:val="38E522B3"/>
    <w:rsid w:val="38EB67DB"/>
    <w:rsid w:val="38FC5D90"/>
    <w:rsid w:val="3925EB33"/>
    <w:rsid w:val="3928794D"/>
    <w:rsid w:val="392E48DA"/>
    <w:rsid w:val="393477D6"/>
    <w:rsid w:val="393A9D73"/>
    <w:rsid w:val="3943AFAD"/>
    <w:rsid w:val="39526170"/>
    <w:rsid w:val="3954B5CF"/>
    <w:rsid w:val="395B292B"/>
    <w:rsid w:val="3979F1D4"/>
    <w:rsid w:val="397BB852"/>
    <w:rsid w:val="39893833"/>
    <w:rsid w:val="39AE0EBA"/>
    <w:rsid w:val="39B47020"/>
    <w:rsid w:val="39B61F87"/>
    <w:rsid w:val="39CAC9C3"/>
    <w:rsid w:val="39CB7C54"/>
    <w:rsid w:val="39D9305D"/>
    <w:rsid w:val="39D9E01E"/>
    <w:rsid w:val="39DA6D68"/>
    <w:rsid w:val="39EA204E"/>
    <w:rsid w:val="39F34690"/>
    <w:rsid w:val="39F4B750"/>
    <w:rsid w:val="39F94CD6"/>
    <w:rsid w:val="3A037F68"/>
    <w:rsid w:val="3A064F40"/>
    <w:rsid w:val="3A06ED9C"/>
    <w:rsid w:val="3A09E4CE"/>
    <w:rsid w:val="3A238421"/>
    <w:rsid w:val="3A276AE4"/>
    <w:rsid w:val="3A339FD1"/>
    <w:rsid w:val="3A38524D"/>
    <w:rsid w:val="3A3C2E6C"/>
    <w:rsid w:val="3A3C50FF"/>
    <w:rsid w:val="3A3C7958"/>
    <w:rsid w:val="3A3D7DD9"/>
    <w:rsid w:val="3A4C6B66"/>
    <w:rsid w:val="3A5E6E61"/>
    <w:rsid w:val="3A609894"/>
    <w:rsid w:val="3A6B3F78"/>
    <w:rsid w:val="3A6EB705"/>
    <w:rsid w:val="3A7CE0C5"/>
    <w:rsid w:val="3A86E66A"/>
    <w:rsid w:val="3A8712E7"/>
    <w:rsid w:val="3A8B93C9"/>
    <w:rsid w:val="3A8C8CF5"/>
    <w:rsid w:val="3A978A65"/>
    <w:rsid w:val="3A9EE516"/>
    <w:rsid w:val="3AA5D5F6"/>
    <w:rsid w:val="3AAB7736"/>
    <w:rsid w:val="3AAB8320"/>
    <w:rsid w:val="3ABB0240"/>
    <w:rsid w:val="3AD57264"/>
    <w:rsid w:val="3AD6E3AC"/>
    <w:rsid w:val="3AD9DE91"/>
    <w:rsid w:val="3AF6CDDA"/>
    <w:rsid w:val="3AFA5929"/>
    <w:rsid w:val="3AFCE8DF"/>
    <w:rsid w:val="3AFFB1F7"/>
    <w:rsid w:val="3B025B99"/>
    <w:rsid w:val="3B045975"/>
    <w:rsid w:val="3B0712F4"/>
    <w:rsid w:val="3B0D6A45"/>
    <w:rsid w:val="3B1853AF"/>
    <w:rsid w:val="3B252976"/>
    <w:rsid w:val="3B27B89D"/>
    <w:rsid w:val="3B3E0492"/>
    <w:rsid w:val="3B449AEE"/>
    <w:rsid w:val="3B47B7B5"/>
    <w:rsid w:val="3B4B76A1"/>
    <w:rsid w:val="3B4CB9FD"/>
    <w:rsid w:val="3B590C3D"/>
    <w:rsid w:val="3B5C5081"/>
    <w:rsid w:val="3B600B0D"/>
    <w:rsid w:val="3B62F95C"/>
    <w:rsid w:val="3B717EF8"/>
    <w:rsid w:val="3B727BA0"/>
    <w:rsid w:val="3B815C1A"/>
    <w:rsid w:val="3B9DBF38"/>
    <w:rsid w:val="3BA525AE"/>
    <w:rsid w:val="3BA69C5F"/>
    <w:rsid w:val="3BAEB59E"/>
    <w:rsid w:val="3BAEEE8C"/>
    <w:rsid w:val="3BB3179A"/>
    <w:rsid w:val="3BC2CA96"/>
    <w:rsid w:val="3BC72B0A"/>
    <w:rsid w:val="3BCB4F25"/>
    <w:rsid w:val="3BF080E4"/>
    <w:rsid w:val="3BF2CE1B"/>
    <w:rsid w:val="3BF6F7DB"/>
    <w:rsid w:val="3BF9ADDD"/>
    <w:rsid w:val="3C0D66EC"/>
    <w:rsid w:val="3C110D22"/>
    <w:rsid w:val="3C1AC43A"/>
    <w:rsid w:val="3C1ECE43"/>
    <w:rsid w:val="3C26FBFD"/>
    <w:rsid w:val="3C2A9567"/>
    <w:rsid w:val="3C2C7B12"/>
    <w:rsid w:val="3C3C3612"/>
    <w:rsid w:val="3C4A7F6B"/>
    <w:rsid w:val="3C52122D"/>
    <w:rsid w:val="3C563B29"/>
    <w:rsid w:val="3C57F6F9"/>
    <w:rsid w:val="3C601C5F"/>
    <w:rsid w:val="3C611AEE"/>
    <w:rsid w:val="3C641A15"/>
    <w:rsid w:val="3C643C5B"/>
    <w:rsid w:val="3C68E1E9"/>
    <w:rsid w:val="3C732E52"/>
    <w:rsid w:val="3C797754"/>
    <w:rsid w:val="3C7C2DB4"/>
    <w:rsid w:val="3C85D80E"/>
    <w:rsid w:val="3C9375BD"/>
    <w:rsid w:val="3C94E4D7"/>
    <w:rsid w:val="3CA3B4E2"/>
    <w:rsid w:val="3CA92AC9"/>
    <w:rsid w:val="3CB91AE9"/>
    <w:rsid w:val="3CB95B39"/>
    <w:rsid w:val="3CBAD09B"/>
    <w:rsid w:val="3CBF0F8D"/>
    <w:rsid w:val="3CCE4E52"/>
    <w:rsid w:val="3CD1DE08"/>
    <w:rsid w:val="3CD78A79"/>
    <w:rsid w:val="3CD79971"/>
    <w:rsid w:val="3CD9A07E"/>
    <w:rsid w:val="3CF8A699"/>
    <w:rsid w:val="3CFA06A2"/>
    <w:rsid w:val="3D065F76"/>
    <w:rsid w:val="3D07CE9D"/>
    <w:rsid w:val="3D0B6754"/>
    <w:rsid w:val="3D0BB804"/>
    <w:rsid w:val="3D132C7C"/>
    <w:rsid w:val="3D2F4201"/>
    <w:rsid w:val="3D2F6504"/>
    <w:rsid w:val="3D49B836"/>
    <w:rsid w:val="3D569257"/>
    <w:rsid w:val="3D5F1B60"/>
    <w:rsid w:val="3D60A2E9"/>
    <w:rsid w:val="3D7C8602"/>
    <w:rsid w:val="3D7F006F"/>
    <w:rsid w:val="3D7F65F6"/>
    <w:rsid w:val="3D8C6258"/>
    <w:rsid w:val="3D9B6FDB"/>
    <w:rsid w:val="3D9CD119"/>
    <w:rsid w:val="3DA6ABC7"/>
    <w:rsid w:val="3DB66140"/>
    <w:rsid w:val="3DB91BF6"/>
    <w:rsid w:val="3DBF5E4A"/>
    <w:rsid w:val="3DE229EC"/>
    <w:rsid w:val="3DE25F8E"/>
    <w:rsid w:val="3DE6009B"/>
    <w:rsid w:val="3DE7314A"/>
    <w:rsid w:val="3DF72279"/>
    <w:rsid w:val="3E125704"/>
    <w:rsid w:val="3E181413"/>
    <w:rsid w:val="3E1B09AC"/>
    <w:rsid w:val="3E1F62BC"/>
    <w:rsid w:val="3E2548ED"/>
    <w:rsid w:val="3E297737"/>
    <w:rsid w:val="3E386896"/>
    <w:rsid w:val="3E3A212A"/>
    <w:rsid w:val="3E4997E5"/>
    <w:rsid w:val="3E54EB4A"/>
    <w:rsid w:val="3E5C6AF6"/>
    <w:rsid w:val="3E5DCA5E"/>
    <w:rsid w:val="3E6520D1"/>
    <w:rsid w:val="3E6EB935"/>
    <w:rsid w:val="3E81CAF0"/>
    <w:rsid w:val="3E81D32A"/>
    <w:rsid w:val="3E82BCE7"/>
    <w:rsid w:val="3E8E0312"/>
    <w:rsid w:val="3E92940F"/>
    <w:rsid w:val="3E9446D1"/>
    <w:rsid w:val="3EA2AFA5"/>
    <w:rsid w:val="3EA36C2D"/>
    <w:rsid w:val="3EA75056"/>
    <w:rsid w:val="3EA7774F"/>
    <w:rsid w:val="3EAC44E6"/>
    <w:rsid w:val="3EB278F1"/>
    <w:rsid w:val="3EB2EC2F"/>
    <w:rsid w:val="3EB54B55"/>
    <w:rsid w:val="3EC40E7F"/>
    <w:rsid w:val="3ED5F4B4"/>
    <w:rsid w:val="3EDBAB50"/>
    <w:rsid w:val="3EE119F0"/>
    <w:rsid w:val="3EE2B9CC"/>
    <w:rsid w:val="3EE49B46"/>
    <w:rsid w:val="3EE8B143"/>
    <w:rsid w:val="3F047CAF"/>
    <w:rsid w:val="3F0549B7"/>
    <w:rsid w:val="3F0849B0"/>
    <w:rsid w:val="3F08E488"/>
    <w:rsid w:val="3F0FBE71"/>
    <w:rsid w:val="3F111034"/>
    <w:rsid w:val="3F167706"/>
    <w:rsid w:val="3F1D720B"/>
    <w:rsid w:val="3F1EDCE8"/>
    <w:rsid w:val="3F309C8B"/>
    <w:rsid w:val="3F55929D"/>
    <w:rsid w:val="3F5FDC55"/>
    <w:rsid w:val="3F621242"/>
    <w:rsid w:val="3F6F6E92"/>
    <w:rsid w:val="3F7C7B0B"/>
    <w:rsid w:val="3F7E3FF9"/>
    <w:rsid w:val="3F807C99"/>
    <w:rsid w:val="3F8EFBA8"/>
    <w:rsid w:val="3F943052"/>
    <w:rsid w:val="3F949839"/>
    <w:rsid w:val="3F99FB7F"/>
    <w:rsid w:val="3F9A8436"/>
    <w:rsid w:val="3F9F6BB3"/>
    <w:rsid w:val="3FA39396"/>
    <w:rsid w:val="3FA4CEA1"/>
    <w:rsid w:val="3FA5A86B"/>
    <w:rsid w:val="3FB222C7"/>
    <w:rsid w:val="3FB3E30C"/>
    <w:rsid w:val="3FB59B59"/>
    <w:rsid w:val="3FC54798"/>
    <w:rsid w:val="3FCBA681"/>
    <w:rsid w:val="3FCF8250"/>
    <w:rsid w:val="3FD00C0C"/>
    <w:rsid w:val="3FDF8C37"/>
    <w:rsid w:val="3FE40D0B"/>
    <w:rsid w:val="3FF6B192"/>
    <w:rsid w:val="400274A9"/>
    <w:rsid w:val="4007E1F1"/>
    <w:rsid w:val="400A84F3"/>
    <w:rsid w:val="400E8122"/>
    <w:rsid w:val="4010275A"/>
    <w:rsid w:val="401ACA80"/>
    <w:rsid w:val="402DD607"/>
    <w:rsid w:val="4035E87B"/>
    <w:rsid w:val="403899F6"/>
    <w:rsid w:val="403AEBFA"/>
    <w:rsid w:val="403B68B1"/>
    <w:rsid w:val="404160F6"/>
    <w:rsid w:val="4041C1B5"/>
    <w:rsid w:val="404A9930"/>
    <w:rsid w:val="4051B946"/>
    <w:rsid w:val="405BAE2B"/>
    <w:rsid w:val="405F506E"/>
    <w:rsid w:val="4061C6BE"/>
    <w:rsid w:val="4067489B"/>
    <w:rsid w:val="4071A9D5"/>
    <w:rsid w:val="4075996F"/>
    <w:rsid w:val="40773477"/>
    <w:rsid w:val="407FA2AF"/>
    <w:rsid w:val="408CB8E8"/>
    <w:rsid w:val="4090A40E"/>
    <w:rsid w:val="409B30CB"/>
    <w:rsid w:val="409D5C01"/>
    <w:rsid w:val="409E2690"/>
    <w:rsid w:val="40A3BADB"/>
    <w:rsid w:val="40A54901"/>
    <w:rsid w:val="40AAEA4F"/>
    <w:rsid w:val="40B01612"/>
    <w:rsid w:val="40B0C76F"/>
    <w:rsid w:val="40B1FC3B"/>
    <w:rsid w:val="40B5BA5B"/>
    <w:rsid w:val="40B70D7D"/>
    <w:rsid w:val="40B7F1DA"/>
    <w:rsid w:val="40B9F45C"/>
    <w:rsid w:val="40BE61B0"/>
    <w:rsid w:val="40C3E257"/>
    <w:rsid w:val="40C76943"/>
    <w:rsid w:val="40CA575B"/>
    <w:rsid w:val="40CD8434"/>
    <w:rsid w:val="40F19589"/>
    <w:rsid w:val="40F203C0"/>
    <w:rsid w:val="40F4E504"/>
    <w:rsid w:val="40F55825"/>
    <w:rsid w:val="40F5874F"/>
    <w:rsid w:val="40F966CB"/>
    <w:rsid w:val="40F9EAB1"/>
    <w:rsid w:val="40FD9E96"/>
    <w:rsid w:val="41011099"/>
    <w:rsid w:val="4109ADA0"/>
    <w:rsid w:val="410F9F61"/>
    <w:rsid w:val="41192B30"/>
    <w:rsid w:val="412B681C"/>
    <w:rsid w:val="413A85CA"/>
    <w:rsid w:val="413EE1A0"/>
    <w:rsid w:val="413EE263"/>
    <w:rsid w:val="413F0CB8"/>
    <w:rsid w:val="4150BF94"/>
    <w:rsid w:val="41510B5A"/>
    <w:rsid w:val="41523085"/>
    <w:rsid w:val="4156A541"/>
    <w:rsid w:val="4156F4E5"/>
    <w:rsid w:val="415C5052"/>
    <w:rsid w:val="416053BB"/>
    <w:rsid w:val="417D4E5C"/>
    <w:rsid w:val="4180A86B"/>
    <w:rsid w:val="41828745"/>
    <w:rsid w:val="418E2393"/>
    <w:rsid w:val="4190CC2C"/>
    <w:rsid w:val="419DEA8D"/>
    <w:rsid w:val="41A31EB6"/>
    <w:rsid w:val="41A59CD9"/>
    <w:rsid w:val="41ADE7EC"/>
    <w:rsid w:val="41C82F7D"/>
    <w:rsid w:val="41D9D010"/>
    <w:rsid w:val="41DD8670"/>
    <w:rsid w:val="41E63E49"/>
    <w:rsid w:val="41E8247A"/>
    <w:rsid w:val="41EA04B9"/>
    <w:rsid w:val="41F31C80"/>
    <w:rsid w:val="41F36B9F"/>
    <w:rsid w:val="41F6AFB9"/>
    <w:rsid w:val="41FB4EB7"/>
    <w:rsid w:val="42173D89"/>
    <w:rsid w:val="42173F1B"/>
    <w:rsid w:val="421C0735"/>
    <w:rsid w:val="42275500"/>
    <w:rsid w:val="4228EDAA"/>
    <w:rsid w:val="422BF79B"/>
    <w:rsid w:val="4231CEF0"/>
    <w:rsid w:val="4231E30F"/>
    <w:rsid w:val="42340D7B"/>
    <w:rsid w:val="423724C7"/>
    <w:rsid w:val="424192C6"/>
    <w:rsid w:val="42559F3B"/>
    <w:rsid w:val="4256AE7A"/>
    <w:rsid w:val="427281F6"/>
    <w:rsid w:val="427921C4"/>
    <w:rsid w:val="427D5168"/>
    <w:rsid w:val="427FB72E"/>
    <w:rsid w:val="428C0941"/>
    <w:rsid w:val="428D8EB7"/>
    <w:rsid w:val="42915787"/>
    <w:rsid w:val="4297BC15"/>
    <w:rsid w:val="42A8F0B4"/>
    <w:rsid w:val="42B49CBB"/>
    <w:rsid w:val="42B5BC04"/>
    <w:rsid w:val="42B702CB"/>
    <w:rsid w:val="42C28A90"/>
    <w:rsid w:val="42C5614C"/>
    <w:rsid w:val="42C761D6"/>
    <w:rsid w:val="42FC2438"/>
    <w:rsid w:val="430110E9"/>
    <w:rsid w:val="4305B395"/>
    <w:rsid w:val="43092022"/>
    <w:rsid w:val="430F3177"/>
    <w:rsid w:val="432437FB"/>
    <w:rsid w:val="4332D950"/>
    <w:rsid w:val="433848C9"/>
    <w:rsid w:val="433A3583"/>
    <w:rsid w:val="434B2B16"/>
    <w:rsid w:val="43538EE6"/>
    <w:rsid w:val="436165EE"/>
    <w:rsid w:val="4364B8C3"/>
    <w:rsid w:val="4368F9EB"/>
    <w:rsid w:val="4376D420"/>
    <w:rsid w:val="4378117F"/>
    <w:rsid w:val="43786C9E"/>
    <w:rsid w:val="4399AA3F"/>
    <w:rsid w:val="43A69737"/>
    <w:rsid w:val="43ABEF50"/>
    <w:rsid w:val="43B8A623"/>
    <w:rsid w:val="43B93A18"/>
    <w:rsid w:val="43BB857F"/>
    <w:rsid w:val="43C5F5C3"/>
    <w:rsid w:val="43C8E832"/>
    <w:rsid w:val="43CDB370"/>
    <w:rsid w:val="43DA9D12"/>
    <w:rsid w:val="43DDE668"/>
    <w:rsid w:val="43E18E1A"/>
    <w:rsid w:val="43E2D88B"/>
    <w:rsid w:val="43E8BDC7"/>
    <w:rsid w:val="43EDD5AC"/>
    <w:rsid w:val="43EDE3C7"/>
    <w:rsid w:val="43EFD3B3"/>
    <w:rsid w:val="43FA0167"/>
    <w:rsid w:val="43FAC880"/>
    <w:rsid w:val="440A12C9"/>
    <w:rsid w:val="440D86A3"/>
    <w:rsid w:val="441D2068"/>
    <w:rsid w:val="441DD6A1"/>
    <w:rsid w:val="441FC808"/>
    <w:rsid w:val="44225AA5"/>
    <w:rsid w:val="4429028F"/>
    <w:rsid w:val="442E2427"/>
    <w:rsid w:val="443AA207"/>
    <w:rsid w:val="443AF8C0"/>
    <w:rsid w:val="44471D8A"/>
    <w:rsid w:val="444958ED"/>
    <w:rsid w:val="44503F4F"/>
    <w:rsid w:val="445094EC"/>
    <w:rsid w:val="4463C751"/>
    <w:rsid w:val="44732985"/>
    <w:rsid w:val="44747926"/>
    <w:rsid w:val="4474CB58"/>
    <w:rsid w:val="4479A2A5"/>
    <w:rsid w:val="448BCF03"/>
    <w:rsid w:val="448D0D7D"/>
    <w:rsid w:val="44A74C60"/>
    <w:rsid w:val="44AE8743"/>
    <w:rsid w:val="44BAD200"/>
    <w:rsid w:val="44D572C8"/>
    <w:rsid w:val="44DF4CFD"/>
    <w:rsid w:val="44E1844C"/>
    <w:rsid w:val="44E3DBD8"/>
    <w:rsid w:val="44E57DBE"/>
    <w:rsid w:val="44E937FD"/>
    <w:rsid w:val="44F322EA"/>
    <w:rsid w:val="44F6884D"/>
    <w:rsid w:val="44F7FC60"/>
    <w:rsid w:val="4504CD46"/>
    <w:rsid w:val="45063150"/>
    <w:rsid w:val="451E48F1"/>
    <w:rsid w:val="45213EAC"/>
    <w:rsid w:val="4525043F"/>
    <w:rsid w:val="4537191C"/>
    <w:rsid w:val="45538017"/>
    <w:rsid w:val="456412F0"/>
    <w:rsid w:val="45641FC9"/>
    <w:rsid w:val="4566D815"/>
    <w:rsid w:val="456AD3DE"/>
    <w:rsid w:val="4577BE05"/>
    <w:rsid w:val="457CF695"/>
    <w:rsid w:val="458E2432"/>
    <w:rsid w:val="459493AD"/>
    <w:rsid w:val="4599399B"/>
    <w:rsid w:val="45A32C93"/>
    <w:rsid w:val="45B982FF"/>
    <w:rsid w:val="45BABF6C"/>
    <w:rsid w:val="45C4D9A1"/>
    <w:rsid w:val="45D34F14"/>
    <w:rsid w:val="45DDF351"/>
    <w:rsid w:val="45E44FF7"/>
    <w:rsid w:val="45E7DEFE"/>
    <w:rsid w:val="45E97FA5"/>
    <w:rsid w:val="45F44C10"/>
    <w:rsid w:val="45FCA25A"/>
    <w:rsid w:val="4605FBBB"/>
    <w:rsid w:val="4606C002"/>
    <w:rsid w:val="460E8BF7"/>
    <w:rsid w:val="46113AA0"/>
    <w:rsid w:val="46130803"/>
    <w:rsid w:val="461875EB"/>
    <w:rsid w:val="461D7B0F"/>
    <w:rsid w:val="461D86CF"/>
    <w:rsid w:val="462FEC5D"/>
    <w:rsid w:val="4637600A"/>
    <w:rsid w:val="4637AC9A"/>
    <w:rsid w:val="463DC61C"/>
    <w:rsid w:val="463F3DE1"/>
    <w:rsid w:val="46458E80"/>
    <w:rsid w:val="4651F48C"/>
    <w:rsid w:val="4659B5D7"/>
    <w:rsid w:val="465A8031"/>
    <w:rsid w:val="46729538"/>
    <w:rsid w:val="46746A6E"/>
    <w:rsid w:val="4675AB7D"/>
    <w:rsid w:val="46881369"/>
    <w:rsid w:val="468E025D"/>
    <w:rsid w:val="468E5BD3"/>
    <w:rsid w:val="468E5FC9"/>
    <w:rsid w:val="46967ADE"/>
    <w:rsid w:val="46A3C52E"/>
    <w:rsid w:val="46A48579"/>
    <w:rsid w:val="46AF6CCB"/>
    <w:rsid w:val="46B33A98"/>
    <w:rsid w:val="46C83125"/>
    <w:rsid w:val="46CDF941"/>
    <w:rsid w:val="46CEBFDA"/>
    <w:rsid w:val="46D4AF98"/>
    <w:rsid w:val="46DB2A4A"/>
    <w:rsid w:val="46DC9D1E"/>
    <w:rsid w:val="46E6085C"/>
    <w:rsid w:val="46EE2AD6"/>
    <w:rsid w:val="46F3C0E2"/>
    <w:rsid w:val="46F574B8"/>
    <w:rsid w:val="46FEAAEB"/>
    <w:rsid w:val="47004052"/>
    <w:rsid w:val="470ECC8A"/>
    <w:rsid w:val="471801DD"/>
    <w:rsid w:val="4719E75A"/>
    <w:rsid w:val="471C7DCF"/>
    <w:rsid w:val="471FBF5D"/>
    <w:rsid w:val="47224948"/>
    <w:rsid w:val="47362582"/>
    <w:rsid w:val="473FDADB"/>
    <w:rsid w:val="474634B9"/>
    <w:rsid w:val="47499EF0"/>
    <w:rsid w:val="474F5ADD"/>
    <w:rsid w:val="4752EED1"/>
    <w:rsid w:val="4753CA54"/>
    <w:rsid w:val="475C221C"/>
    <w:rsid w:val="47616E85"/>
    <w:rsid w:val="476A6D03"/>
    <w:rsid w:val="476BF537"/>
    <w:rsid w:val="4774D07B"/>
    <w:rsid w:val="47827BE5"/>
    <w:rsid w:val="4785D061"/>
    <w:rsid w:val="478ED5A2"/>
    <w:rsid w:val="479E7704"/>
    <w:rsid w:val="47C5B004"/>
    <w:rsid w:val="47CD8B7C"/>
    <w:rsid w:val="47D219C2"/>
    <w:rsid w:val="47D65CDB"/>
    <w:rsid w:val="47DECC77"/>
    <w:rsid w:val="47DEEF3D"/>
    <w:rsid w:val="47E3C4FC"/>
    <w:rsid w:val="47E56426"/>
    <w:rsid w:val="47EF8764"/>
    <w:rsid w:val="47F6ACFF"/>
    <w:rsid w:val="47FC2EA3"/>
    <w:rsid w:val="4808E916"/>
    <w:rsid w:val="480C0509"/>
    <w:rsid w:val="4815BB1E"/>
    <w:rsid w:val="4819E214"/>
    <w:rsid w:val="481DEA44"/>
    <w:rsid w:val="482DC04F"/>
    <w:rsid w:val="482E7AB2"/>
    <w:rsid w:val="4830CF57"/>
    <w:rsid w:val="48430F44"/>
    <w:rsid w:val="484527F9"/>
    <w:rsid w:val="48477E63"/>
    <w:rsid w:val="486126F4"/>
    <w:rsid w:val="48614A81"/>
    <w:rsid w:val="48769F34"/>
    <w:rsid w:val="487D6C98"/>
    <w:rsid w:val="48803167"/>
    <w:rsid w:val="48812323"/>
    <w:rsid w:val="4895B6D9"/>
    <w:rsid w:val="4898C6EE"/>
    <w:rsid w:val="489DD086"/>
    <w:rsid w:val="48A7ABA3"/>
    <w:rsid w:val="48C2AEBC"/>
    <w:rsid w:val="48C62286"/>
    <w:rsid w:val="48C879B6"/>
    <w:rsid w:val="48D44A0C"/>
    <w:rsid w:val="48F50CA3"/>
    <w:rsid w:val="48F8D9B7"/>
    <w:rsid w:val="4908E627"/>
    <w:rsid w:val="4914D637"/>
    <w:rsid w:val="491B3F30"/>
    <w:rsid w:val="491E3513"/>
    <w:rsid w:val="491E57A4"/>
    <w:rsid w:val="49273909"/>
    <w:rsid w:val="4956710F"/>
    <w:rsid w:val="495960D4"/>
    <w:rsid w:val="495DACC3"/>
    <w:rsid w:val="495ED9C2"/>
    <w:rsid w:val="496151CA"/>
    <w:rsid w:val="49619E26"/>
    <w:rsid w:val="49674E53"/>
    <w:rsid w:val="496B5242"/>
    <w:rsid w:val="496D01CD"/>
    <w:rsid w:val="496FB900"/>
    <w:rsid w:val="497161BA"/>
    <w:rsid w:val="49743BDC"/>
    <w:rsid w:val="4976446D"/>
    <w:rsid w:val="497A4E3F"/>
    <w:rsid w:val="497EB309"/>
    <w:rsid w:val="49868454"/>
    <w:rsid w:val="49874997"/>
    <w:rsid w:val="4991B9F3"/>
    <w:rsid w:val="4991FB77"/>
    <w:rsid w:val="499AC102"/>
    <w:rsid w:val="49A772EA"/>
    <w:rsid w:val="49AF033D"/>
    <w:rsid w:val="49C399A5"/>
    <w:rsid w:val="49DC2B21"/>
    <w:rsid w:val="49DEE399"/>
    <w:rsid w:val="49F25417"/>
    <w:rsid w:val="49F6FEA1"/>
    <w:rsid w:val="49FAC08C"/>
    <w:rsid w:val="4A1B6094"/>
    <w:rsid w:val="4A1CFD31"/>
    <w:rsid w:val="4A2B86C8"/>
    <w:rsid w:val="4A32A2E6"/>
    <w:rsid w:val="4A50E794"/>
    <w:rsid w:val="4A63BB5E"/>
    <w:rsid w:val="4A6BD9B5"/>
    <w:rsid w:val="4A6F4EC8"/>
    <w:rsid w:val="4A6FF2E0"/>
    <w:rsid w:val="4A70D722"/>
    <w:rsid w:val="4A7CEF0D"/>
    <w:rsid w:val="4A8A1418"/>
    <w:rsid w:val="4A92A6D0"/>
    <w:rsid w:val="4A942E50"/>
    <w:rsid w:val="4A972FF9"/>
    <w:rsid w:val="4A977327"/>
    <w:rsid w:val="4A9955DD"/>
    <w:rsid w:val="4A9C972C"/>
    <w:rsid w:val="4AA8FA6B"/>
    <w:rsid w:val="4AA9BC48"/>
    <w:rsid w:val="4AB0C8D4"/>
    <w:rsid w:val="4AB7B626"/>
    <w:rsid w:val="4ABF814A"/>
    <w:rsid w:val="4AD6D883"/>
    <w:rsid w:val="4AD75C66"/>
    <w:rsid w:val="4ADB54FD"/>
    <w:rsid w:val="4ADC2963"/>
    <w:rsid w:val="4AE55F3F"/>
    <w:rsid w:val="4AEE0E2D"/>
    <w:rsid w:val="4AF5F9B2"/>
    <w:rsid w:val="4AF6853A"/>
    <w:rsid w:val="4AFCEA04"/>
    <w:rsid w:val="4B0641AF"/>
    <w:rsid w:val="4B08D22E"/>
    <w:rsid w:val="4B0CB0F3"/>
    <w:rsid w:val="4B1559E3"/>
    <w:rsid w:val="4B1DC8C7"/>
    <w:rsid w:val="4B3B56C0"/>
    <w:rsid w:val="4B434290"/>
    <w:rsid w:val="4B4FEACD"/>
    <w:rsid w:val="4B571DE4"/>
    <w:rsid w:val="4B5828FD"/>
    <w:rsid w:val="4B62C8A8"/>
    <w:rsid w:val="4B65563A"/>
    <w:rsid w:val="4B668B0F"/>
    <w:rsid w:val="4B700587"/>
    <w:rsid w:val="4B70C603"/>
    <w:rsid w:val="4B74139C"/>
    <w:rsid w:val="4B9779D7"/>
    <w:rsid w:val="4BACDAE8"/>
    <w:rsid w:val="4BDB6B8D"/>
    <w:rsid w:val="4BEE876D"/>
    <w:rsid w:val="4BF5D361"/>
    <w:rsid w:val="4BFC3E8F"/>
    <w:rsid w:val="4C053C05"/>
    <w:rsid w:val="4C0738CE"/>
    <w:rsid w:val="4C07436A"/>
    <w:rsid w:val="4C0E2B30"/>
    <w:rsid w:val="4C2D750D"/>
    <w:rsid w:val="4C36BAD6"/>
    <w:rsid w:val="4C3802E6"/>
    <w:rsid w:val="4C39360C"/>
    <w:rsid w:val="4C3B2A14"/>
    <w:rsid w:val="4C3B466B"/>
    <w:rsid w:val="4C3C4F5F"/>
    <w:rsid w:val="4C3DB2E2"/>
    <w:rsid w:val="4C48A325"/>
    <w:rsid w:val="4C4A31C8"/>
    <w:rsid w:val="4C6C181A"/>
    <w:rsid w:val="4C6CFCE4"/>
    <w:rsid w:val="4C75A4C2"/>
    <w:rsid w:val="4C77F6A8"/>
    <w:rsid w:val="4C7830F2"/>
    <w:rsid w:val="4C878A6B"/>
    <w:rsid w:val="4C8ACE2E"/>
    <w:rsid w:val="4C8CDB69"/>
    <w:rsid w:val="4C9327FE"/>
    <w:rsid w:val="4C970CE2"/>
    <w:rsid w:val="4C974354"/>
    <w:rsid w:val="4C9DB5E6"/>
    <w:rsid w:val="4C9F924B"/>
    <w:rsid w:val="4CA3CAA0"/>
    <w:rsid w:val="4CA40DE2"/>
    <w:rsid w:val="4CAB9955"/>
    <w:rsid w:val="4CBC272B"/>
    <w:rsid w:val="4CBE09EB"/>
    <w:rsid w:val="4CBE3EC7"/>
    <w:rsid w:val="4CBF6D05"/>
    <w:rsid w:val="4CD230BF"/>
    <w:rsid w:val="4CE2F03C"/>
    <w:rsid w:val="4CE871D5"/>
    <w:rsid w:val="4CFB0DA1"/>
    <w:rsid w:val="4D01542E"/>
    <w:rsid w:val="4D04252C"/>
    <w:rsid w:val="4D068283"/>
    <w:rsid w:val="4D07F2A0"/>
    <w:rsid w:val="4D13B9CB"/>
    <w:rsid w:val="4D19125E"/>
    <w:rsid w:val="4D20E7E6"/>
    <w:rsid w:val="4D299F00"/>
    <w:rsid w:val="4D2AF0F2"/>
    <w:rsid w:val="4D301C69"/>
    <w:rsid w:val="4D35BD39"/>
    <w:rsid w:val="4D457A1B"/>
    <w:rsid w:val="4D5075EA"/>
    <w:rsid w:val="4D51303A"/>
    <w:rsid w:val="4D59F1C2"/>
    <w:rsid w:val="4D6D49BD"/>
    <w:rsid w:val="4D73C4C5"/>
    <w:rsid w:val="4D77A551"/>
    <w:rsid w:val="4D9A89FD"/>
    <w:rsid w:val="4DA6BB09"/>
    <w:rsid w:val="4DAC9B77"/>
    <w:rsid w:val="4DB5851C"/>
    <w:rsid w:val="4DBACD0D"/>
    <w:rsid w:val="4DC2F12D"/>
    <w:rsid w:val="4DC82C06"/>
    <w:rsid w:val="4DD28B37"/>
    <w:rsid w:val="4DD8AFF4"/>
    <w:rsid w:val="4DD9301C"/>
    <w:rsid w:val="4DE0A69C"/>
    <w:rsid w:val="4DE72AA5"/>
    <w:rsid w:val="4DFA75F7"/>
    <w:rsid w:val="4DFFC7B4"/>
    <w:rsid w:val="4E0E546D"/>
    <w:rsid w:val="4E17DFFA"/>
    <w:rsid w:val="4E227291"/>
    <w:rsid w:val="4E263385"/>
    <w:rsid w:val="4E37D2E0"/>
    <w:rsid w:val="4E3FCEE5"/>
    <w:rsid w:val="4E411411"/>
    <w:rsid w:val="4E41C955"/>
    <w:rsid w:val="4E421ACA"/>
    <w:rsid w:val="4E476EEF"/>
    <w:rsid w:val="4E4B1797"/>
    <w:rsid w:val="4E4B48DD"/>
    <w:rsid w:val="4E4FC0B0"/>
    <w:rsid w:val="4E505396"/>
    <w:rsid w:val="4E51E6B7"/>
    <w:rsid w:val="4E5347D9"/>
    <w:rsid w:val="4E54E0F8"/>
    <w:rsid w:val="4E560C41"/>
    <w:rsid w:val="4E563D77"/>
    <w:rsid w:val="4E74022C"/>
    <w:rsid w:val="4E7937DF"/>
    <w:rsid w:val="4E866C79"/>
    <w:rsid w:val="4EA5E0BE"/>
    <w:rsid w:val="4EB1D154"/>
    <w:rsid w:val="4EB1F007"/>
    <w:rsid w:val="4EB2D2C9"/>
    <w:rsid w:val="4EC202E4"/>
    <w:rsid w:val="4EC4D7E9"/>
    <w:rsid w:val="4ECCA6F1"/>
    <w:rsid w:val="4ED1E487"/>
    <w:rsid w:val="4ED428AC"/>
    <w:rsid w:val="4ED8C679"/>
    <w:rsid w:val="4EDA2218"/>
    <w:rsid w:val="4EDEC0E5"/>
    <w:rsid w:val="4EE28361"/>
    <w:rsid w:val="4EECB55D"/>
    <w:rsid w:val="4F03D5CC"/>
    <w:rsid w:val="4F0AB255"/>
    <w:rsid w:val="4F1847AE"/>
    <w:rsid w:val="4F19E388"/>
    <w:rsid w:val="4F213418"/>
    <w:rsid w:val="4F3E219C"/>
    <w:rsid w:val="4F412CAD"/>
    <w:rsid w:val="4F45818C"/>
    <w:rsid w:val="4F4B47E2"/>
    <w:rsid w:val="4F50E23E"/>
    <w:rsid w:val="4F59A3BC"/>
    <w:rsid w:val="4F66E766"/>
    <w:rsid w:val="4F6DA24D"/>
    <w:rsid w:val="4F81DCCF"/>
    <w:rsid w:val="4F864F0E"/>
    <w:rsid w:val="4F8A82A3"/>
    <w:rsid w:val="4F8EBCBC"/>
    <w:rsid w:val="4FA07E93"/>
    <w:rsid w:val="4FADBFB8"/>
    <w:rsid w:val="4FB27FCD"/>
    <w:rsid w:val="4FB3B9B6"/>
    <w:rsid w:val="4FB97CB4"/>
    <w:rsid w:val="4FBC54C3"/>
    <w:rsid w:val="4FCA9519"/>
    <w:rsid w:val="4FD3ABDC"/>
    <w:rsid w:val="4FE169D7"/>
    <w:rsid w:val="4FED113D"/>
    <w:rsid w:val="4FFC99A0"/>
    <w:rsid w:val="500D4928"/>
    <w:rsid w:val="5019FF46"/>
    <w:rsid w:val="5030324B"/>
    <w:rsid w:val="5047801C"/>
    <w:rsid w:val="5052CBB9"/>
    <w:rsid w:val="505D44F3"/>
    <w:rsid w:val="5068C7A6"/>
    <w:rsid w:val="5071724D"/>
    <w:rsid w:val="5073224F"/>
    <w:rsid w:val="50739ABB"/>
    <w:rsid w:val="5078AC4D"/>
    <w:rsid w:val="507F1738"/>
    <w:rsid w:val="5083F20D"/>
    <w:rsid w:val="5087D09C"/>
    <w:rsid w:val="508977A1"/>
    <w:rsid w:val="5089FB58"/>
    <w:rsid w:val="5094C98F"/>
    <w:rsid w:val="50971720"/>
    <w:rsid w:val="50A3B1FC"/>
    <w:rsid w:val="50A500F9"/>
    <w:rsid w:val="50A5461F"/>
    <w:rsid w:val="50A6FBC9"/>
    <w:rsid w:val="50A703AF"/>
    <w:rsid w:val="50A7B2CA"/>
    <w:rsid w:val="50A8D033"/>
    <w:rsid w:val="50AA18C7"/>
    <w:rsid w:val="50B4DCE0"/>
    <w:rsid w:val="50B560CE"/>
    <w:rsid w:val="50B8A878"/>
    <w:rsid w:val="50BACF9B"/>
    <w:rsid w:val="50BDB18A"/>
    <w:rsid w:val="50C7D348"/>
    <w:rsid w:val="50D1E4D9"/>
    <w:rsid w:val="50D226E1"/>
    <w:rsid w:val="50E156A5"/>
    <w:rsid w:val="50E6C0D1"/>
    <w:rsid w:val="50F6E369"/>
    <w:rsid w:val="50F835F7"/>
    <w:rsid w:val="50F85A86"/>
    <w:rsid w:val="51022FD3"/>
    <w:rsid w:val="5104E15C"/>
    <w:rsid w:val="5106E16F"/>
    <w:rsid w:val="510FC79C"/>
    <w:rsid w:val="5114F86A"/>
    <w:rsid w:val="512404EE"/>
    <w:rsid w:val="512E8FFD"/>
    <w:rsid w:val="513A346F"/>
    <w:rsid w:val="51585B06"/>
    <w:rsid w:val="515A4B88"/>
    <w:rsid w:val="515C24F7"/>
    <w:rsid w:val="515FFCED"/>
    <w:rsid w:val="5184E227"/>
    <w:rsid w:val="51899B60"/>
    <w:rsid w:val="518A5169"/>
    <w:rsid w:val="518D3AA8"/>
    <w:rsid w:val="51AEDD7C"/>
    <w:rsid w:val="51B88F6A"/>
    <w:rsid w:val="51BB400F"/>
    <w:rsid w:val="51BF6EFC"/>
    <w:rsid w:val="51C0CBD2"/>
    <w:rsid w:val="51C4C016"/>
    <w:rsid w:val="51CFBED7"/>
    <w:rsid w:val="51D29E21"/>
    <w:rsid w:val="51DD2FF3"/>
    <w:rsid w:val="51E1FFEB"/>
    <w:rsid w:val="51F31FA6"/>
    <w:rsid w:val="51F84A80"/>
    <w:rsid w:val="52010B66"/>
    <w:rsid w:val="520E4091"/>
    <w:rsid w:val="521149E4"/>
    <w:rsid w:val="521379EC"/>
    <w:rsid w:val="52230ABB"/>
    <w:rsid w:val="522913B0"/>
    <w:rsid w:val="522EF705"/>
    <w:rsid w:val="5239B026"/>
    <w:rsid w:val="523C1223"/>
    <w:rsid w:val="523C1483"/>
    <w:rsid w:val="5243455B"/>
    <w:rsid w:val="52455C52"/>
    <w:rsid w:val="52459BA9"/>
    <w:rsid w:val="524AC251"/>
    <w:rsid w:val="524C4D47"/>
    <w:rsid w:val="524D18A9"/>
    <w:rsid w:val="524FE870"/>
    <w:rsid w:val="5259EE58"/>
    <w:rsid w:val="525F192A"/>
    <w:rsid w:val="526BD715"/>
    <w:rsid w:val="5273DAF7"/>
    <w:rsid w:val="5275B32B"/>
    <w:rsid w:val="527D4A6C"/>
    <w:rsid w:val="5286BA10"/>
    <w:rsid w:val="528B0B7C"/>
    <w:rsid w:val="529672C9"/>
    <w:rsid w:val="52A87C90"/>
    <w:rsid w:val="52AF079C"/>
    <w:rsid w:val="52B0361C"/>
    <w:rsid w:val="52BA9BC8"/>
    <w:rsid w:val="52BEF6E2"/>
    <w:rsid w:val="52C5D219"/>
    <w:rsid w:val="52DC0619"/>
    <w:rsid w:val="52DC7207"/>
    <w:rsid w:val="52DCBB57"/>
    <w:rsid w:val="52E3EE22"/>
    <w:rsid w:val="52E77775"/>
    <w:rsid w:val="52F553D1"/>
    <w:rsid w:val="52FFE23C"/>
    <w:rsid w:val="530ED0A8"/>
    <w:rsid w:val="53137877"/>
    <w:rsid w:val="531D54A6"/>
    <w:rsid w:val="5324A1FC"/>
    <w:rsid w:val="53291CE8"/>
    <w:rsid w:val="533249ED"/>
    <w:rsid w:val="533A0E45"/>
    <w:rsid w:val="533E165C"/>
    <w:rsid w:val="5357DCCB"/>
    <w:rsid w:val="5362FC41"/>
    <w:rsid w:val="537CEFED"/>
    <w:rsid w:val="5382596E"/>
    <w:rsid w:val="53AC4F4D"/>
    <w:rsid w:val="53ACC123"/>
    <w:rsid w:val="53B19471"/>
    <w:rsid w:val="53B34861"/>
    <w:rsid w:val="53BB19EF"/>
    <w:rsid w:val="53BC1D8C"/>
    <w:rsid w:val="53C3DF07"/>
    <w:rsid w:val="53C7B6B0"/>
    <w:rsid w:val="53CE3A25"/>
    <w:rsid w:val="53CF917F"/>
    <w:rsid w:val="53D08611"/>
    <w:rsid w:val="53D677B3"/>
    <w:rsid w:val="53D890F9"/>
    <w:rsid w:val="53DFF0A1"/>
    <w:rsid w:val="53E919C7"/>
    <w:rsid w:val="53EE40BB"/>
    <w:rsid w:val="53F2F3EB"/>
    <w:rsid w:val="53F9D6FA"/>
    <w:rsid w:val="53FAE98B"/>
    <w:rsid w:val="54034247"/>
    <w:rsid w:val="54060F52"/>
    <w:rsid w:val="54071DBD"/>
    <w:rsid w:val="540AF45A"/>
    <w:rsid w:val="540E04D2"/>
    <w:rsid w:val="5416B293"/>
    <w:rsid w:val="5417E985"/>
    <w:rsid w:val="54196FD9"/>
    <w:rsid w:val="541C073B"/>
    <w:rsid w:val="541F2325"/>
    <w:rsid w:val="54247C05"/>
    <w:rsid w:val="54277D0E"/>
    <w:rsid w:val="5427E307"/>
    <w:rsid w:val="544C672E"/>
    <w:rsid w:val="544D549E"/>
    <w:rsid w:val="544E19CF"/>
    <w:rsid w:val="545ABA10"/>
    <w:rsid w:val="54600666"/>
    <w:rsid w:val="54699556"/>
    <w:rsid w:val="547240A5"/>
    <w:rsid w:val="54747739"/>
    <w:rsid w:val="547E4D23"/>
    <w:rsid w:val="547FEC5E"/>
    <w:rsid w:val="54851A98"/>
    <w:rsid w:val="54886753"/>
    <w:rsid w:val="54995519"/>
    <w:rsid w:val="549A181D"/>
    <w:rsid w:val="549AB6DA"/>
    <w:rsid w:val="549BFC06"/>
    <w:rsid w:val="549C4AB7"/>
    <w:rsid w:val="54A6B936"/>
    <w:rsid w:val="54AAB5B2"/>
    <w:rsid w:val="54AE0E38"/>
    <w:rsid w:val="54B5B8BD"/>
    <w:rsid w:val="54BBA29C"/>
    <w:rsid w:val="54C331EE"/>
    <w:rsid w:val="54C685B2"/>
    <w:rsid w:val="54CE6CE7"/>
    <w:rsid w:val="54DA49F7"/>
    <w:rsid w:val="54DB1652"/>
    <w:rsid w:val="54DC117C"/>
    <w:rsid w:val="54E06214"/>
    <w:rsid w:val="54E20EA4"/>
    <w:rsid w:val="54E25741"/>
    <w:rsid w:val="54E3DB28"/>
    <w:rsid w:val="54E89636"/>
    <w:rsid w:val="54EB196A"/>
    <w:rsid w:val="54ECB994"/>
    <w:rsid w:val="54F08291"/>
    <w:rsid w:val="54FF4F3B"/>
    <w:rsid w:val="550479E1"/>
    <w:rsid w:val="55058B78"/>
    <w:rsid w:val="550FA530"/>
    <w:rsid w:val="55173D35"/>
    <w:rsid w:val="5534E7FD"/>
    <w:rsid w:val="55390710"/>
    <w:rsid w:val="553B3CAA"/>
    <w:rsid w:val="5545C372"/>
    <w:rsid w:val="554F32C4"/>
    <w:rsid w:val="55622D1B"/>
    <w:rsid w:val="5566B451"/>
    <w:rsid w:val="557D9CC2"/>
    <w:rsid w:val="5584D54D"/>
    <w:rsid w:val="558DAF1B"/>
    <w:rsid w:val="558E452C"/>
    <w:rsid w:val="559552B0"/>
    <w:rsid w:val="5597257B"/>
    <w:rsid w:val="5599EAC3"/>
    <w:rsid w:val="559A34A6"/>
    <w:rsid w:val="559B1D2D"/>
    <w:rsid w:val="55A82A1F"/>
    <w:rsid w:val="55AA9297"/>
    <w:rsid w:val="55AAA099"/>
    <w:rsid w:val="55B923E0"/>
    <w:rsid w:val="55C2AC3E"/>
    <w:rsid w:val="55C42E23"/>
    <w:rsid w:val="55C750D8"/>
    <w:rsid w:val="55C84CF7"/>
    <w:rsid w:val="55CD4338"/>
    <w:rsid w:val="55CD6671"/>
    <w:rsid w:val="55E0015F"/>
    <w:rsid w:val="55E4E15F"/>
    <w:rsid w:val="55E5B9CD"/>
    <w:rsid w:val="55E6FF32"/>
    <w:rsid w:val="55E82B49"/>
    <w:rsid w:val="55F04324"/>
    <w:rsid w:val="55FBAD6E"/>
    <w:rsid w:val="56097484"/>
    <w:rsid w:val="560F2A29"/>
    <w:rsid w:val="56183765"/>
    <w:rsid w:val="561A4B05"/>
    <w:rsid w:val="561E5AFD"/>
    <w:rsid w:val="5635A6FD"/>
    <w:rsid w:val="563A41F1"/>
    <w:rsid w:val="56410837"/>
    <w:rsid w:val="5649F969"/>
    <w:rsid w:val="566071A1"/>
    <w:rsid w:val="566F78FE"/>
    <w:rsid w:val="56860F74"/>
    <w:rsid w:val="568D9431"/>
    <w:rsid w:val="569011DE"/>
    <w:rsid w:val="56966E46"/>
    <w:rsid w:val="569ECCD6"/>
    <w:rsid w:val="569FAF57"/>
    <w:rsid w:val="56B21ADA"/>
    <w:rsid w:val="56B5039C"/>
    <w:rsid w:val="56BD4ECB"/>
    <w:rsid w:val="56C8EEF7"/>
    <w:rsid w:val="56D4D048"/>
    <w:rsid w:val="56E543BC"/>
    <w:rsid w:val="56EAEAEF"/>
    <w:rsid w:val="56ECC429"/>
    <w:rsid w:val="570C98BB"/>
    <w:rsid w:val="570CE264"/>
    <w:rsid w:val="571C4E0C"/>
    <w:rsid w:val="5725427D"/>
    <w:rsid w:val="5729697A"/>
    <w:rsid w:val="572E4747"/>
    <w:rsid w:val="573236FF"/>
    <w:rsid w:val="5733BE6A"/>
    <w:rsid w:val="5733CA96"/>
    <w:rsid w:val="573770B7"/>
    <w:rsid w:val="57470AC7"/>
    <w:rsid w:val="57525634"/>
    <w:rsid w:val="57606371"/>
    <w:rsid w:val="57654652"/>
    <w:rsid w:val="57743C27"/>
    <w:rsid w:val="5779543E"/>
    <w:rsid w:val="577C796A"/>
    <w:rsid w:val="5782756E"/>
    <w:rsid w:val="5783AD34"/>
    <w:rsid w:val="578BEA47"/>
    <w:rsid w:val="5790F25A"/>
    <w:rsid w:val="57926805"/>
    <w:rsid w:val="57932C9A"/>
    <w:rsid w:val="57964D4D"/>
    <w:rsid w:val="579A9B85"/>
    <w:rsid w:val="579D9ABA"/>
    <w:rsid w:val="57A36127"/>
    <w:rsid w:val="57B1A7A1"/>
    <w:rsid w:val="57C0E3E9"/>
    <w:rsid w:val="57C39B89"/>
    <w:rsid w:val="57C53E3B"/>
    <w:rsid w:val="57CC956B"/>
    <w:rsid w:val="57DAB48E"/>
    <w:rsid w:val="57ECE54C"/>
    <w:rsid w:val="57ECF85E"/>
    <w:rsid w:val="57F668F5"/>
    <w:rsid w:val="57F82D54"/>
    <w:rsid w:val="57FBF45C"/>
    <w:rsid w:val="5801C036"/>
    <w:rsid w:val="58060B75"/>
    <w:rsid w:val="58102C1A"/>
    <w:rsid w:val="581B3E32"/>
    <w:rsid w:val="581C2A2A"/>
    <w:rsid w:val="581D2E31"/>
    <w:rsid w:val="582101C4"/>
    <w:rsid w:val="58212ED7"/>
    <w:rsid w:val="582D3DA7"/>
    <w:rsid w:val="583BD848"/>
    <w:rsid w:val="5844E9AB"/>
    <w:rsid w:val="58457EB3"/>
    <w:rsid w:val="58473BF1"/>
    <w:rsid w:val="584DC83F"/>
    <w:rsid w:val="584FCF14"/>
    <w:rsid w:val="5852A401"/>
    <w:rsid w:val="5856087E"/>
    <w:rsid w:val="585C72D7"/>
    <w:rsid w:val="586739A9"/>
    <w:rsid w:val="587F8082"/>
    <w:rsid w:val="5881EAE8"/>
    <w:rsid w:val="58A330B7"/>
    <w:rsid w:val="58B9C863"/>
    <w:rsid w:val="58BEB542"/>
    <w:rsid w:val="58BFD764"/>
    <w:rsid w:val="58CD22F4"/>
    <w:rsid w:val="58CFD20F"/>
    <w:rsid w:val="58D06F94"/>
    <w:rsid w:val="58D6761A"/>
    <w:rsid w:val="58D854E4"/>
    <w:rsid w:val="58E59B2B"/>
    <w:rsid w:val="58E931C7"/>
    <w:rsid w:val="58F4014C"/>
    <w:rsid w:val="58F8AFCB"/>
    <w:rsid w:val="58FBFCCB"/>
    <w:rsid w:val="58FDDF15"/>
    <w:rsid w:val="5913E142"/>
    <w:rsid w:val="59159347"/>
    <w:rsid w:val="5917EEF3"/>
    <w:rsid w:val="5921D5A4"/>
    <w:rsid w:val="59383992"/>
    <w:rsid w:val="593AA27A"/>
    <w:rsid w:val="593C1485"/>
    <w:rsid w:val="593DDDEA"/>
    <w:rsid w:val="5948C218"/>
    <w:rsid w:val="594A0C7E"/>
    <w:rsid w:val="595332EF"/>
    <w:rsid w:val="5957B3E4"/>
    <w:rsid w:val="5959449B"/>
    <w:rsid w:val="595ED6DC"/>
    <w:rsid w:val="5961C8DB"/>
    <w:rsid w:val="596A21B1"/>
    <w:rsid w:val="596EB831"/>
    <w:rsid w:val="596F23C0"/>
    <w:rsid w:val="5978BA96"/>
    <w:rsid w:val="59840FB9"/>
    <w:rsid w:val="59856E11"/>
    <w:rsid w:val="5993174E"/>
    <w:rsid w:val="5994F9E8"/>
    <w:rsid w:val="59B67710"/>
    <w:rsid w:val="59C642AE"/>
    <w:rsid w:val="59C73ED3"/>
    <w:rsid w:val="59E03947"/>
    <w:rsid w:val="59E0421E"/>
    <w:rsid w:val="59E4ECCF"/>
    <w:rsid w:val="59E66DCC"/>
    <w:rsid w:val="59EEC7D5"/>
    <w:rsid w:val="59F0289B"/>
    <w:rsid w:val="59F2120B"/>
    <w:rsid w:val="59F253AA"/>
    <w:rsid w:val="59FD7A8F"/>
    <w:rsid w:val="5A0DD364"/>
    <w:rsid w:val="5A13BE6B"/>
    <w:rsid w:val="5A18A200"/>
    <w:rsid w:val="5A18C513"/>
    <w:rsid w:val="5A19F82E"/>
    <w:rsid w:val="5A2066A1"/>
    <w:rsid w:val="5A216AC9"/>
    <w:rsid w:val="5A27D16B"/>
    <w:rsid w:val="5A289BA2"/>
    <w:rsid w:val="5A339A05"/>
    <w:rsid w:val="5A35D1BE"/>
    <w:rsid w:val="5A3AB95B"/>
    <w:rsid w:val="5A4793E9"/>
    <w:rsid w:val="5A5F9EC2"/>
    <w:rsid w:val="5A60D866"/>
    <w:rsid w:val="5A6110CD"/>
    <w:rsid w:val="5A61EFF8"/>
    <w:rsid w:val="5A6476B6"/>
    <w:rsid w:val="5A66C903"/>
    <w:rsid w:val="5A756758"/>
    <w:rsid w:val="5A87F751"/>
    <w:rsid w:val="5A913485"/>
    <w:rsid w:val="5A9350DC"/>
    <w:rsid w:val="5A982033"/>
    <w:rsid w:val="5A9CFB95"/>
    <w:rsid w:val="5AA8DA63"/>
    <w:rsid w:val="5AAA5E31"/>
    <w:rsid w:val="5ABC89D5"/>
    <w:rsid w:val="5AD7AE34"/>
    <w:rsid w:val="5AD9B993"/>
    <w:rsid w:val="5AE66138"/>
    <w:rsid w:val="5AE774D3"/>
    <w:rsid w:val="5AEB1FDE"/>
    <w:rsid w:val="5AEB40A1"/>
    <w:rsid w:val="5AF0062D"/>
    <w:rsid w:val="5B031207"/>
    <w:rsid w:val="5B107421"/>
    <w:rsid w:val="5B20C768"/>
    <w:rsid w:val="5B348745"/>
    <w:rsid w:val="5B40A4E3"/>
    <w:rsid w:val="5B485405"/>
    <w:rsid w:val="5B4BE375"/>
    <w:rsid w:val="5B4E1FDB"/>
    <w:rsid w:val="5B50A632"/>
    <w:rsid w:val="5B5216B6"/>
    <w:rsid w:val="5B609D38"/>
    <w:rsid w:val="5B6B8CF8"/>
    <w:rsid w:val="5B713494"/>
    <w:rsid w:val="5B751916"/>
    <w:rsid w:val="5B75BAA2"/>
    <w:rsid w:val="5B896840"/>
    <w:rsid w:val="5B9987C1"/>
    <w:rsid w:val="5BA9E065"/>
    <w:rsid w:val="5BACC9E7"/>
    <w:rsid w:val="5BB47558"/>
    <w:rsid w:val="5BB5CEE3"/>
    <w:rsid w:val="5BBF7E11"/>
    <w:rsid w:val="5BC6AC6D"/>
    <w:rsid w:val="5BCA57EE"/>
    <w:rsid w:val="5BCD9B54"/>
    <w:rsid w:val="5BD2B6D9"/>
    <w:rsid w:val="5BD83FA8"/>
    <w:rsid w:val="5BD85F4F"/>
    <w:rsid w:val="5BDB2394"/>
    <w:rsid w:val="5BDED473"/>
    <w:rsid w:val="5BDFE445"/>
    <w:rsid w:val="5C01887F"/>
    <w:rsid w:val="5C0EE6AE"/>
    <w:rsid w:val="5C1784D2"/>
    <w:rsid w:val="5C1C4316"/>
    <w:rsid w:val="5C26CE2C"/>
    <w:rsid w:val="5C2C1711"/>
    <w:rsid w:val="5C489699"/>
    <w:rsid w:val="5C4937E1"/>
    <w:rsid w:val="5C5574BC"/>
    <w:rsid w:val="5C57E82B"/>
    <w:rsid w:val="5C667A2C"/>
    <w:rsid w:val="5C6CB45F"/>
    <w:rsid w:val="5C8080B5"/>
    <w:rsid w:val="5C860D59"/>
    <w:rsid w:val="5C86F37F"/>
    <w:rsid w:val="5C8D8142"/>
    <w:rsid w:val="5C9078CA"/>
    <w:rsid w:val="5C9844C1"/>
    <w:rsid w:val="5C9D4436"/>
    <w:rsid w:val="5CA8A324"/>
    <w:rsid w:val="5CA9133B"/>
    <w:rsid w:val="5CBC8481"/>
    <w:rsid w:val="5CC0A451"/>
    <w:rsid w:val="5CC58A66"/>
    <w:rsid w:val="5CD011BC"/>
    <w:rsid w:val="5CD7186F"/>
    <w:rsid w:val="5CDEFA82"/>
    <w:rsid w:val="5CDFCF43"/>
    <w:rsid w:val="5CE114E0"/>
    <w:rsid w:val="5CF41129"/>
    <w:rsid w:val="5CF69CDE"/>
    <w:rsid w:val="5CF99724"/>
    <w:rsid w:val="5CFB813C"/>
    <w:rsid w:val="5CFB9476"/>
    <w:rsid w:val="5CFC8410"/>
    <w:rsid w:val="5CFE7C4C"/>
    <w:rsid w:val="5CFFF4E3"/>
    <w:rsid w:val="5D084DAB"/>
    <w:rsid w:val="5D11AEC6"/>
    <w:rsid w:val="5D1EE0B3"/>
    <w:rsid w:val="5D20D432"/>
    <w:rsid w:val="5D3145BB"/>
    <w:rsid w:val="5D319113"/>
    <w:rsid w:val="5D3921BC"/>
    <w:rsid w:val="5D39CE7D"/>
    <w:rsid w:val="5D3BF2CB"/>
    <w:rsid w:val="5D431893"/>
    <w:rsid w:val="5D4F87BC"/>
    <w:rsid w:val="5D54A8F9"/>
    <w:rsid w:val="5D579E29"/>
    <w:rsid w:val="5D57B778"/>
    <w:rsid w:val="5D5C2BC4"/>
    <w:rsid w:val="5D6EF64C"/>
    <w:rsid w:val="5D6F9023"/>
    <w:rsid w:val="5D797EA9"/>
    <w:rsid w:val="5D8790C0"/>
    <w:rsid w:val="5D973F84"/>
    <w:rsid w:val="5D9B4297"/>
    <w:rsid w:val="5D9F0BD5"/>
    <w:rsid w:val="5DA1E755"/>
    <w:rsid w:val="5DB9F99F"/>
    <w:rsid w:val="5DBB5B60"/>
    <w:rsid w:val="5DBEFFCF"/>
    <w:rsid w:val="5DBF700C"/>
    <w:rsid w:val="5DC0C244"/>
    <w:rsid w:val="5DCC10F6"/>
    <w:rsid w:val="5DCF06DD"/>
    <w:rsid w:val="5DD601E7"/>
    <w:rsid w:val="5DDDD917"/>
    <w:rsid w:val="5DE17C10"/>
    <w:rsid w:val="5DF9AE91"/>
    <w:rsid w:val="5E025525"/>
    <w:rsid w:val="5E15D358"/>
    <w:rsid w:val="5E184BC2"/>
    <w:rsid w:val="5E22EEE4"/>
    <w:rsid w:val="5E3B8DFB"/>
    <w:rsid w:val="5E3C3C76"/>
    <w:rsid w:val="5E46EE4E"/>
    <w:rsid w:val="5E4B057A"/>
    <w:rsid w:val="5E4B479A"/>
    <w:rsid w:val="5E4CA65E"/>
    <w:rsid w:val="5E4F66AC"/>
    <w:rsid w:val="5E50020F"/>
    <w:rsid w:val="5E5163AE"/>
    <w:rsid w:val="5E5A921A"/>
    <w:rsid w:val="5E8CFF9C"/>
    <w:rsid w:val="5E9DF691"/>
    <w:rsid w:val="5E9FFEB5"/>
    <w:rsid w:val="5EB06A2B"/>
    <w:rsid w:val="5EB256AA"/>
    <w:rsid w:val="5EB25893"/>
    <w:rsid w:val="5EB31709"/>
    <w:rsid w:val="5EB52B99"/>
    <w:rsid w:val="5EBCA493"/>
    <w:rsid w:val="5EBD5A2A"/>
    <w:rsid w:val="5EC9F2B2"/>
    <w:rsid w:val="5EDC807C"/>
    <w:rsid w:val="5EE7D118"/>
    <w:rsid w:val="5EE86566"/>
    <w:rsid w:val="5EE90F5C"/>
    <w:rsid w:val="5EE9A6D4"/>
    <w:rsid w:val="5EF2F00A"/>
    <w:rsid w:val="5F07CA14"/>
    <w:rsid w:val="5F1293CC"/>
    <w:rsid w:val="5F154F0A"/>
    <w:rsid w:val="5F1C6601"/>
    <w:rsid w:val="5F205C8B"/>
    <w:rsid w:val="5F2BF0F2"/>
    <w:rsid w:val="5F2C6DF5"/>
    <w:rsid w:val="5F362171"/>
    <w:rsid w:val="5F391747"/>
    <w:rsid w:val="5F506D2B"/>
    <w:rsid w:val="5F53355D"/>
    <w:rsid w:val="5F5B2BD4"/>
    <w:rsid w:val="5F5ECC3F"/>
    <w:rsid w:val="5F5F54FD"/>
    <w:rsid w:val="5F6A6CC7"/>
    <w:rsid w:val="5F86C2CB"/>
    <w:rsid w:val="5F8869A6"/>
    <w:rsid w:val="5F8C130B"/>
    <w:rsid w:val="5F8C857F"/>
    <w:rsid w:val="5F8E8D24"/>
    <w:rsid w:val="5F9C22B0"/>
    <w:rsid w:val="5F9E2226"/>
    <w:rsid w:val="5F9F8747"/>
    <w:rsid w:val="5FA5B400"/>
    <w:rsid w:val="5FB4E69F"/>
    <w:rsid w:val="5FB97E58"/>
    <w:rsid w:val="5FB99C15"/>
    <w:rsid w:val="5FBAB3AA"/>
    <w:rsid w:val="5FC89788"/>
    <w:rsid w:val="5FCF7926"/>
    <w:rsid w:val="5FD41B35"/>
    <w:rsid w:val="5FDBA319"/>
    <w:rsid w:val="5FE0F4E9"/>
    <w:rsid w:val="6005A8C3"/>
    <w:rsid w:val="6006C229"/>
    <w:rsid w:val="600B3097"/>
    <w:rsid w:val="601BD4F1"/>
    <w:rsid w:val="602AD899"/>
    <w:rsid w:val="602AEEC9"/>
    <w:rsid w:val="602BC5E3"/>
    <w:rsid w:val="602F109C"/>
    <w:rsid w:val="60310413"/>
    <w:rsid w:val="60322F5C"/>
    <w:rsid w:val="60351A5E"/>
    <w:rsid w:val="604AAAE1"/>
    <w:rsid w:val="6058FB51"/>
    <w:rsid w:val="60590C6C"/>
    <w:rsid w:val="60594843"/>
    <w:rsid w:val="605A128C"/>
    <w:rsid w:val="606766EF"/>
    <w:rsid w:val="606A89F1"/>
    <w:rsid w:val="6077E449"/>
    <w:rsid w:val="608448DF"/>
    <w:rsid w:val="608A3C92"/>
    <w:rsid w:val="608C1F87"/>
    <w:rsid w:val="608EA4E8"/>
    <w:rsid w:val="60901E99"/>
    <w:rsid w:val="6090C0CD"/>
    <w:rsid w:val="609B1D8C"/>
    <w:rsid w:val="60A13F88"/>
    <w:rsid w:val="60B0E0DA"/>
    <w:rsid w:val="60BACAC6"/>
    <w:rsid w:val="60C01664"/>
    <w:rsid w:val="60C12958"/>
    <w:rsid w:val="60D1E4AF"/>
    <w:rsid w:val="60D1ED16"/>
    <w:rsid w:val="60D8A7A7"/>
    <w:rsid w:val="60D8B1B1"/>
    <w:rsid w:val="60DB2311"/>
    <w:rsid w:val="60DB74C8"/>
    <w:rsid w:val="60DE29E3"/>
    <w:rsid w:val="60F7B9BD"/>
    <w:rsid w:val="60F81F3E"/>
    <w:rsid w:val="6100EBC8"/>
    <w:rsid w:val="610D4C23"/>
    <w:rsid w:val="611C0534"/>
    <w:rsid w:val="612021EE"/>
    <w:rsid w:val="612E1F2F"/>
    <w:rsid w:val="612EF299"/>
    <w:rsid w:val="6130886A"/>
    <w:rsid w:val="61368114"/>
    <w:rsid w:val="613BCB1D"/>
    <w:rsid w:val="613CCAEC"/>
    <w:rsid w:val="6140601F"/>
    <w:rsid w:val="6140C3A8"/>
    <w:rsid w:val="614C2EE8"/>
    <w:rsid w:val="614F8EF3"/>
    <w:rsid w:val="61568A51"/>
    <w:rsid w:val="61701088"/>
    <w:rsid w:val="61852830"/>
    <w:rsid w:val="61871B59"/>
    <w:rsid w:val="61875080"/>
    <w:rsid w:val="61A0E9DA"/>
    <w:rsid w:val="61A149E2"/>
    <w:rsid w:val="61A76FA7"/>
    <w:rsid w:val="61B76DC2"/>
    <w:rsid w:val="61BCBDFD"/>
    <w:rsid w:val="61C1AF37"/>
    <w:rsid w:val="61DA9B87"/>
    <w:rsid w:val="61DBB69E"/>
    <w:rsid w:val="61E37E2A"/>
    <w:rsid w:val="61EB51A1"/>
    <w:rsid w:val="61EC8091"/>
    <w:rsid w:val="61ECF948"/>
    <w:rsid w:val="61EDE0BC"/>
    <w:rsid w:val="61EE2D8E"/>
    <w:rsid w:val="61F2420D"/>
    <w:rsid w:val="61F6C27F"/>
    <w:rsid w:val="61F934A4"/>
    <w:rsid w:val="62111152"/>
    <w:rsid w:val="62149193"/>
    <w:rsid w:val="62215C16"/>
    <w:rsid w:val="622514D4"/>
    <w:rsid w:val="6226A558"/>
    <w:rsid w:val="6239C6E2"/>
    <w:rsid w:val="624E01FC"/>
    <w:rsid w:val="62517786"/>
    <w:rsid w:val="62527B66"/>
    <w:rsid w:val="6254D91B"/>
    <w:rsid w:val="625AC52A"/>
    <w:rsid w:val="625FE457"/>
    <w:rsid w:val="6269DD5B"/>
    <w:rsid w:val="626D26B7"/>
    <w:rsid w:val="6274230D"/>
    <w:rsid w:val="6275721D"/>
    <w:rsid w:val="627DC8AB"/>
    <w:rsid w:val="628899E1"/>
    <w:rsid w:val="62910C1E"/>
    <w:rsid w:val="629A6FF2"/>
    <w:rsid w:val="629F4EB8"/>
    <w:rsid w:val="62A7AD76"/>
    <w:rsid w:val="62A7E5A0"/>
    <w:rsid w:val="62B8B1A5"/>
    <w:rsid w:val="62CAD620"/>
    <w:rsid w:val="62CFC20F"/>
    <w:rsid w:val="62D2155E"/>
    <w:rsid w:val="62D302BE"/>
    <w:rsid w:val="62D63D6E"/>
    <w:rsid w:val="62DEBEBB"/>
    <w:rsid w:val="62F10C97"/>
    <w:rsid w:val="62F15397"/>
    <w:rsid w:val="62F418A9"/>
    <w:rsid w:val="62F48FCE"/>
    <w:rsid w:val="62FB3EFB"/>
    <w:rsid w:val="62FDBCE7"/>
    <w:rsid w:val="63016D57"/>
    <w:rsid w:val="6304BAEE"/>
    <w:rsid w:val="63201A0C"/>
    <w:rsid w:val="63223D1F"/>
    <w:rsid w:val="6324D4D1"/>
    <w:rsid w:val="63396B52"/>
    <w:rsid w:val="633E1885"/>
    <w:rsid w:val="6342015C"/>
    <w:rsid w:val="634702B7"/>
    <w:rsid w:val="63496FD1"/>
    <w:rsid w:val="634DD4E1"/>
    <w:rsid w:val="635A8AF4"/>
    <w:rsid w:val="635F2626"/>
    <w:rsid w:val="636A7644"/>
    <w:rsid w:val="636DB81F"/>
    <w:rsid w:val="636F2895"/>
    <w:rsid w:val="6375B5D3"/>
    <w:rsid w:val="6392381B"/>
    <w:rsid w:val="639C3895"/>
    <w:rsid w:val="63A56AB4"/>
    <w:rsid w:val="63A7C7BC"/>
    <w:rsid w:val="63B961BA"/>
    <w:rsid w:val="63D4471B"/>
    <w:rsid w:val="63DC90F0"/>
    <w:rsid w:val="63E17949"/>
    <w:rsid w:val="63E21593"/>
    <w:rsid w:val="63E320D7"/>
    <w:rsid w:val="63E62E1A"/>
    <w:rsid w:val="63ECECC3"/>
    <w:rsid w:val="63F0D3C9"/>
    <w:rsid w:val="64026397"/>
    <w:rsid w:val="64045CA6"/>
    <w:rsid w:val="64048D70"/>
    <w:rsid w:val="640D6737"/>
    <w:rsid w:val="6421FA20"/>
    <w:rsid w:val="642433FE"/>
    <w:rsid w:val="642D23B1"/>
    <w:rsid w:val="643DEA5A"/>
    <w:rsid w:val="64431418"/>
    <w:rsid w:val="64457685"/>
    <w:rsid w:val="6448EF45"/>
    <w:rsid w:val="644D12C3"/>
    <w:rsid w:val="646539E5"/>
    <w:rsid w:val="6469C155"/>
    <w:rsid w:val="64758A53"/>
    <w:rsid w:val="6477E8B5"/>
    <w:rsid w:val="647B38D4"/>
    <w:rsid w:val="647E5209"/>
    <w:rsid w:val="647F867E"/>
    <w:rsid w:val="64816FDD"/>
    <w:rsid w:val="648AC99E"/>
    <w:rsid w:val="64926132"/>
    <w:rsid w:val="6492A516"/>
    <w:rsid w:val="6492BA19"/>
    <w:rsid w:val="6493D905"/>
    <w:rsid w:val="649B2626"/>
    <w:rsid w:val="64A71046"/>
    <w:rsid w:val="64A727F7"/>
    <w:rsid w:val="64B398B2"/>
    <w:rsid w:val="64C1DD9A"/>
    <w:rsid w:val="64CD70D7"/>
    <w:rsid w:val="64CDFF75"/>
    <w:rsid w:val="64D04EE6"/>
    <w:rsid w:val="64D97772"/>
    <w:rsid w:val="64F59AD2"/>
    <w:rsid w:val="64F7CA17"/>
    <w:rsid w:val="64FEDE86"/>
    <w:rsid w:val="650D8BB3"/>
    <w:rsid w:val="651B1C90"/>
    <w:rsid w:val="651D8DB0"/>
    <w:rsid w:val="651DEE1E"/>
    <w:rsid w:val="651E05C8"/>
    <w:rsid w:val="651E081D"/>
    <w:rsid w:val="65227483"/>
    <w:rsid w:val="65254BD0"/>
    <w:rsid w:val="65363988"/>
    <w:rsid w:val="6541419B"/>
    <w:rsid w:val="6552B4B4"/>
    <w:rsid w:val="655437BE"/>
    <w:rsid w:val="6554EE7A"/>
    <w:rsid w:val="6559527C"/>
    <w:rsid w:val="655DCC26"/>
    <w:rsid w:val="6562BAC4"/>
    <w:rsid w:val="65636C15"/>
    <w:rsid w:val="656AF1BF"/>
    <w:rsid w:val="656E2B69"/>
    <w:rsid w:val="65772EC2"/>
    <w:rsid w:val="657B3F95"/>
    <w:rsid w:val="657B68CD"/>
    <w:rsid w:val="657C767B"/>
    <w:rsid w:val="659480DB"/>
    <w:rsid w:val="6596D111"/>
    <w:rsid w:val="6596D229"/>
    <w:rsid w:val="65A0310E"/>
    <w:rsid w:val="65AA4199"/>
    <w:rsid w:val="65B27EB5"/>
    <w:rsid w:val="65B5E723"/>
    <w:rsid w:val="65B5FBBC"/>
    <w:rsid w:val="65B9B1FD"/>
    <w:rsid w:val="65BD2E7A"/>
    <w:rsid w:val="65BDCF0B"/>
    <w:rsid w:val="65BEDCC0"/>
    <w:rsid w:val="65CA34EB"/>
    <w:rsid w:val="65DB4E52"/>
    <w:rsid w:val="65ECCACA"/>
    <w:rsid w:val="65F11C6A"/>
    <w:rsid w:val="65F86289"/>
    <w:rsid w:val="65FD047E"/>
    <w:rsid w:val="66002C78"/>
    <w:rsid w:val="66063231"/>
    <w:rsid w:val="6608EEDA"/>
    <w:rsid w:val="661865C7"/>
    <w:rsid w:val="661A7E94"/>
    <w:rsid w:val="661EEC58"/>
    <w:rsid w:val="661FB210"/>
    <w:rsid w:val="66204DA8"/>
    <w:rsid w:val="662DC5B9"/>
    <w:rsid w:val="662E7BF2"/>
    <w:rsid w:val="66383AF4"/>
    <w:rsid w:val="663979CD"/>
    <w:rsid w:val="663A5DA4"/>
    <w:rsid w:val="665302E0"/>
    <w:rsid w:val="665724AE"/>
    <w:rsid w:val="6658F912"/>
    <w:rsid w:val="665DADFB"/>
    <w:rsid w:val="66606599"/>
    <w:rsid w:val="6660B341"/>
    <w:rsid w:val="667261DC"/>
    <w:rsid w:val="6674609A"/>
    <w:rsid w:val="66784792"/>
    <w:rsid w:val="667BB641"/>
    <w:rsid w:val="66806A18"/>
    <w:rsid w:val="66885630"/>
    <w:rsid w:val="6694DDB0"/>
    <w:rsid w:val="6695D8B0"/>
    <w:rsid w:val="66975A51"/>
    <w:rsid w:val="66AB9890"/>
    <w:rsid w:val="66B57DF7"/>
    <w:rsid w:val="66B77849"/>
    <w:rsid w:val="66C05223"/>
    <w:rsid w:val="66C70500"/>
    <w:rsid w:val="66CE78B4"/>
    <w:rsid w:val="66D3B754"/>
    <w:rsid w:val="66D3C44E"/>
    <w:rsid w:val="66E33287"/>
    <w:rsid w:val="66E5DE77"/>
    <w:rsid w:val="66ED0A00"/>
    <w:rsid w:val="66F8A5FA"/>
    <w:rsid w:val="66FF8970"/>
    <w:rsid w:val="6703757F"/>
    <w:rsid w:val="67039960"/>
    <w:rsid w:val="670634D0"/>
    <w:rsid w:val="67173C37"/>
    <w:rsid w:val="672B9BFF"/>
    <w:rsid w:val="67334441"/>
    <w:rsid w:val="673E4263"/>
    <w:rsid w:val="6741F67A"/>
    <w:rsid w:val="6743629B"/>
    <w:rsid w:val="6746CE49"/>
    <w:rsid w:val="67499B25"/>
    <w:rsid w:val="6755BAF9"/>
    <w:rsid w:val="6755BBAA"/>
    <w:rsid w:val="675C1688"/>
    <w:rsid w:val="675DD633"/>
    <w:rsid w:val="67628DB4"/>
    <w:rsid w:val="6769AE47"/>
    <w:rsid w:val="676BE2E0"/>
    <w:rsid w:val="676CC702"/>
    <w:rsid w:val="676EBF78"/>
    <w:rsid w:val="67786E4D"/>
    <w:rsid w:val="677996C4"/>
    <w:rsid w:val="6787F411"/>
    <w:rsid w:val="6788B9FB"/>
    <w:rsid w:val="67919552"/>
    <w:rsid w:val="67969BCE"/>
    <w:rsid w:val="6797A06A"/>
    <w:rsid w:val="679AEA76"/>
    <w:rsid w:val="679D17CF"/>
    <w:rsid w:val="679E3857"/>
    <w:rsid w:val="67A01EF2"/>
    <w:rsid w:val="67A0D594"/>
    <w:rsid w:val="67A80C0D"/>
    <w:rsid w:val="67A88BCF"/>
    <w:rsid w:val="67A91463"/>
    <w:rsid w:val="67ABB63C"/>
    <w:rsid w:val="67AE7B63"/>
    <w:rsid w:val="67B327C7"/>
    <w:rsid w:val="67B3B286"/>
    <w:rsid w:val="67B870B0"/>
    <w:rsid w:val="67D5E04C"/>
    <w:rsid w:val="68025C2B"/>
    <w:rsid w:val="6810D12E"/>
    <w:rsid w:val="681449F8"/>
    <w:rsid w:val="6819D0EE"/>
    <w:rsid w:val="681FD86C"/>
    <w:rsid w:val="6826F47C"/>
    <w:rsid w:val="682CFE2B"/>
    <w:rsid w:val="682E0818"/>
    <w:rsid w:val="682E58A1"/>
    <w:rsid w:val="682ECF2B"/>
    <w:rsid w:val="682F701B"/>
    <w:rsid w:val="6831A8E9"/>
    <w:rsid w:val="68367384"/>
    <w:rsid w:val="6838CD09"/>
    <w:rsid w:val="68473B41"/>
    <w:rsid w:val="6851EECF"/>
    <w:rsid w:val="68557C36"/>
    <w:rsid w:val="6875B3C0"/>
    <w:rsid w:val="687D463C"/>
    <w:rsid w:val="687F1F36"/>
    <w:rsid w:val="6886713A"/>
    <w:rsid w:val="688EC8C4"/>
    <w:rsid w:val="6895CF3E"/>
    <w:rsid w:val="6897D482"/>
    <w:rsid w:val="689A0648"/>
    <w:rsid w:val="68B05ADB"/>
    <w:rsid w:val="68C05BFC"/>
    <w:rsid w:val="68CA619D"/>
    <w:rsid w:val="68D2773C"/>
    <w:rsid w:val="68E08083"/>
    <w:rsid w:val="68E36654"/>
    <w:rsid w:val="68EA8760"/>
    <w:rsid w:val="68F55825"/>
    <w:rsid w:val="68FBC63D"/>
    <w:rsid w:val="69157A5C"/>
    <w:rsid w:val="691C4196"/>
    <w:rsid w:val="691DDAC3"/>
    <w:rsid w:val="69248162"/>
    <w:rsid w:val="692DD480"/>
    <w:rsid w:val="6933D439"/>
    <w:rsid w:val="69355CDC"/>
    <w:rsid w:val="69598809"/>
    <w:rsid w:val="695AA52C"/>
    <w:rsid w:val="6966CE18"/>
    <w:rsid w:val="69760943"/>
    <w:rsid w:val="697818B0"/>
    <w:rsid w:val="697C6237"/>
    <w:rsid w:val="697E0955"/>
    <w:rsid w:val="6981E8D7"/>
    <w:rsid w:val="6991BCC5"/>
    <w:rsid w:val="69949402"/>
    <w:rsid w:val="699C7EDC"/>
    <w:rsid w:val="69AE294B"/>
    <w:rsid w:val="69B9274C"/>
    <w:rsid w:val="69BFDDFF"/>
    <w:rsid w:val="69D531FF"/>
    <w:rsid w:val="69DEFB10"/>
    <w:rsid w:val="69E164C6"/>
    <w:rsid w:val="69EDAF26"/>
    <w:rsid w:val="69F5D49C"/>
    <w:rsid w:val="69FC6D73"/>
    <w:rsid w:val="69FEBFC3"/>
    <w:rsid w:val="6A016738"/>
    <w:rsid w:val="6A090FC6"/>
    <w:rsid w:val="6A158AC8"/>
    <w:rsid w:val="6A2C6DFB"/>
    <w:rsid w:val="6A2DADE7"/>
    <w:rsid w:val="6A34D4C9"/>
    <w:rsid w:val="6A378FBB"/>
    <w:rsid w:val="6A3A13F7"/>
    <w:rsid w:val="6A3C82EA"/>
    <w:rsid w:val="6A44B64B"/>
    <w:rsid w:val="6A4B593C"/>
    <w:rsid w:val="6A701A4F"/>
    <w:rsid w:val="6A734DF4"/>
    <w:rsid w:val="6A858B31"/>
    <w:rsid w:val="6A913F13"/>
    <w:rsid w:val="6A97902B"/>
    <w:rsid w:val="6A9A2D0D"/>
    <w:rsid w:val="6AA4E819"/>
    <w:rsid w:val="6AAF88C3"/>
    <w:rsid w:val="6AB3B96E"/>
    <w:rsid w:val="6ABC5C50"/>
    <w:rsid w:val="6AC3D016"/>
    <w:rsid w:val="6ACC8489"/>
    <w:rsid w:val="6ACEB08B"/>
    <w:rsid w:val="6AD08BAC"/>
    <w:rsid w:val="6ADCA7EA"/>
    <w:rsid w:val="6AE9D1F7"/>
    <w:rsid w:val="6AEDEFB7"/>
    <w:rsid w:val="6AF520B6"/>
    <w:rsid w:val="6AFB9421"/>
    <w:rsid w:val="6AFF9030"/>
    <w:rsid w:val="6B05A31D"/>
    <w:rsid w:val="6B15DC1B"/>
    <w:rsid w:val="6B1CEEEF"/>
    <w:rsid w:val="6B20D377"/>
    <w:rsid w:val="6B28C216"/>
    <w:rsid w:val="6B2F1D68"/>
    <w:rsid w:val="6B34C49C"/>
    <w:rsid w:val="6B355596"/>
    <w:rsid w:val="6B3601D4"/>
    <w:rsid w:val="6B368AC0"/>
    <w:rsid w:val="6B3B4827"/>
    <w:rsid w:val="6B438D7B"/>
    <w:rsid w:val="6B48CF75"/>
    <w:rsid w:val="6B530E3D"/>
    <w:rsid w:val="6B5426E9"/>
    <w:rsid w:val="6B611ACE"/>
    <w:rsid w:val="6B753635"/>
    <w:rsid w:val="6B771289"/>
    <w:rsid w:val="6B7759BD"/>
    <w:rsid w:val="6B786283"/>
    <w:rsid w:val="6BA3C268"/>
    <w:rsid w:val="6BAE2ADC"/>
    <w:rsid w:val="6BAF446D"/>
    <w:rsid w:val="6BC31330"/>
    <w:rsid w:val="6BC6A3CB"/>
    <w:rsid w:val="6BC81493"/>
    <w:rsid w:val="6BC85877"/>
    <w:rsid w:val="6BD466FD"/>
    <w:rsid w:val="6BD5B4C4"/>
    <w:rsid w:val="6BDAC6CB"/>
    <w:rsid w:val="6BDDC013"/>
    <w:rsid w:val="6BE9B34D"/>
    <w:rsid w:val="6BEFFBAC"/>
    <w:rsid w:val="6BF168B8"/>
    <w:rsid w:val="6BF2CC4C"/>
    <w:rsid w:val="6C07687F"/>
    <w:rsid w:val="6C0D5B3B"/>
    <w:rsid w:val="6C149625"/>
    <w:rsid w:val="6C20CA66"/>
    <w:rsid w:val="6C280A5F"/>
    <w:rsid w:val="6C2A3310"/>
    <w:rsid w:val="6C2E3024"/>
    <w:rsid w:val="6C363800"/>
    <w:rsid w:val="6C3831C9"/>
    <w:rsid w:val="6C3D3B93"/>
    <w:rsid w:val="6C4DA1ED"/>
    <w:rsid w:val="6C55E0B2"/>
    <w:rsid w:val="6C55E2FE"/>
    <w:rsid w:val="6C5D112A"/>
    <w:rsid w:val="6C5F99B9"/>
    <w:rsid w:val="6C636E07"/>
    <w:rsid w:val="6C656E77"/>
    <w:rsid w:val="6C6A58D2"/>
    <w:rsid w:val="6C777E8A"/>
    <w:rsid w:val="6C787385"/>
    <w:rsid w:val="6C7A26DA"/>
    <w:rsid w:val="6C8CFBC4"/>
    <w:rsid w:val="6C8DC448"/>
    <w:rsid w:val="6C97D3C1"/>
    <w:rsid w:val="6CA3558C"/>
    <w:rsid w:val="6CA58AA9"/>
    <w:rsid w:val="6CADC4F2"/>
    <w:rsid w:val="6CAFD45F"/>
    <w:rsid w:val="6CB37650"/>
    <w:rsid w:val="6CB3C722"/>
    <w:rsid w:val="6CC51093"/>
    <w:rsid w:val="6CC59334"/>
    <w:rsid w:val="6CCF2269"/>
    <w:rsid w:val="6CD4A5E5"/>
    <w:rsid w:val="6CD9FB33"/>
    <w:rsid w:val="6CDB0DC0"/>
    <w:rsid w:val="6CE889EC"/>
    <w:rsid w:val="6CEBAB91"/>
    <w:rsid w:val="6CEC6B08"/>
    <w:rsid w:val="6CECEB0F"/>
    <w:rsid w:val="6CF10D24"/>
    <w:rsid w:val="6CF2010D"/>
    <w:rsid w:val="6CF7ECC4"/>
    <w:rsid w:val="6CFCBA20"/>
    <w:rsid w:val="6D029F5C"/>
    <w:rsid w:val="6D043AAB"/>
    <w:rsid w:val="6D094066"/>
    <w:rsid w:val="6D330636"/>
    <w:rsid w:val="6D40411B"/>
    <w:rsid w:val="6D46FCDD"/>
    <w:rsid w:val="6D49A701"/>
    <w:rsid w:val="6D562EFF"/>
    <w:rsid w:val="6D5EC070"/>
    <w:rsid w:val="6D60E0B5"/>
    <w:rsid w:val="6D6AA655"/>
    <w:rsid w:val="6D6CE2D9"/>
    <w:rsid w:val="6D753CE7"/>
    <w:rsid w:val="6D7CF50B"/>
    <w:rsid w:val="6D835D80"/>
    <w:rsid w:val="6D93E8E1"/>
    <w:rsid w:val="6D958A04"/>
    <w:rsid w:val="6D9DCADF"/>
    <w:rsid w:val="6D9FA57F"/>
    <w:rsid w:val="6DA84253"/>
    <w:rsid w:val="6DB211E9"/>
    <w:rsid w:val="6DB4706D"/>
    <w:rsid w:val="6DD2779C"/>
    <w:rsid w:val="6DE2A446"/>
    <w:rsid w:val="6DE2FC86"/>
    <w:rsid w:val="6DEDCA0D"/>
    <w:rsid w:val="6DFBF78E"/>
    <w:rsid w:val="6DFEA4F6"/>
    <w:rsid w:val="6E0CC3F2"/>
    <w:rsid w:val="6E13DA63"/>
    <w:rsid w:val="6E236A26"/>
    <w:rsid w:val="6E2674AE"/>
    <w:rsid w:val="6E2F763D"/>
    <w:rsid w:val="6E3FB9B0"/>
    <w:rsid w:val="6E571AEE"/>
    <w:rsid w:val="6E604133"/>
    <w:rsid w:val="6E6594F5"/>
    <w:rsid w:val="6E6BF7F7"/>
    <w:rsid w:val="6E734CC4"/>
    <w:rsid w:val="6E78DD09"/>
    <w:rsid w:val="6E83A4C4"/>
    <w:rsid w:val="6E8497DE"/>
    <w:rsid w:val="6E897569"/>
    <w:rsid w:val="6EA59CC9"/>
    <w:rsid w:val="6EA74AC2"/>
    <w:rsid w:val="6EB599E2"/>
    <w:rsid w:val="6EBA5FE4"/>
    <w:rsid w:val="6EBC313A"/>
    <w:rsid w:val="6ECCE882"/>
    <w:rsid w:val="6ECD6821"/>
    <w:rsid w:val="6EE27552"/>
    <w:rsid w:val="6EE2AF83"/>
    <w:rsid w:val="6EE6BE61"/>
    <w:rsid w:val="6EF55C19"/>
    <w:rsid w:val="6EF71310"/>
    <w:rsid w:val="6EFB83EC"/>
    <w:rsid w:val="6EFC4898"/>
    <w:rsid w:val="6F00FFF3"/>
    <w:rsid w:val="6F0168CD"/>
    <w:rsid w:val="6F0311DB"/>
    <w:rsid w:val="6F057FC0"/>
    <w:rsid w:val="6F0D7DE1"/>
    <w:rsid w:val="6F20CBBA"/>
    <w:rsid w:val="6F2359ED"/>
    <w:rsid w:val="6F23FFC9"/>
    <w:rsid w:val="6F283F1C"/>
    <w:rsid w:val="6F441F2A"/>
    <w:rsid w:val="6F465A66"/>
    <w:rsid w:val="6F4FA67E"/>
    <w:rsid w:val="6F568A0C"/>
    <w:rsid w:val="6F673A61"/>
    <w:rsid w:val="6F702391"/>
    <w:rsid w:val="6F79DEC4"/>
    <w:rsid w:val="6F816EE8"/>
    <w:rsid w:val="6F818D07"/>
    <w:rsid w:val="6F86B600"/>
    <w:rsid w:val="6F8F8D12"/>
    <w:rsid w:val="6FA4230B"/>
    <w:rsid w:val="6FADB1DE"/>
    <w:rsid w:val="6FB5D81D"/>
    <w:rsid w:val="6FB9504C"/>
    <w:rsid w:val="6FC3167D"/>
    <w:rsid w:val="6FD39E31"/>
    <w:rsid w:val="6FE6B7E2"/>
    <w:rsid w:val="6FE94D53"/>
    <w:rsid w:val="6FF04B47"/>
    <w:rsid w:val="70069317"/>
    <w:rsid w:val="70092A51"/>
    <w:rsid w:val="700A6239"/>
    <w:rsid w:val="701A9680"/>
    <w:rsid w:val="701FF575"/>
    <w:rsid w:val="7023EC0F"/>
    <w:rsid w:val="70282CA6"/>
    <w:rsid w:val="702A3947"/>
    <w:rsid w:val="70319FA2"/>
    <w:rsid w:val="7033F075"/>
    <w:rsid w:val="7039AF3A"/>
    <w:rsid w:val="703EBF72"/>
    <w:rsid w:val="7041371E"/>
    <w:rsid w:val="704DC224"/>
    <w:rsid w:val="7059546A"/>
    <w:rsid w:val="705C5549"/>
    <w:rsid w:val="705DEA55"/>
    <w:rsid w:val="7071E1D7"/>
    <w:rsid w:val="7073DCFC"/>
    <w:rsid w:val="707462A9"/>
    <w:rsid w:val="70815B2D"/>
    <w:rsid w:val="70859099"/>
    <w:rsid w:val="708F2819"/>
    <w:rsid w:val="7099A2C1"/>
    <w:rsid w:val="70A2115D"/>
    <w:rsid w:val="70A9557B"/>
    <w:rsid w:val="70B57DDC"/>
    <w:rsid w:val="70B66211"/>
    <w:rsid w:val="70BA5163"/>
    <w:rsid w:val="70BEF9D6"/>
    <w:rsid w:val="70C2C739"/>
    <w:rsid w:val="70C74FBB"/>
    <w:rsid w:val="70CE4CB8"/>
    <w:rsid w:val="70D06354"/>
    <w:rsid w:val="70D4C5AB"/>
    <w:rsid w:val="70D6B2BA"/>
    <w:rsid w:val="70D7C9EE"/>
    <w:rsid w:val="70D83FC1"/>
    <w:rsid w:val="70DB632B"/>
    <w:rsid w:val="70E8F533"/>
    <w:rsid w:val="70EF1C77"/>
    <w:rsid w:val="70EFA6F8"/>
    <w:rsid w:val="7102E018"/>
    <w:rsid w:val="710426D7"/>
    <w:rsid w:val="7105F243"/>
    <w:rsid w:val="711BB782"/>
    <w:rsid w:val="7136FF8A"/>
    <w:rsid w:val="7138B35E"/>
    <w:rsid w:val="7138F759"/>
    <w:rsid w:val="7149149E"/>
    <w:rsid w:val="7154A161"/>
    <w:rsid w:val="715E8EE6"/>
    <w:rsid w:val="71604C77"/>
    <w:rsid w:val="716E2A8C"/>
    <w:rsid w:val="717BF89B"/>
    <w:rsid w:val="71856E39"/>
    <w:rsid w:val="71893C16"/>
    <w:rsid w:val="718A475C"/>
    <w:rsid w:val="718F045C"/>
    <w:rsid w:val="7199EBE2"/>
    <w:rsid w:val="7199F77F"/>
    <w:rsid w:val="719C3B73"/>
    <w:rsid w:val="71A6A2FE"/>
    <w:rsid w:val="71A7732F"/>
    <w:rsid w:val="71B2B471"/>
    <w:rsid w:val="71BAF9B3"/>
    <w:rsid w:val="71C12AFC"/>
    <w:rsid w:val="71C38211"/>
    <w:rsid w:val="71C5208E"/>
    <w:rsid w:val="71CC42CE"/>
    <w:rsid w:val="71CFCEB7"/>
    <w:rsid w:val="71D0324D"/>
    <w:rsid w:val="71D78056"/>
    <w:rsid w:val="71DC0EF4"/>
    <w:rsid w:val="71DF8F1C"/>
    <w:rsid w:val="71E26692"/>
    <w:rsid w:val="71EC549A"/>
    <w:rsid w:val="71F007C3"/>
    <w:rsid w:val="71F148BE"/>
    <w:rsid w:val="71F40E2B"/>
    <w:rsid w:val="71F75DD1"/>
    <w:rsid w:val="71FBD221"/>
    <w:rsid w:val="7206383D"/>
    <w:rsid w:val="72148B4B"/>
    <w:rsid w:val="7216A263"/>
    <w:rsid w:val="721B1B68"/>
    <w:rsid w:val="72268FC1"/>
    <w:rsid w:val="722A8D4C"/>
    <w:rsid w:val="723592ED"/>
    <w:rsid w:val="72413A39"/>
    <w:rsid w:val="72437C77"/>
    <w:rsid w:val="72562268"/>
    <w:rsid w:val="7260642B"/>
    <w:rsid w:val="7272FCFE"/>
    <w:rsid w:val="727F4665"/>
    <w:rsid w:val="7282BE80"/>
    <w:rsid w:val="7289F4DC"/>
    <w:rsid w:val="728FD79F"/>
    <w:rsid w:val="72937528"/>
    <w:rsid w:val="7295F91F"/>
    <w:rsid w:val="72978CD0"/>
    <w:rsid w:val="729C8973"/>
    <w:rsid w:val="72AE8279"/>
    <w:rsid w:val="72AFBC05"/>
    <w:rsid w:val="72B44A84"/>
    <w:rsid w:val="72B60F32"/>
    <w:rsid w:val="72B90C53"/>
    <w:rsid w:val="72BDC718"/>
    <w:rsid w:val="72C4D9F5"/>
    <w:rsid w:val="72CA9C26"/>
    <w:rsid w:val="72CEF431"/>
    <w:rsid w:val="72D2E641"/>
    <w:rsid w:val="72DA8EEE"/>
    <w:rsid w:val="72DCF5AE"/>
    <w:rsid w:val="72DD67D0"/>
    <w:rsid w:val="72F0990C"/>
    <w:rsid w:val="72F5D628"/>
    <w:rsid w:val="72F8C658"/>
    <w:rsid w:val="7306B460"/>
    <w:rsid w:val="730A67C6"/>
    <w:rsid w:val="730CA462"/>
    <w:rsid w:val="730F1429"/>
    <w:rsid w:val="73160E57"/>
    <w:rsid w:val="7318DEB3"/>
    <w:rsid w:val="731D1674"/>
    <w:rsid w:val="731E07FB"/>
    <w:rsid w:val="73302681"/>
    <w:rsid w:val="73341756"/>
    <w:rsid w:val="734977A7"/>
    <w:rsid w:val="734CBAE3"/>
    <w:rsid w:val="734D7061"/>
    <w:rsid w:val="73506252"/>
    <w:rsid w:val="73561D53"/>
    <w:rsid w:val="73571905"/>
    <w:rsid w:val="73610DF4"/>
    <w:rsid w:val="73618351"/>
    <w:rsid w:val="7365DAD7"/>
    <w:rsid w:val="7367E190"/>
    <w:rsid w:val="736AACC7"/>
    <w:rsid w:val="736F5EA9"/>
    <w:rsid w:val="73701A88"/>
    <w:rsid w:val="7375574A"/>
    <w:rsid w:val="7378FCC0"/>
    <w:rsid w:val="7379F38F"/>
    <w:rsid w:val="739A52A9"/>
    <w:rsid w:val="73A473A1"/>
    <w:rsid w:val="73ACB0AF"/>
    <w:rsid w:val="73BED36B"/>
    <w:rsid w:val="73C095F6"/>
    <w:rsid w:val="73C8BB66"/>
    <w:rsid w:val="73D44B7C"/>
    <w:rsid w:val="73D6CF36"/>
    <w:rsid w:val="73D96732"/>
    <w:rsid w:val="73DD1FD7"/>
    <w:rsid w:val="73E70218"/>
    <w:rsid w:val="73ECFABB"/>
    <w:rsid w:val="73F83376"/>
    <w:rsid w:val="73FD3E95"/>
    <w:rsid w:val="7400A19A"/>
    <w:rsid w:val="7408D2E7"/>
    <w:rsid w:val="74138043"/>
    <w:rsid w:val="741608DC"/>
    <w:rsid w:val="7427DA49"/>
    <w:rsid w:val="742A7910"/>
    <w:rsid w:val="742C1A01"/>
    <w:rsid w:val="7434278A"/>
    <w:rsid w:val="743B1898"/>
    <w:rsid w:val="74412905"/>
    <w:rsid w:val="744D6021"/>
    <w:rsid w:val="745531BC"/>
    <w:rsid w:val="7458A998"/>
    <w:rsid w:val="745B3855"/>
    <w:rsid w:val="745B945A"/>
    <w:rsid w:val="7465C020"/>
    <w:rsid w:val="74692480"/>
    <w:rsid w:val="74767E55"/>
    <w:rsid w:val="747BAA9B"/>
    <w:rsid w:val="747EC87E"/>
    <w:rsid w:val="74805B58"/>
    <w:rsid w:val="74A7A901"/>
    <w:rsid w:val="74A7D9C5"/>
    <w:rsid w:val="74AEA4E7"/>
    <w:rsid w:val="74B05D8E"/>
    <w:rsid w:val="74B7E68A"/>
    <w:rsid w:val="74C32FC5"/>
    <w:rsid w:val="74C83C0F"/>
    <w:rsid w:val="74CC46DA"/>
    <w:rsid w:val="74CD2887"/>
    <w:rsid w:val="74CEDC71"/>
    <w:rsid w:val="74CFE7B7"/>
    <w:rsid w:val="74D4E33C"/>
    <w:rsid w:val="74D9161C"/>
    <w:rsid w:val="74DAEC28"/>
    <w:rsid w:val="74F328E7"/>
    <w:rsid w:val="74F66062"/>
    <w:rsid w:val="74FD8943"/>
    <w:rsid w:val="750B6369"/>
    <w:rsid w:val="750BE8F7"/>
    <w:rsid w:val="7510A96E"/>
    <w:rsid w:val="7520BD42"/>
    <w:rsid w:val="752A0E19"/>
    <w:rsid w:val="752BDFE2"/>
    <w:rsid w:val="75438688"/>
    <w:rsid w:val="754DF7B9"/>
    <w:rsid w:val="754EEBA3"/>
    <w:rsid w:val="755C77C6"/>
    <w:rsid w:val="756BD276"/>
    <w:rsid w:val="7570D5F6"/>
    <w:rsid w:val="7577F211"/>
    <w:rsid w:val="757C8C03"/>
    <w:rsid w:val="75875550"/>
    <w:rsid w:val="758BEF80"/>
    <w:rsid w:val="758F4208"/>
    <w:rsid w:val="7598C27E"/>
    <w:rsid w:val="75991F8D"/>
    <w:rsid w:val="75A3E5A2"/>
    <w:rsid w:val="75A9F8A1"/>
    <w:rsid w:val="75B1446C"/>
    <w:rsid w:val="75B24F80"/>
    <w:rsid w:val="75BAC1E1"/>
    <w:rsid w:val="75BF4DA8"/>
    <w:rsid w:val="75BFB909"/>
    <w:rsid w:val="75C07EE2"/>
    <w:rsid w:val="75C6D6C1"/>
    <w:rsid w:val="75C7523E"/>
    <w:rsid w:val="75D71ACF"/>
    <w:rsid w:val="75DF7B1B"/>
    <w:rsid w:val="75EC516F"/>
    <w:rsid w:val="75F16A76"/>
    <w:rsid w:val="75FDBEA3"/>
    <w:rsid w:val="75FE529F"/>
    <w:rsid w:val="75FF5C19"/>
    <w:rsid w:val="7603911B"/>
    <w:rsid w:val="760E2B77"/>
    <w:rsid w:val="7614BF60"/>
    <w:rsid w:val="76176F69"/>
    <w:rsid w:val="76278E27"/>
    <w:rsid w:val="76320DD1"/>
    <w:rsid w:val="7635D14D"/>
    <w:rsid w:val="76363A11"/>
    <w:rsid w:val="763BEF92"/>
    <w:rsid w:val="764005A0"/>
    <w:rsid w:val="7641EFB3"/>
    <w:rsid w:val="764F1CF8"/>
    <w:rsid w:val="7654C277"/>
    <w:rsid w:val="7657AB93"/>
    <w:rsid w:val="76582003"/>
    <w:rsid w:val="765ACBD9"/>
    <w:rsid w:val="765FB33B"/>
    <w:rsid w:val="76642289"/>
    <w:rsid w:val="766CB32B"/>
    <w:rsid w:val="7673A545"/>
    <w:rsid w:val="76A692DE"/>
    <w:rsid w:val="76A7F3E1"/>
    <w:rsid w:val="76A9ECDD"/>
    <w:rsid w:val="76ADA40D"/>
    <w:rsid w:val="76B0D6FA"/>
    <w:rsid w:val="76C2BC4B"/>
    <w:rsid w:val="76C8B339"/>
    <w:rsid w:val="76D10414"/>
    <w:rsid w:val="76EF64FD"/>
    <w:rsid w:val="7700EFA5"/>
    <w:rsid w:val="770D6803"/>
    <w:rsid w:val="77135C50"/>
    <w:rsid w:val="7714AFCC"/>
    <w:rsid w:val="77178F5C"/>
    <w:rsid w:val="771C8000"/>
    <w:rsid w:val="771FDB42"/>
    <w:rsid w:val="77310A43"/>
    <w:rsid w:val="7732F19C"/>
    <w:rsid w:val="77369EBB"/>
    <w:rsid w:val="775466F9"/>
    <w:rsid w:val="775F7B0B"/>
    <w:rsid w:val="777F4397"/>
    <w:rsid w:val="7784BD50"/>
    <w:rsid w:val="7788EB0E"/>
    <w:rsid w:val="77925DB3"/>
    <w:rsid w:val="7794782A"/>
    <w:rsid w:val="77A82FCF"/>
    <w:rsid w:val="77A9FBD8"/>
    <w:rsid w:val="77ABEDF5"/>
    <w:rsid w:val="77AD8DFC"/>
    <w:rsid w:val="77AE234F"/>
    <w:rsid w:val="77B58128"/>
    <w:rsid w:val="77B79DCB"/>
    <w:rsid w:val="77D00E5D"/>
    <w:rsid w:val="77DB1F28"/>
    <w:rsid w:val="77DED8D6"/>
    <w:rsid w:val="77E62B1E"/>
    <w:rsid w:val="77E8877A"/>
    <w:rsid w:val="77EC3C77"/>
    <w:rsid w:val="77EDBF80"/>
    <w:rsid w:val="77F19F29"/>
    <w:rsid w:val="77F4A859"/>
    <w:rsid w:val="77F63E7B"/>
    <w:rsid w:val="77FE1DCD"/>
    <w:rsid w:val="77FE9F76"/>
    <w:rsid w:val="7800CA06"/>
    <w:rsid w:val="78041F53"/>
    <w:rsid w:val="78058B23"/>
    <w:rsid w:val="780C7180"/>
    <w:rsid w:val="78130C13"/>
    <w:rsid w:val="78251D36"/>
    <w:rsid w:val="78264C8C"/>
    <w:rsid w:val="782A0961"/>
    <w:rsid w:val="7830D5B3"/>
    <w:rsid w:val="78640F9F"/>
    <w:rsid w:val="78653456"/>
    <w:rsid w:val="7877BB6B"/>
    <w:rsid w:val="787B98D2"/>
    <w:rsid w:val="787CA8E8"/>
    <w:rsid w:val="788A8969"/>
    <w:rsid w:val="78A150EB"/>
    <w:rsid w:val="78A15AA7"/>
    <w:rsid w:val="78AFFB30"/>
    <w:rsid w:val="78BEAEDB"/>
    <w:rsid w:val="78CA18B5"/>
    <w:rsid w:val="78D0AE7F"/>
    <w:rsid w:val="78D15CEB"/>
    <w:rsid w:val="78E8B22B"/>
    <w:rsid w:val="78EF3A40"/>
    <w:rsid w:val="78F19EA7"/>
    <w:rsid w:val="78FEE301"/>
    <w:rsid w:val="7902945D"/>
    <w:rsid w:val="79066A92"/>
    <w:rsid w:val="791923C3"/>
    <w:rsid w:val="791C4CF8"/>
    <w:rsid w:val="7921E0D3"/>
    <w:rsid w:val="79257959"/>
    <w:rsid w:val="7925A6EF"/>
    <w:rsid w:val="792DA503"/>
    <w:rsid w:val="79410822"/>
    <w:rsid w:val="7946BC9B"/>
    <w:rsid w:val="79478D2D"/>
    <w:rsid w:val="7951E1BF"/>
    <w:rsid w:val="7956E0CF"/>
    <w:rsid w:val="7959A687"/>
    <w:rsid w:val="79654954"/>
    <w:rsid w:val="7982474F"/>
    <w:rsid w:val="79905AF2"/>
    <w:rsid w:val="7990A633"/>
    <w:rsid w:val="79924A2A"/>
    <w:rsid w:val="7998769E"/>
    <w:rsid w:val="7999EE2E"/>
    <w:rsid w:val="79AA65C4"/>
    <w:rsid w:val="79AD603A"/>
    <w:rsid w:val="79BB451A"/>
    <w:rsid w:val="79C7FA07"/>
    <w:rsid w:val="79CBD678"/>
    <w:rsid w:val="79F139C8"/>
    <w:rsid w:val="79F14AEE"/>
    <w:rsid w:val="79F5BCEA"/>
    <w:rsid w:val="79F6FA38"/>
    <w:rsid w:val="7A13927D"/>
    <w:rsid w:val="7A167521"/>
    <w:rsid w:val="7A26AC3F"/>
    <w:rsid w:val="7A2A4239"/>
    <w:rsid w:val="7A2F1FC8"/>
    <w:rsid w:val="7A300100"/>
    <w:rsid w:val="7A3FB58F"/>
    <w:rsid w:val="7A41D7B5"/>
    <w:rsid w:val="7A499C4C"/>
    <w:rsid w:val="7A4AC6AE"/>
    <w:rsid w:val="7A4BA358"/>
    <w:rsid w:val="7A50E54D"/>
    <w:rsid w:val="7A58EF8B"/>
    <w:rsid w:val="7A62975E"/>
    <w:rsid w:val="7A63CECA"/>
    <w:rsid w:val="7A6CB66F"/>
    <w:rsid w:val="7A7016D0"/>
    <w:rsid w:val="7A778E53"/>
    <w:rsid w:val="7A7974A8"/>
    <w:rsid w:val="7A7B6833"/>
    <w:rsid w:val="7A88C9F5"/>
    <w:rsid w:val="7A895DA4"/>
    <w:rsid w:val="7A8B7591"/>
    <w:rsid w:val="7A9E461F"/>
    <w:rsid w:val="7AA6A368"/>
    <w:rsid w:val="7AAB2D81"/>
    <w:rsid w:val="7AAE363D"/>
    <w:rsid w:val="7AB29605"/>
    <w:rsid w:val="7AB3D591"/>
    <w:rsid w:val="7ABF7822"/>
    <w:rsid w:val="7AC2928C"/>
    <w:rsid w:val="7ACC1BDB"/>
    <w:rsid w:val="7ACCD996"/>
    <w:rsid w:val="7AD00190"/>
    <w:rsid w:val="7AD1E73F"/>
    <w:rsid w:val="7AD28001"/>
    <w:rsid w:val="7AD2C417"/>
    <w:rsid w:val="7ADE480A"/>
    <w:rsid w:val="7AE4D303"/>
    <w:rsid w:val="7AE5A662"/>
    <w:rsid w:val="7AEB8446"/>
    <w:rsid w:val="7AEF3E8D"/>
    <w:rsid w:val="7AF433D4"/>
    <w:rsid w:val="7AF50BAA"/>
    <w:rsid w:val="7AFD926D"/>
    <w:rsid w:val="7B0119B5"/>
    <w:rsid w:val="7B017933"/>
    <w:rsid w:val="7B01F3BE"/>
    <w:rsid w:val="7B031AAE"/>
    <w:rsid w:val="7B051E9D"/>
    <w:rsid w:val="7B0B723D"/>
    <w:rsid w:val="7B0E8FF3"/>
    <w:rsid w:val="7B18EAEC"/>
    <w:rsid w:val="7B21A5B1"/>
    <w:rsid w:val="7B2265E2"/>
    <w:rsid w:val="7B2CBF1B"/>
    <w:rsid w:val="7B39305F"/>
    <w:rsid w:val="7B3E37B4"/>
    <w:rsid w:val="7B3E8AA9"/>
    <w:rsid w:val="7B55C6B8"/>
    <w:rsid w:val="7B581350"/>
    <w:rsid w:val="7B6321DA"/>
    <w:rsid w:val="7B6AE900"/>
    <w:rsid w:val="7B77623D"/>
    <w:rsid w:val="7B815EAA"/>
    <w:rsid w:val="7B822242"/>
    <w:rsid w:val="7B8843D3"/>
    <w:rsid w:val="7B8D78B5"/>
    <w:rsid w:val="7B8E1148"/>
    <w:rsid w:val="7B90086B"/>
    <w:rsid w:val="7BA72246"/>
    <w:rsid w:val="7BAF14B1"/>
    <w:rsid w:val="7BB0EB37"/>
    <w:rsid w:val="7BB2A077"/>
    <w:rsid w:val="7BBB5A7B"/>
    <w:rsid w:val="7BC35FDC"/>
    <w:rsid w:val="7BC53EED"/>
    <w:rsid w:val="7BD33682"/>
    <w:rsid w:val="7BF01F42"/>
    <w:rsid w:val="7BF3879A"/>
    <w:rsid w:val="7BF57070"/>
    <w:rsid w:val="7BFB3B0B"/>
    <w:rsid w:val="7BFC9BD1"/>
    <w:rsid w:val="7C0B8E0F"/>
    <w:rsid w:val="7C0D26A7"/>
    <w:rsid w:val="7C0F0446"/>
    <w:rsid w:val="7C19C378"/>
    <w:rsid w:val="7C239B37"/>
    <w:rsid w:val="7C23CD3F"/>
    <w:rsid w:val="7C4B10AF"/>
    <w:rsid w:val="7C4F6900"/>
    <w:rsid w:val="7C4F9BD1"/>
    <w:rsid w:val="7C512805"/>
    <w:rsid w:val="7C617EA9"/>
    <w:rsid w:val="7C61B9F5"/>
    <w:rsid w:val="7C6EC28A"/>
    <w:rsid w:val="7C782D04"/>
    <w:rsid w:val="7C78E2BA"/>
    <w:rsid w:val="7C82D1AE"/>
    <w:rsid w:val="7C8A7E67"/>
    <w:rsid w:val="7C8A8CA9"/>
    <w:rsid w:val="7C8CFB9C"/>
    <w:rsid w:val="7CAB3C61"/>
    <w:rsid w:val="7CADFC1A"/>
    <w:rsid w:val="7CAE90A8"/>
    <w:rsid w:val="7CBB7D70"/>
    <w:rsid w:val="7CC97CF7"/>
    <w:rsid w:val="7CCAC77E"/>
    <w:rsid w:val="7CDB35E0"/>
    <w:rsid w:val="7CED3B86"/>
    <w:rsid w:val="7CEECE93"/>
    <w:rsid w:val="7CF37B5A"/>
    <w:rsid w:val="7CF53E9E"/>
    <w:rsid w:val="7CF8AA5F"/>
    <w:rsid w:val="7D040649"/>
    <w:rsid w:val="7D0CF230"/>
    <w:rsid w:val="7D218E90"/>
    <w:rsid w:val="7D2645EB"/>
    <w:rsid w:val="7D2E5F23"/>
    <w:rsid w:val="7D32FC62"/>
    <w:rsid w:val="7D330CD8"/>
    <w:rsid w:val="7D3D989D"/>
    <w:rsid w:val="7D4CE6F3"/>
    <w:rsid w:val="7D4DE1DC"/>
    <w:rsid w:val="7D526811"/>
    <w:rsid w:val="7D5D7EA6"/>
    <w:rsid w:val="7D62DC65"/>
    <w:rsid w:val="7D647FCF"/>
    <w:rsid w:val="7D7203ED"/>
    <w:rsid w:val="7D757B9D"/>
    <w:rsid w:val="7D851C66"/>
    <w:rsid w:val="7D88F73A"/>
    <w:rsid w:val="7D8D8CEE"/>
    <w:rsid w:val="7D9225A3"/>
    <w:rsid w:val="7DA06188"/>
    <w:rsid w:val="7DA88D96"/>
    <w:rsid w:val="7DAB69C1"/>
    <w:rsid w:val="7DB7FB85"/>
    <w:rsid w:val="7DBDE606"/>
    <w:rsid w:val="7DD20700"/>
    <w:rsid w:val="7DDF43F5"/>
    <w:rsid w:val="7DE50ECF"/>
    <w:rsid w:val="7DE576B9"/>
    <w:rsid w:val="7DEC381F"/>
    <w:rsid w:val="7DEF0016"/>
    <w:rsid w:val="7DF6DDCC"/>
    <w:rsid w:val="7DFE275D"/>
    <w:rsid w:val="7E09085A"/>
    <w:rsid w:val="7E0B87B0"/>
    <w:rsid w:val="7E0E6328"/>
    <w:rsid w:val="7E158A6F"/>
    <w:rsid w:val="7E37D189"/>
    <w:rsid w:val="7E481196"/>
    <w:rsid w:val="7E51F27B"/>
    <w:rsid w:val="7E54CD1D"/>
    <w:rsid w:val="7E673876"/>
    <w:rsid w:val="7E68131F"/>
    <w:rsid w:val="7E711505"/>
    <w:rsid w:val="7E752C3E"/>
    <w:rsid w:val="7E77699F"/>
    <w:rsid w:val="7E7BB304"/>
    <w:rsid w:val="7E7EA1AB"/>
    <w:rsid w:val="7E8FDCE2"/>
    <w:rsid w:val="7E908543"/>
    <w:rsid w:val="7E932909"/>
    <w:rsid w:val="7E9E893C"/>
    <w:rsid w:val="7EA5CAF7"/>
    <w:rsid w:val="7EA90CF2"/>
    <w:rsid w:val="7EAB3D87"/>
    <w:rsid w:val="7EBCDD91"/>
    <w:rsid w:val="7EC057CA"/>
    <w:rsid w:val="7EC76FCD"/>
    <w:rsid w:val="7EC79F88"/>
    <w:rsid w:val="7ECC1E36"/>
    <w:rsid w:val="7ECECCC3"/>
    <w:rsid w:val="7ED191FF"/>
    <w:rsid w:val="7EDE73AA"/>
    <w:rsid w:val="7EE3957E"/>
    <w:rsid w:val="7EEEC788"/>
    <w:rsid w:val="7EF3A53A"/>
    <w:rsid w:val="7EF83E70"/>
    <w:rsid w:val="7F065D10"/>
    <w:rsid w:val="7F0D2DFF"/>
    <w:rsid w:val="7F128449"/>
    <w:rsid w:val="7F2197D7"/>
    <w:rsid w:val="7F246BFA"/>
    <w:rsid w:val="7F251593"/>
    <w:rsid w:val="7F27C004"/>
    <w:rsid w:val="7F3E1FCC"/>
    <w:rsid w:val="7F413501"/>
    <w:rsid w:val="7F4DD666"/>
    <w:rsid w:val="7F55F300"/>
    <w:rsid w:val="7F5A1F1B"/>
    <w:rsid w:val="7F61AA82"/>
    <w:rsid w:val="7F61AD41"/>
    <w:rsid w:val="7F68B503"/>
    <w:rsid w:val="7F6A8CF0"/>
    <w:rsid w:val="7F6F4254"/>
    <w:rsid w:val="7F731CB3"/>
    <w:rsid w:val="7F824A27"/>
    <w:rsid w:val="7F86A51B"/>
    <w:rsid w:val="7F8A4B51"/>
    <w:rsid w:val="7F91FCD7"/>
    <w:rsid w:val="7F973B7E"/>
    <w:rsid w:val="7F97A1F8"/>
    <w:rsid w:val="7F9D0866"/>
    <w:rsid w:val="7F9D70C3"/>
    <w:rsid w:val="7FA6E175"/>
    <w:rsid w:val="7FB7EBC5"/>
    <w:rsid w:val="7FB86BC3"/>
    <w:rsid w:val="7FD3863A"/>
    <w:rsid w:val="7FD7C5FD"/>
    <w:rsid w:val="7FE70D36"/>
    <w:rsid w:val="7FF37A1E"/>
    <w:rsid w:val="7FF47EBC"/>
    <w:rsid w:val="7FF81422"/>
    <w:rsid w:val="7FFB1AD0"/>
    <w:rsid w:val="7FFF04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4F61CD"/>
  <w15:docId w15:val="{3C4D70F5-80FC-40B8-AFD9-1B460043B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1E"/>
  </w:style>
  <w:style w:type="paragraph" w:styleId="Heading1">
    <w:name w:val="heading 1"/>
    <w:basedOn w:val="Normal"/>
    <w:next w:val="Normal"/>
    <w:link w:val="Heading1Char"/>
    <w:uiPriority w:val="9"/>
    <w:qFormat/>
    <w:rsid w:val="00C00FCF"/>
    <w:pPr>
      <w:keepNext/>
      <w:keepLines/>
      <w:spacing w:before="240" w:after="0" w:line="259" w:lineRule="auto"/>
      <w:outlineLvl w:val="0"/>
    </w:pPr>
    <w:rPr>
      <w:rFonts w:ascii="Arial" w:eastAsiaTheme="majorEastAsia" w:hAnsi="Arial"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00FCF"/>
    <w:pPr>
      <w:keepNext/>
      <w:keepLines/>
      <w:spacing w:before="40" w:after="0" w:line="259" w:lineRule="auto"/>
      <w:outlineLvl w:val="1"/>
    </w:pPr>
    <w:rPr>
      <w:rFonts w:ascii="Arial" w:eastAsiaTheme="majorEastAsia" w:hAnsi="Arial"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25F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25F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25F8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25F8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25F8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25F8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5F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23F22"/>
    <w:pPr>
      <w:ind w:left="720"/>
      <w:contextualSpacing/>
    </w:pPr>
  </w:style>
  <w:style w:type="table" w:styleId="TableGrid">
    <w:name w:val="Table Grid"/>
    <w:basedOn w:val="TableNormal"/>
    <w:uiPriority w:val="39"/>
    <w:rsid w:val="00EF6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A2495"/>
    <w:pPr>
      <w:numPr>
        <w:numId w:val="25"/>
      </w:numPr>
      <w:contextualSpacing/>
    </w:pPr>
  </w:style>
  <w:style w:type="paragraph" w:styleId="BalloonText">
    <w:name w:val="Balloon Text"/>
    <w:basedOn w:val="Normal"/>
    <w:link w:val="BalloonTextChar"/>
    <w:uiPriority w:val="99"/>
    <w:semiHidden/>
    <w:unhideWhenUsed/>
    <w:rsid w:val="00E52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689"/>
    <w:rPr>
      <w:rFonts w:ascii="Segoe UI" w:hAnsi="Segoe UI" w:cs="Segoe UI"/>
      <w:sz w:val="18"/>
      <w:szCs w:val="18"/>
    </w:rPr>
  </w:style>
  <w:style w:type="character" w:customStyle="1" w:styleId="Heading1Char">
    <w:name w:val="Heading 1 Char"/>
    <w:basedOn w:val="DefaultParagraphFont"/>
    <w:link w:val="Heading1"/>
    <w:uiPriority w:val="9"/>
    <w:rsid w:val="00C00FCF"/>
    <w:rPr>
      <w:rFonts w:ascii="Arial" w:eastAsiaTheme="majorEastAsia" w:hAnsi="Arial" w:cstheme="majorBidi"/>
      <w:color w:val="365F91" w:themeColor="accent1" w:themeShade="BF"/>
      <w:sz w:val="32"/>
      <w:szCs w:val="32"/>
    </w:rPr>
  </w:style>
  <w:style w:type="character" w:customStyle="1" w:styleId="Heading2Char">
    <w:name w:val="Heading 2 Char"/>
    <w:basedOn w:val="DefaultParagraphFont"/>
    <w:link w:val="Heading2"/>
    <w:uiPriority w:val="9"/>
    <w:rsid w:val="00C00FCF"/>
    <w:rPr>
      <w:rFonts w:ascii="Arial" w:eastAsiaTheme="majorEastAsia" w:hAnsi="Arial" w:cstheme="majorBidi"/>
      <w:color w:val="365F91" w:themeColor="accent1" w:themeShade="BF"/>
      <w:sz w:val="26"/>
      <w:szCs w:val="26"/>
    </w:rPr>
  </w:style>
  <w:style w:type="character" w:customStyle="1" w:styleId="ListParagraphChar">
    <w:name w:val="List Paragraph Char"/>
    <w:link w:val="ListParagraph"/>
    <w:uiPriority w:val="34"/>
    <w:locked/>
    <w:rsid w:val="00C00FCF"/>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F2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423"/>
  </w:style>
  <w:style w:type="paragraph" w:styleId="Footer">
    <w:name w:val="footer"/>
    <w:basedOn w:val="Normal"/>
    <w:link w:val="FooterChar"/>
    <w:uiPriority w:val="99"/>
    <w:unhideWhenUsed/>
    <w:rsid w:val="00DF2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423"/>
  </w:style>
  <w:style w:type="paragraph" w:styleId="CommentSubject">
    <w:name w:val="annotation subject"/>
    <w:basedOn w:val="CommentText"/>
    <w:next w:val="CommentText"/>
    <w:link w:val="CommentSubjectChar"/>
    <w:uiPriority w:val="99"/>
    <w:semiHidden/>
    <w:unhideWhenUsed/>
    <w:rsid w:val="002E23A3"/>
    <w:rPr>
      <w:b/>
      <w:bCs/>
    </w:rPr>
  </w:style>
  <w:style w:type="character" w:customStyle="1" w:styleId="CommentSubjectChar">
    <w:name w:val="Comment Subject Char"/>
    <w:basedOn w:val="CommentTextChar"/>
    <w:link w:val="CommentSubject"/>
    <w:uiPriority w:val="99"/>
    <w:semiHidden/>
    <w:rsid w:val="002E23A3"/>
    <w:rPr>
      <w:b/>
      <w:bCs/>
      <w:sz w:val="20"/>
      <w:szCs w:val="20"/>
    </w:rPr>
  </w:style>
  <w:style w:type="paragraph" w:styleId="TOCHeading">
    <w:name w:val="TOC Heading"/>
    <w:basedOn w:val="Heading1"/>
    <w:next w:val="Normal"/>
    <w:uiPriority w:val="39"/>
    <w:unhideWhenUsed/>
    <w:qFormat/>
    <w:rsid w:val="00BF5547"/>
    <w:pPr>
      <w:outlineLvl w:val="9"/>
    </w:pPr>
    <w:rPr>
      <w:rFonts w:asciiTheme="majorHAnsi" w:hAnsiTheme="majorHAnsi"/>
      <w:lang w:val="en-US"/>
    </w:rPr>
  </w:style>
  <w:style w:type="paragraph" w:styleId="TOC1">
    <w:name w:val="toc 1"/>
    <w:basedOn w:val="Normal"/>
    <w:next w:val="Normal"/>
    <w:autoRedefine/>
    <w:uiPriority w:val="39"/>
    <w:unhideWhenUsed/>
    <w:rsid w:val="00C87E32"/>
    <w:pPr>
      <w:tabs>
        <w:tab w:val="right" w:leader="dot" w:pos="10456"/>
      </w:tabs>
      <w:spacing w:after="100"/>
    </w:pPr>
  </w:style>
  <w:style w:type="paragraph" w:styleId="TOC2">
    <w:name w:val="toc 2"/>
    <w:basedOn w:val="Normal"/>
    <w:next w:val="Normal"/>
    <w:autoRedefine/>
    <w:uiPriority w:val="39"/>
    <w:unhideWhenUsed/>
    <w:rsid w:val="00BF5547"/>
    <w:pPr>
      <w:spacing w:after="100"/>
      <w:ind w:left="220"/>
    </w:pPr>
  </w:style>
  <w:style w:type="character" w:styleId="Hyperlink">
    <w:name w:val="Hyperlink"/>
    <w:basedOn w:val="DefaultParagraphFont"/>
    <w:uiPriority w:val="99"/>
    <w:unhideWhenUsed/>
    <w:rsid w:val="00BF5547"/>
    <w:rPr>
      <w:color w:val="0000FF" w:themeColor="hyperlink"/>
      <w:u w:val="single"/>
    </w:rPr>
  </w:style>
  <w:style w:type="paragraph" w:customStyle="1" w:styleId="paragraph">
    <w:name w:val="paragraph"/>
    <w:basedOn w:val="Normal"/>
    <w:rsid w:val="00E728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284A"/>
  </w:style>
  <w:style w:type="character" w:customStyle="1" w:styleId="eop">
    <w:name w:val="eop"/>
    <w:basedOn w:val="DefaultParagraphFont"/>
    <w:rsid w:val="00E7284A"/>
  </w:style>
  <w:style w:type="paragraph" w:styleId="NoSpacing">
    <w:name w:val="No Spacing"/>
    <w:link w:val="NoSpacingChar"/>
    <w:uiPriority w:val="1"/>
    <w:qFormat/>
    <w:rsid w:val="00C46F1C"/>
    <w:pPr>
      <w:spacing w:after="0" w:line="240" w:lineRule="auto"/>
    </w:pPr>
  </w:style>
  <w:style w:type="character" w:styleId="Strong">
    <w:name w:val="Strong"/>
    <w:basedOn w:val="DefaultParagraphFont"/>
    <w:uiPriority w:val="22"/>
    <w:qFormat/>
    <w:rsid w:val="00EE13AF"/>
    <w:rPr>
      <w:b/>
      <w:bCs/>
    </w:rPr>
  </w:style>
  <w:style w:type="paragraph" w:customStyle="1" w:styleId="Default">
    <w:name w:val="Default"/>
    <w:rsid w:val="00A9759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04D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730CCB"/>
  </w:style>
  <w:style w:type="character" w:styleId="UnresolvedMention">
    <w:name w:val="Unresolved Mention"/>
    <w:basedOn w:val="DefaultParagraphFont"/>
    <w:uiPriority w:val="99"/>
    <w:rsid w:val="001D47EF"/>
    <w:rPr>
      <w:color w:val="605E5C"/>
      <w:shd w:val="clear" w:color="auto" w:fill="E1DFDD"/>
    </w:rPr>
  </w:style>
  <w:style w:type="character" w:styleId="Mention">
    <w:name w:val="Mention"/>
    <w:basedOn w:val="DefaultParagraphFont"/>
    <w:uiPriority w:val="99"/>
    <w:rsid w:val="005F00A9"/>
    <w:rPr>
      <w:color w:val="2B579A"/>
      <w:shd w:val="clear" w:color="auto" w:fill="E1DFDD"/>
    </w:rPr>
  </w:style>
  <w:style w:type="paragraph" w:styleId="Revision">
    <w:name w:val="Revision"/>
    <w:hidden/>
    <w:uiPriority w:val="99"/>
    <w:semiHidden/>
    <w:rsid w:val="003E2C0E"/>
    <w:pPr>
      <w:spacing w:after="0" w:line="240" w:lineRule="auto"/>
    </w:pPr>
  </w:style>
  <w:style w:type="paragraph" w:styleId="Bibliography">
    <w:name w:val="Bibliography"/>
    <w:basedOn w:val="Normal"/>
    <w:next w:val="Normal"/>
    <w:uiPriority w:val="37"/>
    <w:semiHidden/>
    <w:unhideWhenUsed/>
    <w:rsid w:val="00125F87"/>
  </w:style>
  <w:style w:type="paragraph" w:styleId="BlockText">
    <w:name w:val="Block Text"/>
    <w:basedOn w:val="Normal"/>
    <w:uiPriority w:val="99"/>
    <w:semiHidden/>
    <w:unhideWhenUsed/>
    <w:rsid w:val="00125F8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25F87"/>
    <w:pPr>
      <w:spacing w:after="120"/>
    </w:pPr>
  </w:style>
  <w:style w:type="character" w:customStyle="1" w:styleId="BodyTextChar">
    <w:name w:val="Body Text Char"/>
    <w:basedOn w:val="DefaultParagraphFont"/>
    <w:link w:val="BodyText"/>
    <w:uiPriority w:val="99"/>
    <w:semiHidden/>
    <w:rsid w:val="00125F87"/>
  </w:style>
  <w:style w:type="paragraph" w:styleId="BodyText2">
    <w:name w:val="Body Text 2"/>
    <w:basedOn w:val="Normal"/>
    <w:link w:val="BodyText2Char"/>
    <w:uiPriority w:val="99"/>
    <w:semiHidden/>
    <w:unhideWhenUsed/>
    <w:rsid w:val="00125F87"/>
    <w:pPr>
      <w:spacing w:after="120" w:line="480" w:lineRule="auto"/>
    </w:pPr>
  </w:style>
  <w:style w:type="character" w:customStyle="1" w:styleId="BodyText2Char">
    <w:name w:val="Body Text 2 Char"/>
    <w:basedOn w:val="DefaultParagraphFont"/>
    <w:link w:val="BodyText2"/>
    <w:uiPriority w:val="99"/>
    <w:semiHidden/>
    <w:rsid w:val="00125F87"/>
  </w:style>
  <w:style w:type="paragraph" w:styleId="BodyText3">
    <w:name w:val="Body Text 3"/>
    <w:basedOn w:val="Normal"/>
    <w:link w:val="BodyText3Char"/>
    <w:uiPriority w:val="99"/>
    <w:semiHidden/>
    <w:unhideWhenUsed/>
    <w:rsid w:val="00125F87"/>
    <w:pPr>
      <w:spacing w:after="120"/>
    </w:pPr>
    <w:rPr>
      <w:sz w:val="16"/>
      <w:szCs w:val="16"/>
    </w:rPr>
  </w:style>
  <w:style w:type="character" w:customStyle="1" w:styleId="BodyText3Char">
    <w:name w:val="Body Text 3 Char"/>
    <w:basedOn w:val="DefaultParagraphFont"/>
    <w:link w:val="BodyText3"/>
    <w:uiPriority w:val="99"/>
    <w:semiHidden/>
    <w:rsid w:val="00125F87"/>
    <w:rPr>
      <w:sz w:val="16"/>
      <w:szCs w:val="16"/>
    </w:rPr>
  </w:style>
  <w:style w:type="paragraph" w:styleId="BodyTextFirstIndent">
    <w:name w:val="Body Text First Indent"/>
    <w:basedOn w:val="BodyText"/>
    <w:link w:val="BodyTextFirstIndentChar"/>
    <w:uiPriority w:val="99"/>
    <w:semiHidden/>
    <w:unhideWhenUsed/>
    <w:rsid w:val="00125F87"/>
    <w:pPr>
      <w:spacing w:after="200"/>
      <w:ind w:firstLine="360"/>
    </w:pPr>
  </w:style>
  <w:style w:type="character" w:customStyle="1" w:styleId="BodyTextFirstIndentChar">
    <w:name w:val="Body Text First Indent Char"/>
    <w:basedOn w:val="BodyTextChar"/>
    <w:link w:val="BodyTextFirstIndent"/>
    <w:uiPriority w:val="99"/>
    <w:semiHidden/>
    <w:rsid w:val="00125F87"/>
  </w:style>
  <w:style w:type="paragraph" w:styleId="BodyTextIndent">
    <w:name w:val="Body Text Indent"/>
    <w:basedOn w:val="Normal"/>
    <w:link w:val="BodyTextIndentChar"/>
    <w:uiPriority w:val="99"/>
    <w:semiHidden/>
    <w:unhideWhenUsed/>
    <w:rsid w:val="00125F87"/>
    <w:pPr>
      <w:spacing w:after="120"/>
      <w:ind w:left="283"/>
    </w:pPr>
  </w:style>
  <w:style w:type="character" w:customStyle="1" w:styleId="BodyTextIndentChar">
    <w:name w:val="Body Text Indent Char"/>
    <w:basedOn w:val="DefaultParagraphFont"/>
    <w:link w:val="BodyTextIndent"/>
    <w:uiPriority w:val="99"/>
    <w:semiHidden/>
    <w:rsid w:val="00125F87"/>
  </w:style>
  <w:style w:type="paragraph" w:styleId="BodyTextFirstIndent2">
    <w:name w:val="Body Text First Indent 2"/>
    <w:basedOn w:val="BodyTextIndent"/>
    <w:link w:val="BodyTextFirstIndent2Char"/>
    <w:uiPriority w:val="99"/>
    <w:semiHidden/>
    <w:unhideWhenUsed/>
    <w:rsid w:val="00125F8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25F87"/>
  </w:style>
  <w:style w:type="paragraph" w:styleId="BodyTextIndent2">
    <w:name w:val="Body Text Indent 2"/>
    <w:basedOn w:val="Normal"/>
    <w:link w:val="BodyTextIndent2Char"/>
    <w:uiPriority w:val="99"/>
    <w:semiHidden/>
    <w:unhideWhenUsed/>
    <w:rsid w:val="00125F87"/>
    <w:pPr>
      <w:spacing w:after="120" w:line="480" w:lineRule="auto"/>
      <w:ind w:left="283"/>
    </w:pPr>
  </w:style>
  <w:style w:type="character" w:customStyle="1" w:styleId="BodyTextIndent2Char">
    <w:name w:val="Body Text Indent 2 Char"/>
    <w:basedOn w:val="DefaultParagraphFont"/>
    <w:link w:val="BodyTextIndent2"/>
    <w:uiPriority w:val="99"/>
    <w:semiHidden/>
    <w:rsid w:val="00125F87"/>
  </w:style>
  <w:style w:type="paragraph" w:styleId="BodyTextIndent3">
    <w:name w:val="Body Text Indent 3"/>
    <w:basedOn w:val="Normal"/>
    <w:link w:val="BodyTextIndent3Char"/>
    <w:uiPriority w:val="99"/>
    <w:semiHidden/>
    <w:unhideWhenUsed/>
    <w:rsid w:val="00125F8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25F87"/>
    <w:rPr>
      <w:sz w:val="16"/>
      <w:szCs w:val="16"/>
    </w:rPr>
  </w:style>
  <w:style w:type="paragraph" w:styleId="Caption">
    <w:name w:val="caption"/>
    <w:basedOn w:val="Normal"/>
    <w:next w:val="Normal"/>
    <w:uiPriority w:val="35"/>
    <w:semiHidden/>
    <w:unhideWhenUsed/>
    <w:qFormat/>
    <w:rsid w:val="00125F87"/>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25F87"/>
    <w:pPr>
      <w:spacing w:after="0" w:line="240" w:lineRule="auto"/>
      <w:ind w:left="4252"/>
    </w:pPr>
  </w:style>
  <w:style w:type="character" w:customStyle="1" w:styleId="ClosingChar">
    <w:name w:val="Closing Char"/>
    <w:basedOn w:val="DefaultParagraphFont"/>
    <w:link w:val="Closing"/>
    <w:uiPriority w:val="99"/>
    <w:semiHidden/>
    <w:rsid w:val="00125F87"/>
  </w:style>
  <w:style w:type="paragraph" w:styleId="Date">
    <w:name w:val="Date"/>
    <w:basedOn w:val="Normal"/>
    <w:next w:val="Normal"/>
    <w:link w:val="DateChar"/>
    <w:uiPriority w:val="99"/>
    <w:semiHidden/>
    <w:unhideWhenUsed/>
    <w:rsid w:val="00125F87"/>
  </w:style>
  <w:style w:type="character" w:customStyle="1" w:styleId="DateChar">
    <w:name w:val="Date Char"/>
    <w:basedOn w:val="DefaultParagraphFont"/>
    <w:link w:val="Date"/>
    <w:uiPriority w:val="99"/>
    <w:semiHidden/>
    <w:rsid w:val="00125F87"/>
  </w:style>
  <w:style w:type="paragraph" w:styleId="DocumentMap">
    <w:name w:val="Document Map"/>
    <w:basedOn w:val="Normal"/>
    <w:link w:val="DocumentMapChar"/>
    <w:uiPriority w:val="99"/>
    <w:semiHidden/>
    <w:unhideWhenUsed/>
    <w:rsid w:val="00125F8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25F87"/>
    <w:rPr>
      <w:rFonts w:ascii="Segoe UI" w:hAnsi="Segoe UI" w:cs="Segoe UI"/>
      <w:sz w:val="16"/>
      <w:szCs w:val="16"/>
    </w:rPr>
  </w:style>
  <w:style w:type="paragraph" w:styleId="E-mailSignature">
    <w:name w:val="E-mail Signature"/>
    <w:basedOn w:val="Normal"/>
    <w:link w:val="E-mailSignatureChar"/>
    <w:uiPriority w:val="99"/>
    <w:semiHidden/>
    <w:unhideWhenUsed/>
    <w:rsid w:val="00125F87"/>
    <w:pPr>
      <w:spacing w:after="0" w:line="240" w:lineRule="auto"/>
    </w:pPr>
  </w:style>
  <w:style w:type="character" w:customStyle="1" w:styleId="E-mailSignatureChar">
    <w:name w:val="E-mail Signature Char"/>
    <w:basedOn w:val="DefaultParagraphFont"/>
    <w:link w:val="E-mailSignature"/>
    <w:uiPriority w:val="99"/>
    <w:semiHidden/>
    <w:rsid w:val="00125F87"/>
  </w:style>
  <w:style w:type="paragraph" w:styleId="EndnoteText">
    <w:name w:val="endnote text"/>
    <w:basedOn w:val="Normal"/>
    <w:link w:val="EndnoteTextChar"/>
    <w:uiPriority w:val="99"/>
    <w:semiHidden/>
    <w:unhideWhenUsed/>
    <w:rsid w:val="00125F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5F87"/>
    <w:rPr>
      <w:sz w:val="20"/>
      <w:szCs w:val="20"/>
    </w:rPr>
  </w:style>
  <w:style w:type="paragraph" w:styleId="EnvelopeAddress">
    <w:name w:val="envelope address"/>
    <w:basedOn w:val="Normal"/>
    <w:uiPriority w:val="99"/>
    <w:semiHidden/>
    <w:unhideWhenUsed/>
    <w:rsid w:val="00125F8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25F8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25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5F87"/>
    <w:rPr>
      <w:sz w:val="20"/>
      <w:szCs w:val="20"/>
    </w:rPr>
  </w:style>
  <w:style w:type="character" w:customStyle="1" w:styleId="Heading3Char">
    <w:name w:val="Heading 3 Char"/>
    <w:basedOn w:val="DefaultParagraphFont"/>
    <w:link w:val="Heading3"/>
    <w:uiPriority w:val="9"/>
    <w:semiHidden/>
    <w:rsid w:val="00125F8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25F8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25F8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25F8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25F8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25F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5F8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25F87"/>
    <w:pPr>
      <w:spacing w:after="0" w:line="240" w:lineRule="auto"/>
    </w:pPr>
    <w:rPr>
      <w:i/>
      <w:iCs/>
    </w:rPr>
  </w:style>
  <w:style w:type="character" w:customStyle="1" w:styleId="HTMLAddressChar">
    <w:name w:val="HTML Address Char"/>
    <w:basedOn w:val="DefaultParagraphFont"/>
    <w:link w:val="HTMLAddress"/>
    <w:uiPriority w:val="99"/>
    <w:semiHidden/>
    <w:rsid w:val="00125F87"/>
    <w:rPr>
      <w:i/>
      <w:iCs/>
    </w:rPr>
  </w:style>
  <w:style w:type="paragraph" w:styleId="HTMLPreformatted">
    <w:name w:val="HTML Preformatted"/>
    <w:basedOn w:val="Normal"/>
    <w:link w:val="HTMLPreformattedChar"/>
    <w:uiPriority w:val="99"/>
    <w:semiHidden/>
    <w:unhideWhenUsed/>
    <w:rsid w:val="00125F8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25F87"/>
    <w:rPr>
      <w:rFonts w:ascii="Consolas" w:hAnsi="Consolas"/>
      <w:sz w:val="20"/>
      <w:szCs w:val="20"/>
    </w:rPr>
  </w:style>
  <w:style w:type="paragraph" w:styleId="Index1">
    <w:name w:val="index 1"/>
    <w:basedOn w:val="Normal"/>
    <w:next w:val="Normal"/>
    <w:autoRedefine/>
    <w:uiPriority w:val="99"/>
    <w:semiHidden/>
    <w:unhideWhenUsed/>
    <w:rsid w:val="00125F87"/>
    <w:pPr>
      <w:spacing w:after="0" w:line="240" w:lineRule="auto"/>
      <w:ind w:left="220" w:hanging="220"/>
    </w:pPr>
  </w:style>
  <w:style w:type="paragraph" w:styleId="Index2">
    <w:name w:val="index 2"/>
    <w:basedOn w:val="Normal"/>
    <w:next w:val="Normal"/>
    <w:autoRedefine/>
    <w:uiPriority w:val="99"/>
    <w:semiHidden/>
    <w:unhideWhenUsed/>
    <w:rsid w:val="00125F87"/>
    <w:pPr>
      <w:spacing w:after="0" w:line="240" w:lineRule="auto"/>
      <w:ind w:left="440" w:hanging="220"/>
    </w:pPr>
  </w:style>
  <w:style w:type="paragraph" w:styleId="Index3">
    <w:name w:val="index 3"/>
    <w:basedOn w:val="Normal"/>
    <w:next w:val="Normal"/>
    <w:autoRedefine/>
    <w:uiPriority w:val="99"/>
    <w:semiHidden/>
    <w:unhideWhenUsed/>
    <w:rsid w:val="00125F87"/>
    <w:pPr>
      <w:spacing w:after="0" w:line="240" w:lineRule="auto"/>
      <w:ind w:left="660" w:hanging="220"/>
    </w:pPr>
  </w:style>
  <w:style w:type="paragraph" w:styleId="Index4">
    <w:name w:val="index 4"/>
    <w:basedOn w:val="Normal"/>
    <w:next w:val="Normal"/>
    <w:autoRedefine/>
    <w:uiPriority w:val="99"/>
    <w:semiHidden/>
    <w:unhideWhenUsed/>
    <w:rsid w:val="00125F87"/>
    <w:pPr>
      <w:spacing w:after="0" w:line="240" w:lineRule="auto"/>
      <w:ind w:left="880" w:hanging="220"/>
    </w:pPr>
  </w:style>
  <w:style w:type="paragraph" w:styleId="Index5">
    <w:name w:val="index 5"/>
    <w:basedOn w:val="Normal"/>
    <w:next w:val="Normal"/>
    <w:autoRedefine/>
    <w:uiPriority w:val="99"/>
    <w:semiHidden/>
    <w:unhideWhenUsed/>
    <w:rsid w:val="00125F87"/>
    <w:pPr>
      <w:spacing w:after="0" w:line="240" w:lineRule="auto"/>
      <w:ind w:left="1100" w:hanging="220"/>
    </w:pPr>
  </w:style>
  <w:style w:type="paragraph" w:styleId="Index6">
    <w:name w:val="index 6"/>
    <w:basedOn w:val="Normal"/>
    <w:next w:val="Normal"/>
    <w:autoRedefine/>
    <w:uiPriority w:val="99"/>
    <w:semiHidden/>
    <w:unhideWhenUsed/>
    <w:rsid w:val="00125F87"/>
    <w:pPr>
      <w:spacing w:after="0" w:line="240" w:lineRule="auto"/>
      <w:ind w:left="1320" w:hanging="220"/>
    </w:pPr>
  </w:style>
  <w:style w:type="paragraph" w:styleId="Index7">
    <w:name w:val="index 7"/>
    <w:basedOn w:val="Normal"/>
    <w:next w:val="Normal"/>
    <w:autoRedefine/>
    <w:uiPriority w:val="99"/>
    <w:semiHidden/>
    <w:unhideWhenUsed/>
    <w:rsid w:val="00125F87"/>
    <w:pPr>
      <w:spacing w:after="0" w:line="240" w:lineRule="auto"/>
      <w:ind w:left="1540" w:hanging="220"/>
    </w:pPr>
  </w:style>
  <w:style w:type="paragraph" w:styleId="Index8">
    <w:name w:val="index 8"/>
    <w:basedOn w:val="Normal"/>
    <w:next w:val="Normal"/>
    <w:autoRedefine/>
    <w:uiPriority w:val="99"/>
    <w:semiHidden/>
    <w:unhideWhenUsed/>
    <w:rsid w:val="00125F87"/>
    <w:pPr>
      <w:spacing w:after="0" w:line="240" w:lineRule="auto"/>
      <w:ind w:left="1760" w:hanging="220"/>
    </w:pPr>
  </w:style>
  <w:style w:type="paragraph" w:styleId="Index9">
    <w:name w:val="index 9"/>
    <w:basedOn w:val="Normal"/>
    <w:next w:val="Normal"/>
    <w:autoRedefine/>
    <w:uiPriority w:val="99"/>
    <w:semiHidden/>
    <w:unhideWhenUsed/>
    <w:rsid w:val="00125F87"/>
    <w:pPr>
      <w:spacing w:after="0" w:line="240" w:lineRule="auto"/>
      <w:ind w:left="1980" w:hanging="220"/>
    </w:pPr>
  </w:style>
  <w:style w:type="paragraph" w:styleId="IndexHeading">
    <w:name w:val="index heading"/>
    <w:basedOn w:val="Normal"/>
    <w:next w:val="Index1"/>
    <w:uiPriority w:val="99"/>
    <w:semiHidden/>
    <w:unhideWhenUsed/>
    <w:rsid w:val="00125F8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25F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25F87"/>
    <w:rPr>
      <w:i/>
      <w:iCs/>
      <w:color w:val="4F81BD" w:themeColor="accent1"/>
    </w:rPr>
  </w:style>
  <w:style w:type="paragraph" w:styleId="List">
    <w:name w:val="List"/>
    <w:basedOn w:val="Normal"/>
    <w:uiPriority w:val="99"/>
    <w:semiHidden/>
    <w:unhideWhenUsed/>
    <w:rsid w:val="00125F87"/>
    <w:pPr>
      <w:ind w:left="283" w:hanging="283"/>
      <w:contextualSpacing/>
    </w:pPr>
  </w:style>
  <w:style w:type="paragraph" w:styleId="List2">
    <w:name w:val="List 2"/>
    <w:basedOn w:val="Normal"/>
    <w:uiPriority w:val="99"/>
    <w:semiHidden/>
    <w:unhideWhenUsed/>
    <w:rsid w:val="00125F87"/>
    <w:pPr>
      <w:ind w:left="566" w:hanging="283"/>
      <w:contextualSpacing/>
    </w:pPr>
  </w:style>
  <w:style w:type="paragraph" w:styleId="List3">
    <w:name w:val="List 3"/>
    <w:basedOn w:val="Normal"/>
    <w:uiPriority w:val="99"/>
    <w:semiHidden/>
    <w:unhideWhenUsed/>
    <w:rsid w:val="00125F87"/>
    <w:pPr>
      <w:ind w:left="849" w:hanging="283"/>
      <w:contextualSpacing/>
    </w:pPr>
  </w:style>
  <w:style w:type="paragraph" w:styleId="List4">
    <w:name w:val="List 4"/>
    <w:basedOn w:val="Normal"/>
    <w:uiPriority w:val="99"/>
    <w:semiHidden/>
    <w:unhideWhenUsed/>
    <w:rsid w:val="00125F87"/>
    <w:pPr>
      <w:ind w:left="1132" w:hanging="283"/>
      <w:contextualSpacing/>
    </w:pPr>
  </w:style>
  <w:style w:type="paragraph" w:styleId="List5">
    <w:name w:val="List 5"/>
    <w:basedOn w:val="Normal"/>
    <w:uiPriority w:val="99"/>
    <w:semiHidden/>
    <w:unhideWhenUsed/>
    <w:rsid w:val="00125F87"/>
    <w:pPr>
      <w:ind w:left="1415" w:hanging="283"/>
      <w:contextualSpacing/>
    </w:pPr>
  </w:style>
  <w:style w:type="paragraph" w:styleId="ListBullet2">
    <w:name w:val="List Bullet 2"/>
    <w:basedOn w:val="Normal"/>
    <w:uiPriority w:val="99"/>
    <w:semiHidden/>
    <w:unhideWhenUsed/>
    <w:rsid w:val="00125F87"/>
    <w:pPr>
      <w:numPr>
        <w:numId w:val="42"/>
      </w:numPr>
      <w:contextualSpacing/>
    </w:pPr>
  </w:style>
  <w:style w:type="paragraph" w:styleId="ListBullet3">
    <w:name w:val="List Bullet 3"/>
    <w:basedOn w:val="Normal"/>
    <w:uiPriority w:val="99"/>
    <w:semiHidden/>
    <w:unhideWhenUsed/>
    <w:rsid w:val="00125F87"/>
    <w:pPr>
      <w:numPr>
        <w:numId w:val="43"/>
      </w:numPr>
      <w:contextualSpacing/>
    </w:pPr>
  </w:style>
  <w:style w:type="paragraph" w:styleId="ListBullet4">
    <w:name w:val="List Bullet 4"/>
    <w:basedOn w:val="Normal"/>
    <w:uiPriority w:val="99"/>
    <w:semiHidden/>
    <w:unhideWhenUsed/>
    <w:rsid w:val="00125F87"/>
    <w:pPr>
      <w:numPr>
        <w:numId w:val="44"/>
      </w:numPr>
      <w:contextualSpacing/>
    </w:pPr>
  </w:style>
  <w:style w:type="paragraph" w:styleId="ListBullet5">
    <w:name w:val="List Bullet 5"/>
    <w:basedOn w:val="Normal"/>
    <w:uiPriority w:val="99"/>
    <w:semiHidden/>
    <w:unhideWhenUsed/>
    <w:rsid w:val="00125F87"/>
    <w:pPr>
      <w:numPr>
        <w:numId w:val="45"/>
      </w:numPr>
      <w:contextualSpacing/>
    </w:pPr>
  </w:style>
  <w:style w:type="paragraph" w:styleId="ListContinue">
    <w:name w:val="List Continue"/>
    <w:basedOn w:val="Normal"/>
    <w:uiPriority w:val="99"/>
    <w:semiHidden/>
    <w:unhideWhenUsed/>
    <w:rsid w:val="00125F87"/>
    <w:pPr>
      <w:spacing w:after="120"/>
      <w:ind w:left="283"/>
      <w:contextualSpacing/>
    </w:pPr>
  </w:style>
  <w:style w:type="paragraph" w:styleId="ListContinue2">
    <w:name w:val="List Continue 2"/>
    <w:basedOn w:val="Normal"/>
    <w:uiPriority w:val="99"/>
    <w:semiHidden/>
    <w:unhideWhenUsed/>
    <w:rsid w:val="00125F87"/>
    <w:pPr>
      <w:spacing w:after="120"/>
      <w:ind w:left="566"/>
      <w:contextualSpacing/>
    </w:pPr>
  </w:style>
  <w:style w:type="paragraph" w:styleId="ListContinue3">
    <w:name w:val="List Continue 3"/>
    <w:basedOn w:val="Normal"/>
    <w:uiPriority w:val="99"/>
    <w:semiHidden/>
    <w:unhideWhenUsed/>
    <w:rsid w:val="00125F87"/>
    <w:pPr>
      <w:spacing w:after="120"/>
      <w:ind w:left="849"/>
      <w:contextualSpacing/>
    </w:pPr>
  </w:style>
  <w:style w:type="paragraph" w:styleId="ListContinue4">
    <w:name w:val="List Continue 4"/>
    <w:basedOn w:val="Normal"/>
    <w:uiPriority w:val="99"/>
    <w:semiHidden/>
    <w:unhideWhenUsed/>
    <w:rsid w:val="00125F87"/>
    <w:pPr>
      <w:spacing w:after="120"/>
      <w:ind w:left="1132"/>
      <w:contextualSpacing/>
    </w:pPr>
  </w:style>
  <w:style w:type="paragraph" w:styleId="ListContinue5">
    <w:name w:val="List Continue 5"/>
    <w:basedOn w:val="Normal"/>
    <w:uiPriority w:val="99"/>
    <w:semiHidden/>
    <w:unhideWhenUsed/>
    <w:rsid w:val="00125F87"/>
    <w:pPr>
      <w:spacing w:after="120"/>
      <w:ind w:left="1415"/>
      <w:contextualSpacing/>
    </w:pPr>
  </w:style>
  <w:style w:type="paragraph" w:styleId="ListNumber">
    <w:name w:val="List Number"/>
    <w:basedOn w:val="Normal"/>
    <w:uiPriority w:val="99"/>
    <w:semiHidden/>
    <w:unhideWhenUsed/>
    <w:rsid w:val="00125F87"/>
    <w:pPr>
      <w:numPr>
        <w:numId w:val="46"/>
      </w:numPr>
      <w:contextualSpacing/>
    </w:pPr>
  </w:style>
  <w:style w:type="paragraph" w:styleId="ListNumber2">
    <w:name w:val="List Number 2"/>
    <w:basedOn w:val="Normal"/>
    <w:uiPriority w:val="99"/>
    <w:semiHidden/>
    <w:unhideWhenUsed/>
    <w:rsid w:val="00125F87"/>
    <w:pPr>
      <w:numPr>
        <w:numId w:val="47"/>
      </w:numPr>
      <w:contextualSpacing/>
    </w:pPr>
  </w:style>
  <w:style w:type="paragraph" w:styleId="ListNumber3">
    <w:name w:val="List Number 3"/>
    <w:basedOn w:val="Normal"/>
    <w:uiPriority w:val="99"/>
    <w:semiHidden/>
    <w:unhideWhenUsed/>
    <w:rsid w:val="00125F87"/>
    <w:pPr>
      <w:numPr>
        <w:numId w:val="48"/>
      </w:numPr>
      <w:contextualSpacing/>
    </w:pPr>
  </w:style>
  <w:style w:type="paragraph" w:styleId="ListNumber4">
    <w:name w:val="List Number 4"/>
    <w:basedOn w:val="Normal"/>
    <w:uiPriority w:val="99"/>
    <w:semiHidden/>
    <w:unhideWhenUsed/>
    <w:rsid w:val="00125F87"/>
    <w:pPr>
      <w:numPr>
        <w:numId w:val="49"/>
      </w:numPr>
      <w:contextualSpacing/>
    </w:pPr>
  </w:style>
  <w:style w:type="paragraph" w:styleId="ListNumber5">
    <w:name w:val="List Number 5"/>
    <w:basedOn w:val="Normal"/>
    <w:uiPriority w:val="99"/>
    <w:semiHidden/>
    <w:unhideWhenUsed/>
    <w:rsid w:val="00125F87"/>
    <w:pPr>
      <w:numPr>
        <w:numId w:val="50"/>
      </w:numPr>
      <w:contextualSpacing/>
    </w:pPr>
  </w:style>
  <w:style w:type="paragraph" w:styleId="MacroText">
    <w:name w:val="macro"/>
    <w:link w:val="MacroTextChar"/>
    <w:uiPriority w:val="99"/>
    <w:semiHidden/>
    <w:unhideWhenUsed/>
    <w:rsid w:val="00125F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25F87"/>
    <w:rPr>
      <w:rFonts w:ascii="Consolas" w:hAnsi="Consolas"/>
      <w:sz w:val="20"/>
      <w:szCs w:val="20"/>
    </w:rPr>
  </w:style>
  <w:style w:type="paragraph" w:styleId="MessageHeader">
    <w:name w:val="Message Header"/>
    <w:basedOn w:val="Normal"/>
    <w:link w:val="MessageHeaderChar"/>
    <w:uiPriority w:val="99"/>
    <w:semiHidden/>
    <w:unhideWhenUsed/>
    <w:rsid w:val="00125F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25F8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25F87"/>
    <w:pPr>
      <w:ind w:left="720"/>
    </w:pPr>
  </w:style>
  <w:style w:type="paragraph" w:styleId="NoteHeading">
    <w:name w:val="Note Heading"/>
    <w:basedOn w:val="Normal"/>
    <w:next w:val="Normal"/>
    <w:link w:val="NoteHeadingChar"/>
    <w:uiPriority w:val="99"/>
    <w:rsid w:val="00125F87"/>
    <w:pPr>
      <w:spacing w:after="0" w:line="240" w:lineRule="auto"/>
    </w:pPr>
  </w:style>
  <w:style w:type="character" w:customStyle="1" w:styleId="NoteHeadingChar">
    <w:name w:val="Note Heading Char"/>
    <w:basedOn w:val="DefaultParagraphFont"/>
    <w:link w:val="NoteHeading"/>
    <w:uiPriority w:val="99"/>
    <w:rsid w:val="00125F87"/>
  </w:style>
  <w:style w:type="paragraph" w:styleId="PlainText">
    <w:name w:val="Plain Text"/>
    <w:basedOn w:val="Normal"/>
    <w:link w:val="PlainTextChar"/>
    <w:uiPriority w:val="99"/>
    <w:semiHidden/>
    <w:unhideWhenUsed/>
    <w:rsid w:val="00125F8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25F87"/>
    <w:rPr>
      <w:rFonts w:ascii="Consolas" w:hAnsi="Consolas"/>
      <w:sz w:val="21"/>
      <w:szCs w:val="21"/>
    </w:rPr>
  </w:style>
  <w:style w:type="paragraph" w:styleId="Quote">
    <w:name w:val="Quote"/>
    <w:basedOn w:val="Normal"/>
    <w:next w:val="Normal"/>
    <w:link w:val="QuoteChar"/>
    <w:uiPriority w:val="29"/>
    <w:qFormat/>
    <w:rsid w:val="00125F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25F87"/>
    <w:rPr>
      <w:i/>
      <w:iCs/>
      <w:color w:val="404040" w:themeColor="text1" w:themeTint="BF"/>
    </w:rPr>
  </w:style>
  <w:style w:type="paragraph" w:styleId="Salutation">
    <w:name w:val="Salutation"/>
    <w:basedOn w:val="Normal"/>
    <w:next w:val="Normal"/>
    <w:link w:val="SalutationChar"/>
    <w:uiPriority w:val="99"/>
    <w:semiHidden/>
    <w:unhideWhenUsed/>
    <w:rsid w:val="00125F87"/>
  </w:style>
  <w:style w:type="character" w:customStyle="1" w:styleId="SalutationChar">
    <w:name w:val="Salutation Char"/>
    <w:basedOn w:val="DefaultParagraphFont"/>
    <w:link w:val="Salutation"/>
    <w:uiPriority w:val="99"/>
    <w:semiHidden/>
    <w:rsid w:val="00125F87"/>
  </w:style>
  <w:style w:type="paragraph" w:styleId="Signature">
    <w:name w:val="Signature"/>
    <w:basedOn w:val="Normal"/>
    <w:link w:val="SignatureChar"/>
    <w:uiPriority w:val="99"/>
    <w:semiHidden/>
    <w:unhideWhenUsed/>
    <w:rsid w:val="00125F87"/>
    <w:pPr>
      <w:spacing w:after="0" w:line="240" w:lineRule="auto"/>
      <w:ind w:left="4252"/>
    </w:pPr>
  </w:style>
  <w:style w:type="character" w:customStyle="1" w:styleId="SignatureChar">
    <w:name w:val="Signature Char"/>
    <w:basedOn w:val="DefaultParagraphFont"/>
    <w:link w:val="Signature"/>
    <w:uiPriority w:val="99"/>
    <w:semiHidden/>
    <w:rsid w:val="00125F87"/>
  </w:style>
  <w:style w:type="paragraph" w:styleId="Subtitle">
    <w:name w:val="Subtitle"/>
    <w:basedOn w:val="Normal"/>
    <w:next w:val="Normal"/>
    <w:link w:val="SubtitleChar"/>
    <w:uiPriority w:val="11"/>
    <w:qFormat/>
    <w:rsid w:val="00125F8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5F8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25F87"/>
    <w:pPr>
      <w:spacing w:after="0"/>
      <w:ind w:left="220" w:hanging="220"/>
    </w:pPr>
  </w:style>
  <w:style w:type="paragraph" w:styleId="TableofFigures">
    <w:name w:val="table of figures"/>
    <w:basedOn w:val="Normal"/>
    <w:next w:val="Normal"/>
    <w:uiPriority w:val="99"/>
    <w:semiHidden/>
    <w:unhideWhenUsed/>
    <w:rsid w:val="00125F87"/>
    <w:pPr>
      <w:spacing w:after="0"/>
    </w:pPr>
  </w:style>
  <w:style w:type="paragraph" w:styleId="Title">
    <w:name w:val="Title"/>
    <w:basedOn w:val="Normal"/>
    <w:next w:val="Normal"/>
    <w:link w:val="TitleChar"/>
    <w:uiPriority w:val="10"/>
    <w:qFormat/>
    <w:rsid w:val="00125F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F8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25F87"/>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125F87"/>
    <w:pPr>
      <w:spacing w:after="100"/>
      <w:ind w:left="440"/>
    </w:pPr>
  </w:style>
  <w:style w:type="paragraph" w:styleId="TOC4">
    <w:name w:val="toc 4"/>
    <w:basedOn w:val="Normal"/>
    <w:next w:val="Normal"/>
    <w:autoRedefine/>
    <w:uiPriority w:val="39"/>
    <w:semiHidden/>
    <w:unhideWhenUsed/>
    <w:rsid w:val="00125F87"/>
    <w:pPr>
      <w:spacing w:after="100"/>
      <w:ind w:left="660"/>
    </w:pPr>
  </w:style>
  <w:style w:type="paragraph" w:styleId="TOC5">
    <w:name w:val="toc 5"/>
    <w:basedOn w:val="Normal"/>
    <w:next w:val="Normal"/>
    <w:autoRedefine/>
    <w:uiPriority w:val="39"/>
    <w:semiHidden/>
    <w:unhideWhenUsed/>
    <w:rsid w:val="00125F87"/>
    <w:pPr>
      <w:spacing w:after="100"/>
      <w:ind w:left="880"/>
    </w:pPr>
  </w:style>
  <w:style w:type="paragraph" w:styleId="TOC6">
    <w:name w:val="toc 6"/>
    <w:basedOn w:val="Normal"/>
    <w:next w:val="Normal"/>
    <w:autoRedefine/>
    <w:uiPriority w:val="39"/>
    <w:semiHidden/>
    <w:unhideWhenUsed/>
    <w:rsid w:val="00125F87"/>
    <w:pPr>
      <w:spacing w:after="100"/>
      <w:ind w:left="1100"/>
    </w:pPr>
  </w:style>
  <w:style w:type="paragraph" w:styleId="TOC7">
    <w:name w:val="toc 7"/>
    <w:basedOn w:val="Normal"/>
    <w:next w:val="Normal"/>
    <w:autoRedefine/>
    <w:uiPriority w:val="39"/>
    <w:semiHidden/>
    <w:unhideWhenUsed/>
    <w:rsid w:val="00125F87"/>
    <w:pPr>
      <w:spacing w:after="100"/>
      <w:ind w:left="1320"/>
    </w:pPr>
  </w:style>
  <w:style w:type="paragraph" w:styleId="TOC8">
    <w:name w:val="toc 8"/>
    <w:basedOn w:val="Normal"/>
    <w:next w:val="Normal"/>
    <w:autoRedefine/>
    <w:uiPriority w:val="39"/>
    <w:semiHidden/>
    <w:unhideWhenUsed/>
    <w:rsid w:val="00125F87"/>
    <w:pPr>
      <w:spacing w:after="100"/>
      <w:ind w:left="1540"/>
    </w:pPr>
  </w:style>
  <w:style w:type="paragraph" w:styleId="TOC9">
    <w:name w:val="toc 9"/>
    <w:basedOn w:val="Normal"/>
    <w:next w:val="Normal"/>
    <w:autoRedefine/>
    <w:uiPriority w:val="39"/>
    <w:semiHidden/>
    <w:unhideWhenUsed/>
    <w:rsid w:val="00125F87"/>
    <w:pPr>
      <w:spacing w:after="100"/>
      <w:ind w:left="1760"/>
    </w:pPr>
  </w:style>
  <w:style w:type="character" w:customStyle="1" w:styleId="ui-provider">
    <w:name w:val="ui-provider"/>
    <w:basedOn w:val="DefaultParagraphFont"/>
    <w:rsid w:val="00213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08189">
      <w:bodyDiv w:val="1"/>
      <w:marLeft w:val="0"/>
      <w:marRight w:val="0"/>
      <w:marTop w:val="0"/>
      <w:marBottom w:val="0"/>
      <w:divBdr>
        <w:top w:val="none" w:sz="0" w:space="0" w:color="auto"/>
        <w:left w:val="none" w:sz="0" w:space="0" w:color="auto"/>
        <w:bottom w:val="none" w:sz="0" w:space="0" w:color="auto"/>
        <w:right w:val="none" w:sz="0" w:space="0" w:color="auto"/>
      </w:divBdr>
    </w:div>
    <w:div w:id="187912851">
      <w:bodyDiv w:val="1"/>
      <w:marLeft w:val="0"/>
      <w:marRight w:val="0"/>
      <w:marTop w:val="0"/>
      <w:marBottom w:val="0"/>
      <w:divBdr>
        <w:top w:val="none" w:sz="0" w:space="0" w:color="auto"/>
        <w:left w:val="none" w:sz="0" w:space="0" w:color="auto"/>
        <w:bottom w:val="none" w:sz="0" w:space="0" w:color="auto"/>
        <w:right w:val="none" w:sz="0" w:space="0" w:color="auto"/>
      </w:divBdr>
    </w:div>
    <w:div w:id="205870339">
      <w:bodyDiv w:val="1"/>
      <w:marLeft w:val="0"/>
      <w:marRight w:val="0"/>
      <w:marTop w:val="0"/>
      <w:marBottom w:val="0"/>
      <w:divBdr>
        <w:top w:val="none" w:sz="0" w:space="0" w:color="auto"/>
        <w:left w:val="none" w:sz="0" w:space="0" w:color="auto"/>
        <w:bottom w:val="none" w:sz="0" w:space="0" w:color="auto"/>
        <w:right w:val="none" w:sz="0" w:space="0" w:color="auto"/>
      </w:divBdr>
    </w:div>
    <w:div w:id="233466512">
      <w:bodyDiv w:val="1"/>
      <w:marLeft w:val="0"/>
      <w:marRight w:val="0"/>
      <w:marTop w:val="0"/>
      <w:marBottom w:val="0"/>
      <w:divBdr>
        <w:top w:val="none" w:sz="0" w:space="0" w:color="auto"/>
        <w:left w:val="none" w:sz="0" w:space="0" w:color="auto"/>
        <w:bottom w:val="none" w:sz="0" w:space="0" w:color="auto"/>
        <w:right w:val="none" w:sz="0" w:space="0" w:color="auto"/>
      </w:divBdr>
    </w:div>
    <w:div w:id="252320082">
      <w:bodyDiv w:val="1"/>
      <w:marLeft w:val="0"/>
      <w:marRight w:val="0"/>
      <w:marTop w:val="0"/>
      <w:marBottom w:val="0"/>
      <w:divBdr>
        <w:top w:val="none" w:sz="0" w:space="0" w:color="auto"/>
        <w:left w:val="none" w:sz="0" w:space="0" w:color="auto"/>
        <w:bottom w:val="none" w:sz="0" w:space="0" w:color="auto"/>
        <w:right w:val="none" w:sz="0" w:space="0" w:color="auto"/>
      </w:divBdr>
    </w:div>
    <w:div w:id="272564539">
      <w:bodyDiv w:val="1"/>
      <w:marLeft w:val="0"/>
      <w:marRight w:val="0"/>
      <w:marTop w:val="0"/>
      <w:marBottom w:val="0"/>
      <w:divBdr>
        <w:top w:val="none" w:sz="0" w:space="0" w:color="auto"/>
        <w:left w:val="none" w:sz="0" w:space="0" w:color="auto"/>
        <w:bottom w:val="none" w:sz="0" w:space="0" w:color="auto"/>
        <w:right w:val="none" w:sz="0" w:space="0" w:color="auto"/>
      </w:divBdr>
    </w:div>
    <w:div w:id="319114352">
      <w:bodyDiv w:val="1"/>
      <w:marLeft w:val="0"/>
      <w:marRight w:val="0"/>
      <w:marTop w:val="0"/>
      <w:marBottom w:val="0"/>
      <w:divBdr>
        <w:top w:val="none" w:sz="0" w:space="0" w:color="auto"/>
        <w:left w:val="none" w:sz="0" w:space="0" w:color="auto"/>
        <w:bottom w:val="none" w:sz="0" w:space="0" w:color="auto"/>
        <w:right w:val="none" w:sz="0" w:space="0" w:color="auto"/>
      </w:divBdr>
    </w:div>
    <w:div w:id="324939360">
      <w:bodyDiv w:val="1"/>
      <w:marLeft w:val="0"/>
      <w:marRight w:val="0"/>
      <w:marTop w:val="0"/>
      <w:marBottom w:val="0"/>
      <w:divBdr>
        <w:top w:val="none" w:sz="0" w:space="0" w:color="auto"/>
        <w:left w:val="none" w:sz="0" w:space="0" w:color="auto"/>
        <w:bottom w:val="none" w:sz="0" w:space="0" w:color="auto"/>
        <w:right w:val="none" w:sz="0" w:space="0" w:color="auto"/>
      </w:divBdr>
    </w:div>
    <w:div w:id="331179911">
      <w:bodyDiv w:val="1"/>
      <w:marLeft w:val="0"/>
      <w:marRight w:val="0"/>
      <w:marTop w:val="0"/>
      <w:marBottom w:val="0"/>
      <w:divBdr>
        <w:top w:val="none" w:sz="0" w:space="0" w:color="auto"/>
        <w:left w:val="none" w:sz="0" w:space="0" w:color="auto"/>
        <w:bottom w:val="none" w:sz="0" w:space="0" w:color="auto"/>
        <w:right w:val="none" w:sz="0" w:space="0" w:color="auto"/>
      </w:divBdr>
      <w:divsChild>
        <w:div w:id="135343658">
          <w:marLeft w:val="0"/>
          <w:marRight w:val="0"/>
          <w:marTop w:val="0"/>
          <w:marBottom w:val="0"/>
          <w:divBdr>
            <w:top w:val="none" w:sz="0" w:space="0" w:color="auto"/>
            <w:left w:val="none" w:sz="0" w:space="0" w:color="auto"/>
            <w:bottom w:val="none" w:sz="0" w:space="0" w:color="auto"/>
            <w:right w:val="none" w:sz="0" w:space="0" w:color="auto"/>
          </w:divBdr>
        </w:div>
        <w:div w:id="461313737">
          <w:marLeft w:val="0"/>
          <w:marRight w:val="0"/>
          <w:marTop w:val="0"/>
          <w:marBottom w:val="0"/>
          <w:divBdr>
            <w:top w:val="none" w:sz="0" w:space="0" w:color="auto"/>
            <w:left w:val="none" w:sz="0" w:space="0" w:color="auto"/>
            <w:bottom w:val="none" w:sz="0" w:space="0" w:color="auto"/>
            <w:right w:val="none" w:sz="0" w:space="0" w:color="auto"/>
          </w:divBdr>
        </w:div>
        <w:div w:id="581645679">
          <w:marLeft w:val="0"/>
          <w:marRight w:val="0"/>
          <w:marTop w:val="0"/>
          <w:marBottom w:val="0"/>
          <w:divBdr>
            <w:top w:val="none" w:sz="0" w:space="0" w:color="auto"/>
            <w:left w:val="none" w:sz="0" w:space="0" w:color="auto"/>
            <w:bottom w:val="none" w:sz="0" w:space="0" w:color="auto"/>
            <w:right w:val="none" w:sz="0" w:space="0" w:color="auto"/>
          </w:divBdr>
        </w:div>
        <w:div w:id="1035040225">
          <w:marLeft w:val="0"/>
          <w:marRight w:val="0"/>
          <w:marTop w:val="0"/>
          <w:marBottom w:val="0"/>
          <w:divBdr>
            <w:top w:val="none" w:sz="0" w:space="0" w:color="auto"/>
            <w:left w:val="none" w:sz="0" w:space="0" w:color="auto"/>
            <w:bottom w:val="none" w:sz="0" w:space="0" w:color="auto"/>
            <w:right w:val="none" w:sz="0" w:space="0" w:color="auto"/>
          </w:divBdr>
        </w:div>
        <w:div w:id="1582640312">
          <w:marLeft w:val="0"/>
          <w:marRight w:val="0"/>
          <w:marTop w:val="0"/>
          <w:marBottom w:val="0"/>
          <w:divBdr>
            <w:top w:val="none" w:sz="0" w:space="0" w:color="auto"/>
            <w:left w:val="none" w:sz="0" w:space="0" w:color="auto"/>
            <w:bottom w:val="none" w:sz="0" w:space="0" w:color="auto"/>
            <w:right w:val="none" w:sz="0" w:space="0" w:color="auto"/>
          </w:divBdr>
        </w:div>
        <w:div w:id="1702902730">
          <w:marLeft w:val="0"/>
          <w:marRight w:val="0"/>
          <w:marTop w:val="0"/>
          <w:marBottom w:val="0"/>
          <w:divBdr>
            <w:top w:val="none" w:sz="0" w:space="0" w:color="auto"/>
            <w:left w:val="none" w:sz="0" w:space="0" w:color="auto"/>
            <w:bottom w:val="none" w:sz="0" w:space="0" w:color="auto"/>
            <w:right w:val="none" w:sz="0" w:space="0" w:color="auto"/>
          </w:divBdr>
        </w:div>
        <w:div w:id="1854413194">
          <w:marLeft w:val="0"/>
          <w:marRight w:val="0"/>
          <w:marTop w:val="0"/>
          <w:marBottom w:val="0"/>
          <w:divBdr>
            <w:top w:val="none" w:sz="0" w:space="0" w:color="auto"/>
            <w:left w:val="none" w:sz="0" w:space="0" w:color="auto"/>
            <w:bottom w:val="none" w:sz="0" w:space="0" w:color="auto"/>
            <w:right w:val="none" w:sz="0" w:space="0" w:color="auto"/>
          </w:divBdr>
        </w:div>
      </w:divsChild>
    </w:div>
    <w:div w:id="438767774">
      <w:bodyDiv w:val="1"/>
      <w:marLeft w:val="0"/>
      <w:marRight w:val="0"/>
      <w:marTop w:val="0"/>
      <w:marBottom w:val="0"/>
      <w:divBdr>
        <w:top w:val="none" w:sz="0" w:space="0" w:color="auto"/>
        <w:left w:val="none" w:sz="0" w:space="0" w:color="auto"/>
        <w:bottom w:val="none" w:sz="0" w:space="0" w:color="auto"/>
        <w:right w:val="none" w:sz="0" w:space="0" w:color="auto"/>
      </w:divBdr>
    </w:div>
    <w:div w:id="445545025">
      <w:bodyDiv w:val="1"/>
      <w:marLeft w:val="0"/>
      <w:marRight w:val="0"/>
      <w:marTop w:val="0"/>
      <w:marBottom w:val="0"/>
      <w:divBdr>
        <w:top w:val="none" w:sz="0" w:space="0" w:color="auto"/>
        <w:left w:val="none" w:sz="0" w:space="0" w:color="auto"/>
        <w:bottom w:val="none" w:sz="0" w:space="0" w:color="auto"/>
        <w:right w:val="none" w:sz="0" w:space="0" w:color="auto"/>
      </w:divBdr>
      <w:divsChild>
        <w:div w:id="1307707350">
          <w:marLeft w:val="0"/>
          <w:marRight w:val="0"/>
          <w:marTop w:val="0"/>
          <w:marBottom w:val="0"/>
          <w:divBdr>
            <w:top w:val="none" w:sz="0" w:space="0" w:color="auto"/>
            <w:left w:val="none" w:sz="0" w:space="0" w:color="auto"/>
            <w:bottom w:val="none" w:sz="0" w:space="0" w:color="auto"/>
            <w:right w:val="none" w:sz="0" w:space="0" w:color="auto"/>
          </w:divBdr>
        </w:div>
      </w:divsChild>
    </w:div>
    <w:div w:id="496766899">
      <w:bodyDiv w:val="1"/>
      <w:marLeft w:val="0"/>
      <w:marRight w:val="0"/>
      <w:marTop w:val="0"/>
      <w:marBottom w:val="0"/>
      <w:divBdr>
        <w:top w:val="none" w:sz="0" w:space="0" w:color="auto"/>
        <w:left w:val="none" w:sz="0" w:space="0" w:color="auto"/>
        <w:bottom w:val="none" w:sz="0" w:space="0" w:color="auto"/>
        <w:right w:val="none" w:sz="0" w:space="0" w:color="auto"/>
      </w:divBdr>
    </w:div>
    <w:div w:id="504829660">
      <w:bodyDiv w:val="1"/>
      <w:marLeft w:val="0"/>
      <w:marRight w:val="0"/>
      <w:marTop w:val="0"/>
      <w:marBottom w:val="0"/>
      <w:divBdr>
        <w:top w:val="none" w:sz="0" w:space="0" w:color="auto"/>
        <w:left w:val="none" w:sz="0" w:space="0" w:color="auto"/>
        <w:bottom w:val="none" w:sz="0" w:space="0" w:color="auto"/>
        <w:right w:val="none" w:sz="0" w:space="0" w:color="auto"/>
      </w:divBdr>
    </w:div>
    <w:div w:id="533082786">
      <w:bodyDiv w:val="1"/>
      <w:marLeft w:val="0"/>
      <w:marRight w:val="0"/>
      <w:marTop w:val="0"/>
      <w:marBottom w:val="0"/>
      <w:divBdr>
        <w:top w:val="none" w:sz="0" w:space="0" w:color="auto"/>
        <w:left w:val="none" w:sz="0" w:space="0" w:color="auto"/>
        <w:bottom w:val="none" w:sz="0" w:space="0" w:color="auto"/>
        <w:right w:val="none" w:sz="0" w:space="0" w:color="auto"/>
      </w:divBdr>
    </w:div>
    <w:div w:id="553976024">
      <w:bodyDiv w:val="1"/>
      <w:marLeft w:val="0"/>
      <w:marRight w:val="0"/>
      <w:marTop w:val="0"/>
      <w:marBottom w:val="0"/>
      <w:divBdr>
        <w:top w:val="none" w:sz="0" w:space="0" w:color="auto"/>
        <w:left w:val="none" w:sz="0" w:space="0" w:color="auto"/>
        <w:bottom w:val="none" w:sz="0" w:space="0" w:color="auto"/>
        <w:right w:val="none" w:sz="0" w:space="0" w:color="auto"/>
      </w:divBdr>
    </w:div>
    <w:div w:id="567347709">
      <w:bodyDiv w:val="1"/>
      <w:marLeft w:val="0"/>
      <w:marRight w:val="0"/>
      <w:marTop w:val="0"/>
      <w:marBottom w:val="0"/>
      <w:divBdr>
        <w:top w:val="none" w:sz="0" w:space="0" w:color="auto"/>
        <w:left w:val="none" w:sz="0" w:space="0" w:color="auto"/>
        <w:bottom w:val="none" w:sz="0" w:space="0" w:color="auto"/>
        <w:right w:val="none" w:sz="0" w:space="0" w:color="auto"/>
      </w:divBdr>
    </w:div>
    <w:div w:id="567572818">
      <w:bodyDiv w:val="1"/>
      <w:marLeft w:val="0"/>
      <w:marRight w:val="0"/>
      <w:marTop w:val="0"/>
      <w:marBottom w:val="0"/>
      <w:divBdr>
        <w:top w:val="none" w:sz="0" w:space="0" w:color="auto"/>
        <w:left w:val="none" w:sz="0" w:space="0" w:color="auto"/>
        <w:bottom w:val="none" w:sz="0" w:space="0" w:color="auto"/>
        <w:right w:val="none" w:sz="0" w:space="0" w:color="auto"/>
      </w:divBdr>
      <w:divsChild>
        <w:div w:id="1043409243">
          <w:marLeft w:val="0"/>
          <w:marRight w:val="0"/>
          <w:marTop w:val="0"/>
          <w:marBottom w:val="0"/>
          <w:divBdr>
            <w:top w:val="none" w:sz="0" w:space="0" w:color="auto"/>
            <w:left w:val="none" w:sz="0" w:space="0" w:color="auto"/>
            <w:bottom w:val="none" w:sz="0" w:space="0" w:color="auto"/>
            <w:right w:val="none" w:sz="0" w:space="0" w:color="auto"/>
          </w:divBdr>
        </w:div>
      </w:divsChild>
    </w:div>
    <w:div w:id="638731249">
      <w:bodyDiv w:val="1"/>
      <w:marLeft w:val="0"/>
      <w:marRight w:val="0"/>
      <w:marTop w:val="0"/>
      <w:marBottom w:val="0"/>
      <w:divBdr>
        <w:top w:val="none" w:sz="0" w:space="0" w:color="auto"/>
        <w:left w:val="none" w:sz="0" w:space="0" w:color="auto"/>
        <w:bottom w:val="none" w:sz="0" w:space="0" w:color="auto"/>
        <w:right w:val="none" w:sz="0" w:space="0" w:color="auto"/>
      </w:divBdr>
    </w:div>
    <w:div w:id="646516973">
      <w:bodyDiv w:val="1"/>
      <w:marLeft w:val="0"/>
      <w:marRight w:val="0"/>
      <w:marTop w:val="0"/>
      <w:marBottom w:val="0"/>
      <w:divBdr>
        <w:top w:val="none" w:sz="0" w:space="0" w:color="auto"/>
        <w:left w:val="none" w:sz="0" w:space="0" w:color="auto"/>
        <w:bottom w:val="none" w:sz="0" w:space="0" w:color="auto"/>
        <w:right w:val="none" w:sz="0" w:space="0" w:color="auto"/>
      </w:divBdr>
    </w:div>
    <w:div w:id="665743949">
      <w:bodyDiv w:val="1"/>
      <w:marLeft w:val="0"/>
      <w:marRight w:val="0"/>
      <w:marTop w:val="0"/>
      <w:marBottom w:val="0"/>
      <w:divBdr>
        <w:top w:val="none" w:sz="0" w:space="0" w:color="auto"/>
        <w:left w:val="none" w:sz="0" w:space="0" w:color="auto"/>
        <w:bottom w:val="none" w:sz="0" w:space="0" w:color="auto"/>
        <w:right w:val="none" w:sz="0" w:space="0" w:color="auto"/>
      </w:divBdr>
    </w:div>
    <w:div w:id="686953988">
      <w:bodyDiv w:val="1"/>
      <w:marLeft w:val="0"/>
      <w:marRight w:val="0"/>
      <w:marTop w:val="0"/>
      <w:marBottom w:val="0"/>
      <w:divBdr>
        <w:top w:val="none" w:sz="0" w:space="0" w:color="auto"/>
        <w:left w:val="none" w:sz="0" w:space="0" w:color="auto"/>
        <w:bottom w:val="none" w:sz="0" w:space="0" w:color="auto"/>
        <w:right w:val="none" w:sz="0" w:space="0" w:color="auto"/>
      </w:divBdr>
    </w:div>
    <w:div w:id="734933876">
      <w:bodyDiv w:val="1"/>
      <w:marLeft w:val="0"/>
      <w:marRight w:val="0"/>
      <w:marTop w:val="0"/>
      <w:marBottom w:val="0"/>
      <w:divBdr>
        <w:top w:val="none" w:sz="0" w:space="0" w:color="auto"/>
        <w:left w:val="none" w:sz="0" w:space="0" w:color="auto"/>
        <w:bottom w:val="none" w:sz="0" w:space="0" w:color="auto"/>
        <w:right w:val="none" w:sz="0" w:space="0" w:color="auto"/>
      </w:divBdr>
    </w:div>
    <w:div w:id="746465437">
      <w:bodyDiv w:val="1"/>
      <w:marLeft w:val="0"/>
      <w:marRight w:val="0"/>
      <w:marTop w:val="0"/>
      <w:marBottom w:val="0"/>
      <w:divBdr>
        <w:top w:val="none" w:sz="0" w:space="0" w:color="auto"/>
        <w:left w:val="none" w:sz="0" w:space="0" w:color="auto"/>
        <w:bottom w:val="none" w:sz="0" w:space="0" w:color="auto"/>
        <w:right w:val="none" w:sz="0" w:space="0" w:color="auto"/>
      </w:divBdr>
    </w:div>
    <w:div w:id="768503410">
      <w:bodyDiv w:val="1"/>
      <w:marLeft w:val="0"/>
      <w:marRight w:val="0"/>
      <w:marTop w:val="0"/>
      <w:marBottom w:val="0"/>
      <w:divBdr>
        <w:top w:val="none" w:sz="0" w:space="0" w:color="auto"/>
        <w:left w:val="none" w:sz="0" w:space="0" w:color="auto"/>
        <w:bottom w:val="none" w:sz="0" w:space="0" w:color="auto"/>
        <w:right w:val="none" w:sz="0" w:space="0" w:color="auto"/>
      </w:divBdr>
    </w:div>
    <w:div w:id="803617635">
      <w:bodyDiv w:val="1"/>
      <w:marLeft w:val="0"/>
      <w:marRight w:val="0"/>
      <w:marTop w:val="0"/>
      <w:marBottom w:val="0"/>
      <w:divBdr>
        <w:top w:val="none" w:sz="0" w:space="0" w:color="auto"/>
        <w:left w:val="none" w:sz="0" w:space="0" w:color="auto"/>
        <w:bottom w:val="none" w:sz="0" w:space="0" w:color="auto"/>
        <w:right w:val="none" w:sz="0" w:space="0" w:color="auto"/>
      </w:divBdr>
    </w:div>
    <w:div w:id="857541156">
      <w:bodyDiv w:val="1"/>
      <w:marLeft w:val="0"/>
      <w:marRight w:val="0"/>
      <w:marTop w:val="0"/>
      <w:marBottom w:val="0"/>
      <w:divBdr>
        <w:top w:val="none" w:sz="0" w:space="0" w:color="auto"/>
        <w:left w:val="none" w:sz="0" w:space="0" w:color="auto"/>
        <w:bottom w:val="none" w:sz="0" w:space="0" w:color="auto"/>
        <w:right w:val="none" w:sz="0" w:space="0" w:color="auto"/>
      </w:divBdr>
    </w:div>
    <w:div w:id="874386487">
      <w:bodyDiv w:val="1"/>
      <w:marLeft w:val="0"/>
      <w:marRight w:val="0"/>
      <w:marTop w:val="0"/>
      <w:marBottom w:val="0"/>
      <w:divBdr>
        <w:top w:val="none" w:sz="0" w:space="0" w:color="auto"/>
        <w:left w:val="none" w:sz="0" w:space="0" w:color="auto"/>
        <w:bottom w:val="none" w:sz="0" w:space="0" w:color="auto"/>
        <w:right w:val="none" w:sz="0" w:space="0" w:color="auto"/>
      </w:divBdr>
    </w:div>
    <w:div w:id="900334709">
      <w:bodyDiv w:val="1"/>
      <w:marLeft w:val="0"/>
      <w:marRight w:val="0"/>
      <w:marTop w:val="0"/>
      <w:marBottom w:val="0"/>
      <w:divBdr>
        <w:top w:val="none" w:sz="0" w:space="0" w:color="auto"/>
        <w:left w:val="none" w:sz="0" w:space="0" w:color="auto"/>
        <w:bottom w:val="none" w:sz="0" w:space="0" w:color="auto"/>
        <w:right w:val="none" w:sz="0" w:space="0" w:color="auto"/>
      </w:divBdr>
    </w:div>
    <w:div w:id="900678405">
      <w:bodyDiv w:val="1"/>
      <w:marLeft w:val="0"/>
      <w:marRight w:val="0"/>
      <w:marTop w:val="0"/>
      <w:marBottom w:val="0"/>
      <w:divBdr>
        <w:top w:val="none" w:sz="0" w:space="0" w:color="auto"/>
        <w:left w:val="none" w:sz="0" w:space="0" w:color="auto"/>
        <w:bottom w:val="none" w:sz="0" w:space="0" w:color="auto"/>
        <w:right w:val="none" w:sz="0" w:space="0" w:color="auto"/>
      </w:divBdr>
    </w:div>
    <w:div w:id="932395199">
      <w:bodyDiv w:val="1"/>
      <w:marLeft w:val="0"/>
      <w:marRight w:val="0"/>
      <w:marTop w:val="0"/>
      <w:marBottom w:val="0"/>
      <w:divBdr>
        <w:top w:val="none" w:sz="0" w:space="0" w:color="auto"/>
        <w:left w:val="none" w:sz="0" w:space="0" w:color="auto"/>
        <w:bottom w:val="none" w:sz="0" w:space="0" w:color="auto"/>
        <w:right w:val="none" w:sz="0" w:space="0" w:color="auto"/>
      </w:divBdr>
    </w:div>
    <w:div w:id="945313752">
      <w:bodyDiv w:val="1"/>
      <w:marLeft w:val="0"/>
      <w:marRight w:val="0"/>
      <w:marTop w:val="0"/>
      <w:marBottom w:val="0"/>
      <w:divBdr>
        <w:top w:val="none" w:sz="0" w:space="0" w:color="auto"/>
        <w:left w:val="none" w:sz="0" w:space="0" w:color="auto"/>
        <w:bottom w:val="none" w:sz="0" w:space="0" w:color="auto"/>
        <w:right w:val="none" w:sz="0" w:space="0" w:color="auto"/>
      </w:divBdr>
    </w:div>
    <w:div w:id="957951071">
      <w:bodyDiv w:val="1"/>
      <w:marLeft w:val="0"/>
      <w:marRight w:val="0"/>
      <w:marTop w:val="0"/>
      <w:marBottom w:val="0"/>
      <w:divBdr>
        <w:top w:val="none" w:sz="0" w:space="0" w:color="auto"/>
        <w:left w:val="none" w:sz="0" w:space="0" w:color="auto"/>
        <w:bottom w:val="none" w:sz="0" w:space="0" w:color="auto"/>
        <w:right w:val="none" w:sz="0" w:space="0" w:color="auto"/>
      </w:divBdr>
    </w:div>
    <w:div w:id="971331257">
      <w:bodyDiv w:val="1"/>
      <w:marLeft w:val="0"/>
      <w:marRight w:val="0"/>
      <w:marTop w:val="0"/>
      <w:marBottom w:val="0"/>
      <w:divBdr>
        <w:top w:val="none" w:sz="0" w:space="0" w:color="auto"/>
        <w:left w:val="none" w:sz="0" w:space="0" w:color="auto"/>
        <w:bottom w:val="none" w:sz="0" w:space="0" w:color="auto"/>
        <w:right w:val="none" w:sz="0" w:space="0" w:color="auto"/>
      </w:divBdr>
    </w:div>
    <w:div w:id="979458897">
      <w:bodyDiv w:val="1"/>
      <w:marLeft w:val="0"/>
      <w:marRight w:val="0"/>
      <w:marTop w:val="0"/>
      <w:marBottom w:val="0"/>
      <w:divBdr>
        <w:top w:val="none" w:sz="0" w:space="0" w:color="auto"/>
        <w:left w:val="none" w:sz="0" w:space="0" w:color="auto"/>
        <w:bottom w:val="none" w:sz="0" w:space="0" w:color="auto"/>
        <w:right w:val="none" w:sz="0" w:space="0" w:color="auto"/>
      </w:divBdr>
    </w:div>
    <w:div w:id="1012998344">
      <w:bodyDiv w:val="1"/>
      <w:marLeft w:val="0"/>
      <w:marRight w:val="0"/>
      <w:marTop w:val="0"/>
      <w:marBottom w:val="0"/>
      <w:divBdr>
        <w:top w:val="none" w:sz="0" w:space="0" w:color="auto"/>
        <w:left w:val="none" w:sz="0" w:space="0" w:color="auto"/>
        <w:bottom w:val="none" w:sz="0" w:space="0" w:color="auto"/>
        <w:right w:val="none" w:sz="0" w:space="0" w:color="auto"/>
      </w:divBdr>
    </w:div>
    <w:div w:id="1013610479">
      <w:bodyDiv w:val="1"/>
      <w:marLeft w:val="0"/>
      <w:marRight w:val="0"/>
      <w:marTop w:val="0"/>
      <w:marBottom w:val="0"/>
      <w:divBdr>
        <w:top w:val="none" w:sz="0" w:space="0" w:color="auto"/>
        <w:left w:val="none" w:sz="0" w:space="0" w:color="auto"/>
        <w:bottom w:val="none" w:sz="0" w:space="0" w:color="auto"/>
        <w:right w:val="none" w:sz="0" w:space="0" w:color="auto"/>
      </w:divBdr>
    </w:div>
    <w:div w:id="1042050663">
      <w:bodyDiv w:val="1"/>
      <w:marLeft w:val="0"/>
      <w:marRight w:val="0"/>
      <w:marTop w:val="0"/>
      <w:marBottom w:val="0"/>
      <w:divBdr>
        <w:top w:val="none" w:sz="0" w:space="0" w:color="auto"/>
        <w:left w:val="none" w:sz="0" w:space="0" w:color="auto"/>
        <w:bottom w:val="none" w:sz="0" w:space="0" w:color="auto"/>
        <w:right w:val="none" w:sz="0" w:space="0" w:color="auto"/>
      </w:divBdr>
    </w:div>
    <w:div w:id="1056274933">
      <w:bodyDiv w:val="1"/>
      <w:marLeft w:val="0"/>
      <w:marRight w:val="0"/>
      <w:marTop w:val="0"/>
      <w:marBottom w:val="0"/>
      <w:divBdr>
        <w:top w:val="none" w:sz="0" w:space="0" w:color="auto"/>
        <w:left w:val="none" w:sz="0" w:space="0" w:color="auto"/>
        <w:bottom w:val="none" w:sz="0" w:space="0" w:color="auto"/>
        <w:right w:val="none" w:sz="0" w:space="0" w:color="auto"/>
      </w:divBdr>
    </w:div>
    <w:div w:id="1142767585">
      <w:bodyDiv w:val="1"/>
      <w:marLeft w:val="0"/>
      <w:marRight w:val="0"/>
      <w:marTop w:val="0"/>
      <w:marBottom w:val="0"/>
      <w:divBdr>
        <w:top w:val="none" w:sz="0" w:space="0" w:color="auto"/>
        <w:left w:val="none" w:sz="0" w:space="0" w:color="auto"/>
        <w:bottom w:val="none" w:sz="0" w:space="0" w:color="auto"/>
        <w:right w:val="none" w:sz="0" w:space="0" w:color="auto"/>
      </w:divBdr>
    </w:div>
    <w:div w:id="1163660795">
      <w:bodyDiv w:val="1"/>
      <w:marLeft w:val="0"/>
      <w:marRight w:val="0"/>
      <w:marTop w:val="0"/>
      <w:marBottom w:val="0"/>
      <w:divBdr>
        <w:top w:val="none" w:sz="0" w:space="0" w:color="auto"/>
        <w:left w:val="none" w:sz="0" w:space="0" w:color="auto"/>
        <w:bottom w:val="none" w:sz="0" w:space="0" w:color="auto"/>
        <w:right w:val="none" w:sz="0" w:space="0" w:color="auto"/>
      </w:divBdr>
    </w:div>
    <w:div w:id="1192299794">
      <w:bodyDiv w:val="1"/>
      <w:marLeft w:val="0"/>
      <w:marRight w:val="0"/>
      <w:marTop w:val="0"/>
      <w:marBottom w:val="0"/>
      <w:divBdr>
        <w:top w:val="none" w:sz="0" w:space="0" w:color="auto"/>
        <w:left w:val="none" w:sz="0" w:space="0" w:color="auto"/>
        <w:bottom w:val="none" w:sz="0" w:space="0" w:color="auto"/>
        <w:right w:val="none" w:sz="0" w:space="0" w:color="auto"/>
      </w:divBdr>
    </w:div>
    <w:div w:id="1261327889">
      <w:bodyDiv w:val="1"/>
      <w:marLeft w:val="0"/>
      <w:marRight w:val="0"/>
      <w:marTop w:val="0"/>
      <w:marBottom w:val="0"/>
      <w:divBdr>
        <w:top w:val="none" w:sz="0" w:space="0" w:color="auto"/>
        <w:left w:val="none" w:sz="0" w:space="0" w:color="auto"/>
        <w:bottom w:val="none" w:sz="0" w:space="0" w:color="auto"/>
        <w:right w:val="none" w:sz="0" w:space="0" w:color="auto"/>
      </w:divBdr>
    </w:div>
    <w:div w:id="1267157670">
      <w:bodyDiv w:val="1"/>
      <w:marLeft w:val="0"/>
      <w:marRight w:val="0"/>
      <w:marTop w:val="0"/>
      <w:marBottom w:val="0"/>
      <w:divBdr>
        <w:top w:val="none" w:sz="0" w:space="0" w:color="auto"/>
        <w:left w:val="none" w:sz="0" w:space="0" w:color="auto"/>
        <w:bottom w:val="none" w:sz="0" w:space="0" w:color="auto"/>
        <w:right w:val="none" w:sz="0" w:space="0" w:color="auto"/>
      </w:divBdr>
    </w:div>
    <w:div w:id="1273128865">
      <w:bodyDiv w:val="1"/>
      <w:marLeft w:val="0"/>
      <w:marRight w:val="0"/>
      <w:marTop w:val="0"/>
      <w:marBottom w:val="0"/>
      <w:divBdr>
        <w:top w:val="none" w:sz="0" w:space="0" w:color="auto"/>
        <w:left w:val="none" w:sz="0" w:space="0" w:color="auto"/>
        <w:bottom w:val="none" w:sz="0" w:space="0" w:color="auto"/>
        <w:right w:val="none" w:sz="0" w:space="0" w:color="auto"/>
      </w:divBdr>
      <w:divsChild>
        <w:div w:id="1872303387">
          <w:marLeft w:val="0"/>
          <w:marRight w:val="0"/>
          <w:marTop w:val="0"/>
          <w:marBottom w:val="0"/>
          <w:divBdr>
            <w:top w:val="none" w:sz="0" w:space="0" w:color="auto"/>
            <w:left w:val="none" w:sz="0" w:space="0" w:color="auto"/>
            <w:bottom w:val="none" w:sz="0" w:space="0" w:color="auto"/>
            <w:right w:val="none" w:sz="0" w:space="0" w:color="auto"/>
          </w:divBdr>
        </w:div>
      </w:divsChild>
    </w:div>
    <w:div w:id="1339193436">
      <w:bodyDiv w:val="1"/>
      <w:marLeft w:val="0"/>
      <w:marRight w:val="0"/>
      <w:marTop w:val="0"/>
      <w:marBottom w:val="0"/>
      <w:divBdr>
        <w:top w:val="none" w:sz="0" w:space="0" w:color="auto"/>
        <w:left w:val="none" w:sz="0" w:space="0" w:color="auto"/>
        <w:bottom w:val="none" w:sz="0" w:space="0" w:color="auto"/>
        <w:right w:val="none" w:sz="0" w:space="0" w:color="auto"/>
      </w:divBdr>
    </w:div>
    <w:div w:id="1340232156">
      <w:bodyDiv w:val="1"/>
      <w:marLeft w:val="0"/>
      <w:marRight w:val="0"/>
      <w:marTop w:val="0"/>
      <w:marBottom w:val="0"/>
      <w:divBdr>
        <w:top w:val="none" w:sz="0" w:space="0" w:color="auto"/>
        <w:left w:val="none" w:sz="0" w:space="0" w:color="auto"/>
        <w:bottom w:val="none" w:sz="0" w:space="0" w:color="auto"/>
        <w:right w:val="none" w:sz="0" w:space="0" w:color="auto"/>
      </w:divBdr>
    </w:div>
    <w:div w:id="1347292699">
      <w:bodyDiv w:val="1"/>
      <w:marLeft w:val="0"/>
      <w:marRight w:val="0"/>
      <w:marTop w:val="0"/>
      <w:marBottom w:val="0"/>
      <w:divBdr>
        <w:top w:val="none" w:sz="0" w:space="0" w:color="auto"/>
        <w:left w:val="none" w:sz="0" w:space="0" w:color="auto"/>
        <w:bottom w:val="none" w:sz="0" w:space="0" w:color="auto"/>
        <w:right w:val="none" w:sz="0" w:space="0" w:color="auto"/>
      </w:divBdr>
    </w:div>
    <w:div w:id="1358508167">
      <w:bodyDiv w:val="1"/>
      <w:marLeft w:val="0"/>
      <w:marRight w:val="0"/>
      <w:marTop w:val="0"/>
      <w:marBottom w:val="0"/>
      <w:divBdr>
        <w:top w:val="none" w:sz="0" w:space="0" w:color="auto"/>
        <w:left w:val="none" w:sz="0" w:space="0" w:color="auto"/>
        <w:bottom w:val="none" w:sz="0" w:space="0" w:color="auto"/>
        <w:right w:val="none" w:sz="0" w:space="0" w:color="auto"/>
      </w:divBdr>
    </w:div>
    <w:div w:id="1390566630">
      <w:bodyDiv w:val="1"/>
      <w:marLeft w:val="0"/>
      <w:marRight w:val="0"/>
      <w:marTop w:val="0"/>
      <w:marBottom w:val="0"/>
      <w:divBdr>
        <w:top w:val="none" w:sz="0" w:space="0" w:color="auto"/>
        <w:left w:val="none" w:sz="0" w:space="0" w:color="auto"/>
        <w:bottom w:val="none" w:sz="0" w:space="0" w:color="auto"/>
        <w:right w:val="none" w:sz="0" w:space="0" w:color="auto"/>
      </w:divBdr>
      <w:divsChild>
        <w:div w:id="548495062">
          <w:marLeft w:val="0"/>
          <w:marRight w:val="0"/>
          <w:marTop w:val="0"/>
          <w:marBottom w:val="0"/>
          <w:divBdr>
            <w:top w:val="none" w:sz="0" w:space="0" w:color="auto"/>
            <w:left w:val="none" w:sz="0" w:space="0" w:color="auto"/>
            <w:bottom w:val="none" w:sz="0" w:space="0" w:color="auto"/>
            <w:right w:val="none" w:sz="0" w:space="0" w:color="auto"/>
          </w:divBdr>
        </w:div>
      </w:divsChild>
    </w:div>
    <w:div w:id="1424186768">
      <w:bodyDiv w:val="1"/>
      <w:marLeft w:val="0"/>
      <w:marRight w:val="0"/>
      <w:marTop w:val="0"/>
      <w:marBottom w:val="0"/>
      <w:divBdr>
        <w:top w:val="none" w:sz="0" w:space="0" w:color="auto"/>
        <w:left w:val="none" w:sz="0" w:space="0" w:color="auto"/>
        <w:bottom w:val="none" w:sz="0" w:space="0" w:color="auto"/>
        <w:right w:val="none" w:sz="0" w:space="0" w:color="auto"/>
      </w:divBdr>
    </w:div>
    <w:div w:id="1435708631">
      <w:bodyDiv w:val="1"/>
      <w:marLeft w:val="0"/>
      <w:marRight w:val="0"/>
      <w:marTop w:val="0"/>
      <w:marBottom w:val="0"/>
      <w:divBdr>
        <w:top w:val="none" w:sz="0" w:space="0" w:color="auto"/>
        <w:left w:val="none" w:sz="0" w:space="0" w:color="auto"/>
        <w:bottom w:val="none" w:sz="0" w:space="0" w:color="auto"/>
        <w:right w:val="none" w:sz="0" w:space="0" w:color="auto"/>
      </w:divBdr>
    </w:div>
    <w:div w:id="1482163069">
      <w:bodyDiv w:val="1"/>
      <w:marLeft w:val="0"/>
      <w:marRight w:val="0"/>
      <w:marTop w:val="0"/>
      <w:marBottom w:val="0"/>
      <w:divBdr>
        <w:top w:val="none" w:sz="0" w:space="0" w:color="auto"/>
        <w:left w:val="none" w:sz="0" w:space="0" w:color="auto"/>
        <w:bottom w:val="none" w:sz="0" w:space="0" w:color="auto"/>
        <w:right w:val="none" w:sz="0" w:space="0" w:color="auto"/>
      </w:divBdr>
    </w:div>
    <w:div w:id="1500582416">
      <w:bodyDiv w:val="1"/>
      <w:marLeft w:val="0"/>
      <w:marRight w:val="0"/>
      <w:marTop w:val="0"/>
      <w:marBottom w:val="0"/>
      <w:divBdr>
        <w:top w:val="none" w:sz="0" w:space="0" w:color="auto"/>
        <w:left w:val="none" w:sz="0" w:space="0" w:color="auto"/>
        <w:bottom w:val="none" w:sz="0" w:space="0" w:color="auto"/>
        <w:right w:val="none" w:sz="0" w:space="0" w:color="auto"/>
      </w:divBdr>
    </w:div>
    <w:div w:id="1519006376">
      <w:bodyDiv w:val="1"/>
      <w:marLeft w:val="0"/>
      <w:marRight w:val="0"/>
      <w:marTop w:val="0"/>
      <w:marBottom w:val="0"/>
      <w:divBdr>
        <w:top w:val="none" w:sz="0" w:space="0" w:color="auto"/>
        <w:left w:val="none" w:sz="0" w:space="0" w:color="auto"/>
        <w:bottom w:val="none" w:sz="0" w:space="0" w:color="auto"/>
        <w:right w:val="none" w:sz="0" w:space="0" w:color="auto"/>
      </w:divBdr>
    </w:div>
    <w:div w:id="1622420829">
      <w:bodyDiv w:val="1"/>
      <w:marLeft w:val="0"/>
      <w:marRight w:val="0"/>
      <w:marTop w:val="0"/>
      <w:marBottom w:val="0"/>
      <w:divBdr>
        <w:top w:val="none" w:sz="0" w:space="0" w:color="auto"/>
        <w:left w:val="none" w:sz="0" w:space="0" w:color="auto"/>
        <w:bottom w:val="none" w:sz="0" w:space="0" w:color="auto"/>
        <w:right w:val="none" w:sz="0" w:space="0" w:color="auto"/>
      </w:divBdr>
    </w:div>
    <w:div w:id="1625891809">
      <w:bodyDiv w:val="1"/>
      <w:marLeft w:val="0"/>
      <w:marRight w:val="0"/>
      <w:marTop w:val="0"/>
      <w:marBottom w:val="0"/>
      <w:divBdr>
        <w:top w:val="none" w:sz="0" w:space="0" w:color="auto"/>
        <w:left w:val="none" w:sz="0" w:space="0" w:color="auto"/>
        <w:bottom w:val="none" w:sz="0" w:space="0" w:color="auto"/>
        <w:right w:val="none" w:sz="0" w:space="0" w:color="auto"/>
      </w:divBdr>
    </w:div>
    <w:div w:id="1631521247">
      <w:bodyDiv w:val="1"/>
      <w:marLeft w:val="0"/>
      <w:marRight w:val="0"/>
      <w:marTop w:val="0"/>
      <w:marBottom w:val="0"/>
      <w:divBdr>
        <w:top w:val="none" w:sz="0" w:space="0" w:color="auto"/>
        <w:left w:val="none" w:sz="0" w:space="0" w:color="auto"/>
        <w:bottom w:val="none" w:sz="0" w:space="0" w:color="auto"/>
        <w:right w:val="none" w:sz="0" w:space="0" w:color="auto"/>
      </w:divBdr>
    </w:div>
    <w:div w:id="1641111296">
      <w:bodyDiv w:val="1"/>
      <w:marLeft w:val="0"/>
      <w:marRight w:val="0"/>
      <w:marTop w:val="0"/>
      <w:marBottom w:val="0"/>
      <w:divBdr>
        <w:top w:val="none" w:sz="0" w:space="0" w:color="auto"/>
        <w:left w:val="none" w:sz="0" w:space="0" w:color="auto"/>
        <w:bottom w:val="none" w:sz="0" w:space="0" w:color="auto"/>
        <w:right w:val="none" w:sz="0" w:space="0" w:color="auto"/>
      </w:divBdr>
    </w:div>
    <w:div w:id="1708793306">
      <w:bodyDiv w:val="1"/>
      <w:marLeft w:val="0"/>
      <w:marRight w:val="0"/>
      <w:marTop w:val="0"/>
      <w:marBottom w:val="0"/>
      <w:divBdr>
        <w:top w:val="none" w:sz="0" w:space="0" w:color="auto"/>
        <w:left w:val="none" w:sz="0" w:space="0" w:color="auto"/>
        <w:bottom w:val="none" w:sz="0" w:space="0" w:color="auto"/>
        <w:right w:val="none" w:sz="0" w:space="0" w:color="auto"/>
      </w:divBdr>
    </w:div>
    <w:div w:id="1753626599">
      <w:bodyDiv w:val="1"/>
      <w:marLeft w:val="0"/>
      <w:marRight w:val="0"/>
      <w:marTop w:val="0"/>
      <w:marBottom w:val="0"/>
      <w:divBdr>
        <w:top w:val="none" w:sz="0" w:space="0" w:color="auto"/>
        <w:left w:val="none" w:sz="0" w:space="0" w:color="auto"/>
        <w:bottom w:val="none" w:sz="0" w:space="0" w:color="auto"/>
        <w:right w:val="none" w:sz="0" w:space="0" w:color="auto"/>
      </w:divBdr>
      <w:divsChild>
        <w:div w:id="2014599801">
          <w:marLeft w:val="0"/>
          <w:marRight w:val="0"/>
          <w:marTop w:val="0"/>
          <w:marBottom w:val="0"/>
          <w:divBdr>
            <w:top w:val="none" w:sz="0" w:space="0" w:color="auto"/>
            <w:left w:val="none" w:sz="0" w:space="0" w:color="auto"/>
            <w:bottom w:val="none" w:sz="0" w:space="0" w:color="auto"/>
            <w:right w:val="none" w:sz="0" w:space="0" w:color="auto"/>
          </w:divBdr>
        </w:div>
      </w:divsChild>
    </w:div>
    <w:div w:id="1756436447">
      <w:bodyDiv w:val="1"/>
      <w:marLeft w:val="0"/>
      <w:marRight w:val="0"/>
      <w:marTop w:val="0"/>
      <w:marBottom w:val="0"/>
      <w:divBdr>
        <w:top w:val="none" w:sz="0" w:space="0" w:color="auto"/>
        <w:left w:val="none" w:sz="0" w:space="0" w:color="auto"/>
        <w:bottom w:val="none" w:sz="0" w:space="0" w:color="auto"/>
        <w:right w:val="none" w:sz="0" w:space="0" w:color="auto"/>
      </w:divBdr>
      <w:divsChild>
        <w:div w:id="336617041">
          <w:marLeft w:val="0"/>
          <w:marRight w:val="0"/>
          <w:marTop w:val="0"/>
          <w:marBottom w:val="0"/>
          <w:divBdr>
            <w:top w:val="none" w:sz="0" w:space="0" w:color="auto"/>
            <w:left w:val="none" w:sz="0" w:space="0" w:color="auto"/>
            <w:bottom w:val="none" w:sz="0" w:space="0" w:color="auto"/>
            <w:right w:val="none" w:sz="0" w:space="0" w:color="auto"/>
          </w:divBdr>
        </w:div>
      </w:divsChild>
    </w:div>
    <w:div w:id="1762943175">
      <w:bodyDiv w:val="1"/>
      <w:marLeft w:val="0"/>
      <w:marRight w:val="0"/>
      <w:marTop w:val="0"/>
      <w:marBottom w:val="0"/>
      <w:divBdr>
        <w:top w:val="none" w:sz="0" w:space="0" w:color="auto"/>
        <w:left w:val="none" w:sz="0" w:space="0" w:color="auto"/>
        <w:bottom w:val="none" w:sz="0" w:space="0" w:color="auto"/>
        <w:right w:val="none" w:sz="0" w:space="0" w:color="auto"/>
      </w:divBdr>
    </w:div>
    <w:div w:id="1821387424">
      <w:bodyDiv w:val="1"/>
      <w:marLeft w:val="0"/>
      <w:marRight w:val="0"/>
      <w:marTop w:val="0"/>
      <w:marBottom w:val="0"/>
      <w:divBdr>
        <w:top w:val="none" w:sz="0" w:space="0" w:color="auto"/>
        <w:left w:val="none" w:sz="0" w:space="0" w:color="auto"/>
        <w:bottom w:val="none" w:sz="0" w:space="0" w:color="auto"/>
        <w:right w:val="none" w:sz="0" w:space="0" w:color="auto"/>
      </w:divBdr>
      <w:divsChild>
        <w:div w:id="567879956">
          <w:marLeft w:val="0"/>
          <w:marRight w:val="0"/>
          <w:marTop w:val="0"/>
          <w:marBottom w:val="0"/>
          <w:divBdr>
            <w:top w:val="none" w:sz="0" w:space="0" w:color="auto"/>
            <w:left w:val="none" w:sz="0" w:space="0" w:color="auto"/>
            <w:bottom w:val="none" w:sz="0" w:space="0" w:color="auto"/>
            <w:right w:val="none" w:sz="0" w:space="0" w:color="auto"/>
          </w:divBdr>
        </w:div>
      </w:divsChild>
    </w:div>
    <w:div w:id="1903635583">
      <w:bodyDiv w:val="1"/>
      <w:marLeft w:val="0"/>
      <w:marRight w:val="0"/>
      <w:marTop w:val="0"/>
      <w:marBottom w:val="0"/>
      <w:divBdr>
        <w:top w:val="none" w:sz="0" w:space="0" w:color="auto"/>
        <w:left w:val="none" w:sz="0" w:space="0" w:color="auto"/>
        <w:bottom w:val="none" w:sz="0" w:space="0" w:color="auto"/>
        <w:right w:val="none" w:sz="0" w:space="0" w:color="auto"/>
      </w:divBdr>
      <w:divsChild>
        <w:div w:id="1489247427">
          <w:marLeft w:val="0"/>
          <w:marRight w:val="0"/>
          <w:marTop w:val="0"/>
          <w:marBottom w:val="0"/>
          <w:divBdr>
            <w:top w:val="none" w:sz="0" w:space="0" w:color="auto"/>
            <w:left w:val="none" w:sz="0" w:space="0" w:color="auto"/>
            <w:bottom w:val="none" w:sz="0" w:space="0" w:color="auto"/>
            <w:right w:val="none" w:sz="0" w:space="0" w:color="auto"/>
          </w:divBdr>
        </w:div>
      </w:divsChild>
    </w:div>
    <w:div w:id="1910920541">
      <w:bodyDiv w:val="1"/>
      <w:marLeft w:val="0"/>
      <w:marRight w:val="0"/>
      <w:marTop w:val="0"/>
      <w:marBottom w:val="0"/>
      <w:divBdr>
        <w:top w:val="none" w:sz="0" w:space="0" w:color="auto"/>
        <w:left w:val="none" w:sz="0" w:space="0" w:color="auto"/>
        <w:bottom w:val="none" w:sz="0" w:space="0" w:color="auto"/>
        <w:right w:val="none" w:sz="0" w:space="0" w:color="auto"/>
      </w:divBdr>
    </w:div>
    <w:div w:id="1931546388">
      <w:bodyDiv w:val="1"/>
      <w:marLeft w:val="0"/>
      <w:marRight w:val="0"/>
      <w:marTop w:val="0"/>
      <w:marBottom w:val="0"/>
      <w:divBdr>
        <w:top w:val="none" w:sz="0" w:space="0" w:color="auto"/>
        <w:left w:val="none" w:sz="0" w:space="0" w:color="auto"/>
        <w:bottom w:val="none" w:sz="0" w:space="0" w:color="auto"/>
        <w:right w:val="none" w:sz="0" w:space="0" w:color="auto"/>
      </w:divBdr>
    </w:div>
    <w:div w:id="1936549107">
      <w:bodyDiv w:val="1"/>
      <w:marLeft w:val="0"/>
      <w:marRight w:val="0"/>
      <w:marTop w:val="0"/>
      <w:marBottom w:val="0"/>
      <w:divBdr>
        <w:top w:val="none" w:sz="0" w:space="0" w:color="auto"/>
        <w:left w:val="none" w:sz="0" w:space="0" w:color="auto"/>
        <w:bottom w:val="none" w:sz="0" w:space="0" w:color="auto"/>
        <w:right w:val="none" w:sz="0" w:space="0" w:color="auto"/>
      </w:divBdr>
    </w:div>
    <w:div w:id="1958949242">
      <w:bodyDiv w:val="1"/>
      <w:marLeft w:val="0"/>
      <w:marRight w:val="0"/>
      <w:marTop w:val="0"/>
      <w:marBottom w:val="0"/>
      <w:divBdr>
        <w:top w:val="none" w:sz="0" w:space="0" w:color="auto"/>
        <w:left w:val="none" w:sz="0" w:space="0" w:color="auto"/>
        <w:bottom w:val="none" w:sz="0" w:space="0" w:color="auto"/>
        <w:right w:val="none" w:sz="0" w:space="0" w:color="auto"/>
      </w:divBdr>
    </w:div>
    <w:div w:id="1960336385">
      <w:bodyDiv w:val="1"/>
      <w:marLeft w:val="0"/>
      <w:marRight w:val="0"/>
      <w:marTop w:val="0"/>
      <w:marBottom w:val="0"/>
      <w:divBdr>
        <w:top w:val="none" w:sz="0" w:space="0" w:color="auto"/>
        <w:left w:val="none" w:sz="0" w:space="0" w:color="auto"/>
        <w:bottom w:val="none" w:sz="0" w:space="0" w:color="auto"/>
        <w:right w:val="none" w:sz="0" w:space="0" w:color="auto"/>
      </w:divBdr>
    </w:div>
    <w:div w:id="1990163076">
      <w:bodyDiv w:val="1"/>
      <w:marLeft w:val="0"/>
      <w:marRight w:val="0"/>
      <w:marTop w:val="0"/>
      <w:marBottom w:val="0"/>
      <w:divBdr>
        <w:top w:val="none" w:sz="0" w:space="0" w:color="auto"/>
        <w:left w:val="none" w:sz="0" w:space="0" w:color="auto"/>
        <w:bottom w:val="none" w:sz="0" w:space="0" w:color="auto"/>
        <w:right w:val="none" w:sz="0" w:space="0" w:color="auto"/>
      </w:divBdr>
      <w:divsChild>
        <w:div w:id="1161657462">
          <w:marLeft w:val="0"/>
          <w:marRight w:val="0"/>
          <w:marTop w:val="0"/>
          <w:marBottom w:val="0"/>
          <w:divBdr>
            <w:top w:val="none" w:sz="0" w:space="0" w:color="auto"/>
            <w:left w:val="none" w:sz="0" w:space="0" w:color="auto"/>
            <w:bottom w:val="none" w:sz="0" w:space="0" w:color="auto"/>
            <w:right w:val="none" w:sz="0" w:space="0" w:color="auto"/>
          </w:divBdr>
        </w:div>
      </w:divsChild>
    </w:div>
    <w:div w:id="1992248047">
      <w:bodyDiv w:val="1"/>
      <w:marLeft w:val="0"/>
      <w:marRight w:val="0"/>
      <w:marTop w:val="0"/>
      <w:marBottom w:val="0"/>
      <w:divBdr>
        <w:top w:val="none" w:sz="0" w:space="0" w:color="auto"/>
        <w:left w:val="none" w:sz="0" w:space="0" w:color="auto"/>
        <w:bottom w:val="none" w:sz="0" w:space="0" w:color="auto"/>
        <w:right w:val="none" w:sz="0" w:space="0" w:color="auto"/>
      </w:divBdr>
    </w:div>
    <w:div w:id="2024932686">
      <w:bodyDiv w:val="1"/>
      <w:marLeft w:val="0"/>
      <w:marRight w:val="0"/>
      <w:marTop w:val="0"/>
      <w:marBottom w:val="0"/>
      <w:divBdr>
        <w:top w:val="none" w:sz="0" w:space="0" w:color="auto"/>
        <w:left w:val="none" w:sz="0" w:space="0" w:color="auto"/>
        <w:bottom w:val="none" w:sz="0" w:space="0" w:color="auto"/>
        <w:right w:val="none" w:sz="0" w:space="0" w:color="auto"/>
      </w:divBdr>
    </w:div>
    <w:div w:id="2059469352">
      <w:bodyDiv w:val="1"/>
      <w:marLeft w:val="0"/>
      <w:marRight w:val="0"/>
      <w:marTop w:val="0"/>
      <w:marBottom w:val="0"/>
      <w:divBdr>
        <w:top w:val="none" w:sz="0" w:space="0" w:color="auto"/>
        <w:left w:val="none" w:sz="0" w:space="0" w:color="auto"/>
        <w:bottom w:val="none" w:sz="0" w:space="0" w:color="auto"/>
        <w:right w:val="none" w:sz="0" w:space="0" w:color="auto"/>
      </w:divBdr>
    </w:div>
    <w:div w:id="2076202301">
      <w:bodyDiv w:val="1"/>
      <w:marLeft w:val="0"/>
      <w:marRight w:val="0"/>
      <w:marTop w:val="0"/>
      <w:marBottom w:val="0"/>
      <w:divBdr>
        <w:top w:val="none" w:sz="0" w:space="0" w:color="auto"/>
        <w:left w:val="none" w:sz="0" w:space="0" w:color="auto"/>
        <w:bottom w:val="none" w:sz="0" w:space="0" w:color="auto"/>
        <w:right w:val="none" w:sz="0" w:space="0" w:color="auto"/>
      </w:divBdr>
      <w:divsChild>
        <w:div w:id="1187792681">
          <w:marLeft w:val="0"/>
          <w:marRight w:val="0"/>
          <w:marTop w:val="0"/>
          <w:marBottom w:val="0"/>
          <w:divBdr>
            <w:top w:val="none" w:sz="0" w:space="0" w:color="auto"/>
            <w:left w:val="none" w:sz="0" w:space="0" w:color="auto"/>
            <w:bottom w:val="none" w:sz="0" w:space="0" w:color="auto"/>
            <w:right w:val="none" w:sz="0" w:space="0" w:color="auto"/>
          </w:divBdr>
        </w:div>
      </w:divsChild>
    </w:div>
    <w:div w:id="2105566032">
      <w:bodyDiv w:val="1"/>
      <w:marLeft w:val="0"/>
      <w:marRight w:val="0"/>
      <w:marTop w:val="0"/>
      <w:marBottom w:val="0"/>
      <w:divBdr>
        <w:top w:val="none" w:sz="0" w:space="0" w:color="auto"/>
        <w:left w:val="none" w:sz="0" w:space="0" w:color="auto"/>
        <w:bottom w:val="none" w:sz="0" w:space="0" w:color="auto"/>
        <w:right w:val="none" w:sz="0" w:space="0" w:color="auto"/>
      </w:divBdr>
    </w:div>
    <w:div w:id="212395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eader" Target="header6.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sthelensgovuk.sharepoint.com/sites/PerformancePolicyandChangeTeam/Shared%20Documents/Performance/Quarterly%20Performance%20Reports/Performance%20Outturn%20Report%20Pie%20Charts_MA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helensgovuk.sharepoint.com/sites/PerformancePolicyandChangeTeam/Shared%20Documents/Performance/Quarterly%20Performance%20Reports/Performance%20Outturn%20Report%20Pie%20Charts_MAS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thelensgovuk.sharepoint.com/sites/PerformancePolicyandChangeTeam/Shared%20Documents/Performance/Quarterly%20Performance%20Reports/Performance%20Outturn%20Report%20Pie%20Charts_MAS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Performance trend (where trend can be determined)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'[Performance Outturn Report Pie Charts_MASTER.xlsx]Sheet1'!$B$7</c:f>
              <c:strCache>
                <c:ptCount val="1"/>
                <c:pt idx="0">
                  <c:v>Performance trend (where trend can be determined) (%)</c:v>
                </c:pt>
              </c:strCache>
            </c:strRef>
          </c:tx>
          <c:spPr>
            <a:solidFill>
              <a:srgbClr val="FF000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66B4-46D6-8B7D-E9B9E9F0B855}"/>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6B4-46D6-8B7D-E9B9E9F0B855}"/>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66B4-46D6-8B7D-E9B9E9F0B855}"/>
              </c:ext>
            </c:extLst>
          </c:dPt>
          <c:dLbls>
            <c:dLbl>
              <c:idx val="0"/>
              <c:layout>
                <c:manualLayout>
                  <c:x val="4.2535526989440787E-3"/>
                  <c:y val="8.344865680329280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4-46D6-8B7D-E9B9E9F0B855}"/>
                </c:ext>
              </c:extLst>
            </c:dLbl>
            <c:dLbl>
              <c:idx val="1"/>
              <c:layout>
                <c:manualLayout>
                  <c:x val="-3.4233212027286988E-3"/>
                  <c:y val="-1.2454477878224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B4-46D6-8B7D-E9B9E9F0B855}"/>
                </c:ext>
              </c:extLst>
            </c:dLbl>
            <c:dLbl>
              <c:idx val="2"/>
              <c:layout>
                <c:manualLayout>
                  <c:x val="-2.0398160331133015E-2"/>
                  <c:y val="-3.1695956017612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B4-46D6-8B7D-E9B9E9F0B85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'[Performance Outturn Report Pie Charts_MASTER.xlsx]Sheet1'!$A$8:$A$10</c:f>
              <c:strCache>
                <c:ptCount val="3"/>
                <c:pt idx="0">
                  <c:v>% improved on last year</c:v>
                </c:pt>
                <c:pt idx="1">
                  <c:v>% worse than last year</c:v>
                </c:pt>
                <c:pt idx="2">
                  <c:v>% the same as last year</c:v>
                </c:pt>
              </c:strCache>
            </c:strRef>
          </c:cat>
          <c:val>
            <c:numRef>
              <c:f>'[Performance Outturn Report Pie Charts_MASTER.xlsx]Sheet1'!$B$8:$B$10</c:f>
              <c:numCache>
                <c:formatCode>0%</c:formatCode>
                <c:ptCount val="3"/>
                <c:pt idx="0">
                  <c:v>0.51</c:v>
                </c:pt>
                <c:pt idx="1">
                  <c:v>0.4</c:v>
                </c:pt>
                <c:pt idx="2">
                  <c:v>0.09</c:v>
                </c:pt>
              </c:numCache>
            </c:numRef>
          </c:val>
          <c:extLst>
            <c:ext xmlns:c16="http://schemas.microsoft.com/office/drawing/2014/chart" uri="{C3380CC4-5D6E-409C-BE32-E72D297353CC}">
              <c16:uniqueId val="{00000006-66B4-46D6-8B7D-E9B9E9F0B8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73057959040093"/>
          <c:y val="0.84430030526250144"/>
          <c:w val="0.76538810069902374"/>
          <c:h val="0.1384795269832344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Performance against target (%)</a:t>
            </a:r>
          </a:p>
        </c:rich>
      </c:tx>
      <c:layout>
        <c:manualLayout>
          <c:xMode val="edge"/>
          <c:yMode val="edge"/>
          <c:x val="0.13936446652779613"/>
          <c:y val="7.82343718343484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'[Performance Outturn Report Pie Charts_MASTER.xlsx]Sheet1'!$B$2</c:f>
              <c:strCache>
                <c:ptCount val="1"/>
                <c:pt idx="0">
                  <c:v>Performance against target (%)</c:v>
                </c:pt>
              </c:strCache>
            </c:strRef>
          </c:tx>
          <c:spPr>
            <a:solidFill>
              <a:srgbClr val="00B050"/>
            </a:solidFill>
            <a:effectLst>
              <a:softEdge rad="0"/>
            </a:effectLst>
          </c:spPr>
          <c:dPt>
            <c:idx val="0"/>
            <c:bubble3D val="0"/>
            <c:spPr>
              <a:solidFill>
                <a:srgbClr val="00B050"/>
              </a:solidFill>
              <a:ln w="19050">
                <a:solidFill>
                  <a:schemeClr val="lt1"/>
                </a:solidFill>
              </a:ln>
              <a:effectLst>
                <a:softEdge rad="0"/>
              </a:effectLst>
            </c:spPr>
            <c:extLst>
              <c:ext xmlns:c16="http://schemas.microsoft.com/office/drawing/2014/chart" uri="{C3380CC4-5D6E-409C-BE32-E72D297353CC}">
                <c16:uniqueId val="{00000001-5825-48CB-8848-5FC5B7E29EF7}"/>
              </c:ext>
            </c:extLst>
          </c:dPt>
          <c:dPt>
            <c:idx val="1"/>
            <c:bubble3D val="0"/>
            <c:spPr>
              <a:solidFill>
                <a:srgbClr val="FFC000"/>
              </a:solidFill>
              <a:ln w="19050">
                <a:solidFill>
                  <a:schemeClr val="lt1"/>
                </a:solidFill>
              </a:ln>
              <a:effectLst>
                <a:softEdge rad="0"/>
              </a:effectLst>
            </c:spPr>
            <c:extLst>
              <c:ext xmlns:c16="http://schemas.microsoft.com/office/drawing/2014/chart" uri="{C3380CC4-5D6E-409C-BE32-E72D297353CC}">
                <c16:uniqueId val="{00000003-5825-48CB-8848-5FC5B7E29EF7}"/>
              </c:ext>
            </c:extLst>
          </c:dPt>
          <c:dPt>
            <c:idx val="2"/>
            <c:bubble3D val="0"/>
            <c:spPr>
              <a:solidFill>
                <a:srgbClr val="FF0000"/>
              </a:solidFill>
              <a:ln w="19050">
                <a:solidFill>
                  <a:schemeClr val="lt1"/>
                </a:solidFill>
              </a:ln>
              <a:effectLst>
                <a:softEdge rad="0"/>
              </a:effectLst>
            </c:spPr>
            <c:extLst>
              <c:ext xmlns:c16="http://schemas.microsoft.com/office/drawing/2014/chart" uri="{C3380CC4-5D6E-409C-BE32-E72D297353CC}">
                <c16:uniqueId val="{00000005-5825-48CB-8848-5FC5B7E29EF7}"/>
              </c:ext>
            </c:extLst>
          </c:dPt>
          <c:dLbls>
            <c:dLbl>
              <c:idx val="0"/>
              <c:layout>
                <c:manualLayout>
                  <c:x val="4.2075459317585301E-2"/>
                  <c:y val="2.820246427529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25-48CB-8848-5FC5B7E29EF7}"/>
                </c:ext>
              </c:extLst>
            </c:dLbl>
            <c:dLbl>
              <c:idx val="1"/>
              <c:layout>
                <c:manualLayout>
                  <c:x val="-2.3506999125109361E-2"/>
                  <c:y val="2.247265966754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25-48CB-8848-5FC5B7E29EF7}"/>
                </c:ext>
              </c:extLst>
            </c:dLbl>
            <c:dLbl>
              <c:idx val="2"/>
              <c:layout>
                <c:manualLayout>
                  <c:x val="-5.1690069991251093E-2"/>
                  <c:y val="-2.085775736366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25-48CB-8848-5FC5B7E29EF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'[Performance Outturn Report Pie Charts_MASTER.xlsx]Sheet1'!$A$3:$A$5</c:f>
              <c:strCache>
                <c:ptCount val="3"/>
                <c:pt idx="0">
                  <c:v>% target met fully</c:v>
                </c:pt>
                <c:pt idx="1">
                  <c:v>% met within 95% of target</c:v>
                </c:pt>
                <c:pt idx="2">
                  <c:v>% not met target</c:v>
                </c:pt>
              </c:strCache>
            </c:strRef>
          </c:cat>
          <c:val>
            <c:numRef>
              <c:f>'[Performance Outturn Report Pie Charts_MASTER.xlsx]Sheet1'!$B$3:$B$5</c:f>
              <c:numCache>
                <c:formatCode>0%</c:formatCode>
                <c:ptCount val="3"/>
                <c:pt idx="0">
                  <c:v>0.59</c:v>
                </c:pt>
                <c:pt idx="1">
                  <c:v>0.2</c:v>
                </c:pt>
                <c:pt idx="2">
                  <c:v>0.21</c:v>
                </c:pt>
              </c:numCache>
            </c:numRef>
          </c:val>
          <c:extLst>
            <c:ext xmlns:c16="http://schemas.microsoft.com/office/drawing/2014/chart" uri="{C3380CC4-5D6E-409C-BE32-E72D297353CC}">
              <c16:uniqueId val="{00000006-5825-48CB-8848-5FC5B7E29EF7}"/>
            </c:ext>
          </c:extLst>
        </c:ser>
        <c:ser>
          <c:idx val="1"/>
          <c:order val="1"/>
          <c:tx>
            <c:strRef>
              <c:f>'[Performance Outturn Report Pie Charts_MASTER.xlsx]Sheet1'!$C$2</c:f>
              <c:strCache>
                <c:ptCount val="1"/>
                <c:pt idx="0">
                  <c:v>P.I.s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8-5825-48CB-8848-5FC5B7E29EF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A-5825-48CB-8848-5FC5B7E29EF7}"/>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C-5825-48CB-8848-5FC5B7E29EF7}"/>
              </c:ext>
            </c:extLst>
          </c:dPt>
          <c:cat>
            <c:strRef>
              <c:f>'[Performance Outturn Report Pie Charts_MASTER.xlsx]Sheet1'!$A$3:$A$5</c:f>
              <c:strCache>
                <c:ptCount val="3"/>
                <c:pt idx="0">
                  <c:v>% target met fully</c:v>
                </c:pt>
                <c:pt idx="1">
                  <c:v>% met within 95% of target</c:v>
                </c:pt>
                <c:pt idx="2">
                  <c:v>% not met target</c:v>
                </c:pt>
              </c:strCache>
            </c:strRef>
          </c:cat>
          <c:val>
            <c:numRef>
              <c:f>'[Performance Outturn Report Pie Charts_MASTER.xlsx]Sheet1'!$C$3:$C$5</c:f>
              <c:numCache>
                <c:formatCode>General</c:formatCode>
                <c:ptCount val="3"/>
                <c:pt idx="0">
                  <c:v>59</c:v>
                </c:pt>
                <c:pt idx="1">
                  <c:v>21</c:v>
                </c:pt>
                <c:pt idx="2">
                  <c:v>53</c:v>
                </c:pt>
              </c:numCache>
            </c:numRef>
          </c:val>
          <c:extLst>
            <c:ext xmlns:c16="http://schemas.microsoft.com/office/drawing/2014/chart" uri="{C3380CC4-5D6E-409C-BE32-E72D297353CC}">
              <c16:uniqueId val="{0000000D-5825-48CB-8848-5FC5B7E29E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3958218088863867E-2"/>
          <c:y val="0.85022455775732042"/>
          <c:w val="0.85208325735498502"/>
          <c:h val="0.132576426152796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Comparative performance (where comparative data is available)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'[Performance Outturn Report Pie Charts_MASTER.xlsx]Sheet1'!$B$12</c:f>
              <c:strCache>
                <c:ptCount val="1"/>
                <c:pt idx="0">
                  <c:v>Comparative performance (where comparative data is available) (%)</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DB97-45D2-BA86-1AA1D5871B7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B97-45D2-BA86-1AA1D5871B77}"/>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DB97-45D2-BA86-1AA1D5871B77}"/>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DB97-45D2-BA86-1AA1D5871B77}"/>
              </c:ext>
            </c:extLst>
          </c:dPt>
          <c:dLbls>
            <c:dLbl>
              <c:idx val="0"/>
              <c:layout>
                <c:manualLayout>
                  <c:x val="3.2812238845792319E-2"/>
                  <c:y val="-4.136453745046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97-45D2-BA86-1AA1D5871B77}"/>
                </c:ext>
              </c:extLst>
            </c:dLbl>
            <c:dLbl>
              <c:idx val="1"/>
              <c:layout>
                <c:manualLayout>
                  <c:x val="4.099068776805443E-2"/>
                  <c:y val="6.1333506337575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97-45D2-BA86-1AA1D5871B77}"/>
                </c:ext>
              </c:extLst>
            </c:dLbl>
            <c:dLbl>
              <c:idx val="2"/>
              <c:layout>
                <c:manualLayout>
                  <c:x val="-6.1547213613983257E-2"/>
                  <c:y val="2.0034073916366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97-45D2-BA86-1AA1D5871B77}"/>
                </c:ext>
              </c:extLst>
            </c:dLbl>
            <c:dLbl>
              <c:idx val="3"/>
              <c:layout>
                <c:manualLayout>
                  <c:x val="-2.0270396670719906E-2"/>
                  <c:y val="-2.4573379307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97-45D2-BA86-1AA1D5871B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'[Performance Outturn Report Pie Charts_MASTER.xlsx]Sheet1'!$A$13:$A$16</c:f>
              <c:strCache>
                <c:ptCount val="4"/>
                <c:pt idx="0">
                  <c:v>1st Quartile (Top 25%)</c:v>
                </c:pt>
                <c:pt idx="1">
                  <c:v>2nd Quartile</c:v>
                </c:pt>
                <c:pt idx="2">
                  <c:v>3rd Quartile</c:v>
                </c:pt>
                <c:pt idx="3">
                  <c:v>4th Quartile (Bottom 25%)</c:v>
                </c:pt>
              </c:strCache>
            </c:strRef>
          </c:cat>
          <c:val>
            <c:numRef>
              <c:f>'[Performance Outturn Report Pie Charts_MASTER.xlsx]Sheet1'!$B$13:$B$16</c:f>
              <c:numCache>
                <c:formatCode>0%</c:formatCode>
                <c:ptCount val="4"/>
                <c:pt idx="0">
                  <c:v>0.19</c:v>
                </c:pt>
                <c:pt idx="1">
                  <c:v>0.19</c:v>
                </c:pt>
                <c:pt idx="2">
                  <c:v>0.21</c:v>
                </c:pt>
                <c:pt idx="3">
                  <c:v>0.42</c:v>
                </c:pt>
              </c:numCache>
            </c:numRef>
          </c:val>
          <c:extLst>
            <c:ext xmlns:c16="http://schemas.microsoft.com/office/drawing/2014/chart" uri="{C3380CC4-5D6E-409C-BE32-E72D297353CC}">
              <c16:uniqueId val="{00000008-DB97-45D2-BA86-1AA1D5871B7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4125350952920563E-2"/>
          <c:y val="0.79148341915698395"/>
          <c:w val="0.83174899141765812"/>
          <c:h val="0.191109558452526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5e04771-c159-488c-b7c1-ec6d5776acff">
      <UserInfo>
        <DisplayName>Jeanette Ann Lloyd</DisplayName>
        <AccountId>36</AccountId>
        <AccountType/>
      </UserInfo>
      <UserInfo>
        <DisplayName>Gordon Lee</DisplayName>
        <AccountId>64</AccountId>
        <AccountType/>
      </UserInfo>
      <UserInfo>
        <DisplayName>Kieran Birch</DisplayName>
        <AccountId>142</AccountId>
        <AccountType/>
      </UserInfo>
      <UserInfo>
        <DisplayName>Hilary Brooks (retain until 29-10-24)</DisplayName>
        <AccountId>42</AccountId>
        <AccountType/>
      </UserInfo>
      <UserInfo>
        <DisplayName>Matt Jones</DisplayName>
        <AccountId>54</AccountId>
        <AccountType/>
      </UserInfo>
      <UserInfo>
        <DisplayName>Mark Byrom</DisplayName>
        <AccountId>136</AccountId>
        <AccountType/>
      </UserInfo>
      <UserInfo>
        <DisplayName>Diane Bolton-Maggs</DisplayName>
        <AccountId>143</AccountId>
        <AccountType/>
      </UserInfo>
      <UserInfo>
        <DisplayName>Ann McGowan</DisplayName>
        <AccountId>50</AccountId>
        <AccountType/>
      </UserInfo>
      <UserInfo>
        <DisplayName>Kate Brocklebank</DisplayName>
        <AccountId>105</AccountId>
        <AccountType/>
      </UserInfo>
      <UserInfo>
        <DisplayName>Barbara Cunniffe</DisplayName>
        <AccountId>25</AccountId>
        <AccountType/>
      </UserInfo>
      <UserInfo>
        <DisplayName>Julie Ashurst</DisplayName>
        <AccountId>144</AccountId>
        <AccountType/>
      </UserInfo>
      <UserInfo>
        <DisplayName>Alison Ennett</DisplayName>
        <AccountId>145</AccountId>
        <AccountType/>
      </UserInfo>
      <UserInfo>
        <DisplayName>Michelle Loughlin</DisplayName>
        <AccountId>138</AccountId>
        <AccountType/>
      </UserInfo>
      <UserInfo>
        <DisplayName>Steven Rigby</DisplayName>
        <AccountId>146</AccountId>
        <AccountType/>
      </UserInfo>
      <UserInfo>
        <DisplayName>Lauren Corns</DisplayName>
        <AccountId>41</AccountId>
        <AccountType/>
      </UserInfo>
      <UserInfo>
        <DisplayName>Cath Fogarty</DisplayName>
        <AccountId>57</AccountId>
        <AccountType/>
      </UserInfo>
      <UserInfo>
        <DisplayName>Simon Cousins</DisplayName>
        <AccountId>81</AccountId>
        <AccountType/>
      </UserInfo>
      <UserInfo>
        <DisplayName>Darren Persand</DisplayName>
        <AccountId>147</AccountId>
        <AccountType/>
      </UserInfo>
      <UserInfo>
        <DisplayName>Katie Sheppard</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7DC2CA8ADB9F4AA4D4C5D4B4900DFD" ma:contentTypeVersion="6" ma:contentTypeDescription="Create a new document." ma:contentTypeScope="" ma:versionID="7773f6d9f1e52afcdd29274e1a7c39a0">
  <xsd:schema xmlns:xsd="http://www.w3.org/2001/XMLSchema" xmlns:xs="http://www.w3.org/2001/XMLSchema" xmlns:p="http://schemas.microsoft.com/office/2006/metadata/properties" xmlns:ns2="a573c20a-9502-4cf4-a202-0a6ddab55676" xmlns:ns3="15e04771-c159-488c-b7c1-ec6d5776acff" targetNamespace="http://schemas.microsoft.com/office/2006/metadata/properties" ma:root="true" ma:fieldsID="ccacd6021601c0ae713ae604855b7326" ns2:_="" ns3:_="">
    <xsd:import namespace="a573c20a-9502-4cf4-a202-0a6ddab55676"/>
    <xsd:import namespace="15e04771-c159-488c-b7c1-ec6d5776ac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3c20a-9502-4cf4-a202-0a6ddab55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e04771-c159-488c-b7c1-ec6d5776ac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43C1B6-030D-45C1-AAC9-4093848CE83B}">
  <ds:schemaRefs>
    <ds:schemaRef ds:uri="http://schemas.microsoft.com/sharepoint/v3/contenttype/forms"/>
  </ds:schemaRefs>
</ds:datastoreItem>
</file>

<file path=customXml/itemProps2.xml><?xml version="1.0" encoding="utf-8"?>
<ds:datastoreItem xmlns:ds="http://schemas.openxmlformats.org/officeDocument/2006/customXml" ds:itemID="{C7BA90B9-3408-469D-A267-B9254A2112CE}">
  <ds:schemaRefs>
    <ds:schemaRef ds:uri="http://schemas.openxmlformats.org/officeDocument/2006/bibliography"/>
  </ds:schemaRefs>
</ds:datastoreItem>
</file>

<file path=customXml/itemProps3.xml><?xml version="1.0" encoding="utf-8"?>
<ds:datastoreItem xmlns:ds="http://schemas.openxmlformats.org/officeDocument/2006/customXml" ds:itemID="{EFA954AA-4A75-43FC-84F2-797776B31338}">
  <ds:schemaRefs>
    <ds:schemaRef ds:uri="http://schemas.microsoft.com/office/2006/metadata/properties"/>
    <ds:schemaRef ds:uri="http://schemas.microsoft.com/office/infopath/2007/PartnerControls"/>
    <ds:schemaRef ds:uri="15e04771-c159-488c-b7c1-ec6d5776acff"/>
  </ds:schemaRefs>
</ds:datastoreItem>
</file>

<file path=customXml/itemProps4.xml><?xml version="1.0" encoding="utf-8"?>
<ds:datastoreItem xmlns:ds="http://schemas.openxmlformats.org/officeDocument/2006/customXml" ds:itemID="{E98BC602-75D7-4567-83A7-114B28002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73c20a-9502-4cf4-a202-0a6ddab55676"/>
    <ds:schemaRef ds:uri="15e04771-c159-488c-b7c1-ec6d5776a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17109</Words>
  <Characters>97526</Characters>
  <Application>Microsoft Office Word</Application>
  <DocSecurity>0</DocSecurity>
  <Lines>812</Lines>
  <Paragraphs>228</Paragraphs>
  <ScaleCrop>false</ScaleCrop>
  <Company>PC</Company>
  <LinksUpToDate>false</LinksUpToDate>
  <CharactersWithSpaces>114407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 Collinge</cp:lastModifiedBy>
  <cp:revision>2</cp:revision>
  <cp:lastPrinted>2024-07-24T06:51:00Z</cp:lastPrinted>
  <dcterms:created xsi:type="dcterms:W3CDTF">2025-01-14T13:50:00Z</dcterms:created>
  <dcterms:modified xsi:type="dcterms:W3CDTF">2025-01-14T13:50:00Z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0x010100C47DC2CA8ADB9F4AA4D4C5D4B4900DFD</vt:lpwstr>
  </property>
  <property fmtid="{D5CDD505-2E9C-101B-9397-08002B2CF9AE}" pid="3" name="MediaServiceImageTags">
    <vt:lpwstr/>
  </property>
  <property fmtid="{D5CDD505-2E9C-101B-9397-08002B2CF9AE}" pid="4" name="Order">
    <vt:r8>88500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