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2253D" w14:textId="6F93ACAC" w:rsidR="00467D83" w:rsidRPr="00AF7D64" w:rsidRDefault="00467D83" w:rsidP="00230D0A">
      <w:pPr>
        <w:jc w:val="both"/>
        <w:rPr>
          <w:rFonts w:ascii="Arial" w:hAnsi="Arial" w:cs="Arial"/>
          <w:b/>
          <w:color w:val="EE0000"/>
          <w:u w:val="single"/>
        </w:rPr>
      </w:pPr>
      <w:r w:rsidRPr="00AF7D64">
        <w:rPr>
          <w:rFonts w:ascii="Arial" w:hAnsi="Arial" w:cs="Arial"/>
          <w:b/>
          <w:noProof/>
          <w:color w:val="EE0000"/>
          <w:u w:val="single"/>
        </w:rPr>
        <w:drawing>
          <wp:anchor distT="0" distB="0" distL="114300" distR="114300" simplePos="0" relativeHeight="251658240" behindDoc="1" locked="0" layoutInCell="1" allowOverlap="1" wp14:anchorId="57A2CCBE" wp14:editId="6E35D4DB">
            <wp:simplePos x="0" y="0"/>
            <wp:positionH relativeFrom="column">
              <wp:posOffset>3851910</wp:posOffset>
            </wp:positionH>
            <wp:positionV relativeFrom="paragraph">
              <wp:posOffset>45720</wp:posOffset>
            </wp:positionV>
            <wp:extent cx="2565400" cy="1016000"/>
            <wp:effectExtent l="0" t="0" r="635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54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C7A08A" w14:textId="566675EB" w:rsidR="00467D83" w:rsidRPr="00AF7D64" w:rsidRDefault="00467D83" w:rsidP="00230D0A">
      <w:pPr>
        <w:jc w:val="both"/>
        <w:rPr>
          <w:rFonts w:ascii="Arial" w:hAnsi="Arial" w:cs="Arial"/>
          <w:b/>
          <w:color w:val="EE0000"/>
          <w:u w:val="single"/>
        </w:rPr>
      </w:pPr>
    </w:p>
    <w:p w14:paraId="33C6A385" w14:textId="77777777" w:rsidR="00467D83" w:rsidRPr="00AF7D64" w:rsidRDefault="00467D83" w:rsidP="00230D0A">
      <w:pPr>
        <w:jc w:val="both"/>
        <w:rPr>
          <w:rFonts w:ascii="Arial" w:hAnsi="Arial" w:cs="Arial"/>
          <w:b/>
          <w:color w:val="EE0000"/>
          <w:u w:val="single"/>
        </w:rPr>
      </w:pPr>
    </w:p>
    <w:p w14:paraId="547B67BB" w14:textId="77777777" w:rsidR="00467D83" w:rsidRPr="00AF7D64" w:rsidRDefault="00467D83" w:rsidP="00230D0A">
      <w:pPr>
        <w:jc w:val="both"/>
        <w:rPr>
          <w:rFonts w:ascii="Arial" w:hAnsi="Arial" w:cs="Arial"/>
          <w:b/>
          <w:color w:val="EE0000"/>
          <w:u w:val="single"/>
        </w:rPr>
      </w:pPr>
    </w:p>
    <w:p w14:paraId="1D475138" w14:textId="77777777" w:rsidR="00467D83" w:rsidRPr="00AF7D64" w:rsidRDefault="00467D83" w:rsidP="00230D0A">
      <w:pPr>
        <w:jc w:val="both"/>
        <w:rPr>
          <w:rFonts w:ascii="Arial" w:hAnsi="Arial" w:cs="Arial"/>
          <w:b/>
          <w:color w:val="EE0000"/>
          <w:u w:val="single"/>
        </w:rPr>
      </w:pPr>
    </w:p>
    <w:p w14:paraId="5403947B" w14:textId="77777777" w:rsidR="00467D83" w:rsidRPr="00AF7D64" w:rsidRDefault="00467D83" w:rsidP="00230D0A">
      <w:pPr>
        <w:jc w:val="both"/>
        <w:rPr>
          <w:rFonts w:ascii="Arial" w:hAnsi="Arial" w:cs="Arial"/>
          <w:b/>
          <w:color w:val="EE0000"/>
          <w:u w:val="single"/>
        </w:rPr>
      </w:pPr>
    </w:p>
    <w:p w14:paraId="286402EF" w14:textId="77777777" w:rsidR="00467D83" w:rsidRPr="00AF7D64" w:rsidRDefault="00467D83" w:rsidP="00230D0A">
      <w:pPr>
        <w:jc w:val="both"/>
        <w:rPr>
          <w:rFonts w:ascii="Arial" w:hAnsi="Arial" w:cs="Arial"/>
          <w:b/>
          <w:u w:val="single"/>
        </w:rPr>
      </w:pPr>
    </w:p>
    <w:p w14:paraId="28CB782D" w14:textId="53679F09" w:rsidR="63E011DA" w:rsidRPr="00AF7D64" w:rsidRDefault="63E011DA" w:rsidP="00230D0A">
      <w:pPr>
        <w:jc w:val="both"/>
        <w:rPr>
          <w:rFonts w:ascii="Arial" w:hAnsi="Arial" w:cs="Arial"/>
          <w:b/>
          <w:bCs/>
          <w:u w:val="single"/>
        </w:rPr>
      </w:pPr>
    </w:p>
    <w:p w14:paraId="2608E2F2" w14:textId="3C80BA15" w:rsidR="00C93122" w:rsidRPr="00AF7D64" w:rsidRDefault="00C93122" w:rsidP="00466155">
      <w:pPr>
        <w:jc w:val="center"/>
        <w:rPr>
          <w:rFonts w:ascii="Arial" w:hAnsi="Arial" w:cs="Arial"/>
          <w:b/>
          <w:sz w:val="28"/>
          <w:szCs w:val="28"/>
          <w:u w:val="single"/>
        </w:rPr>
      </w:pPr>
      <w:r w:rsidRPr="00AF7D64">
        <w:rPr>
          <w:rFonts w:ascii="Arial" w:hAnsi="Arial" w:cs="Arial"/>
          <w:b/>
          <w:sz w:val="28"/>
          <w:szCs w:val="28"/>
          <w:u w:val="single"/>
        </w:rPr>
        <w:t>St Helens Boro</w:t>
      </w:r>
      <w:r w:rsidR="00660108" w:rsidRPr="00AF7D64">
        <w:rPr>
          <w:rFonts w:ascii="Arial" w:hAnsi="Arial" w:cs="Arial"/>
          <w:b/>
          <w:sz w:val="28"/>
          <w:szCs w:val="28"/>
          <w:u w:val="single"/>
        </w:rPr>
        <w:t>ugh Council</w:t>
      </w:r>
    </w:p>
    <w:p w14:paraId="3E341043" w14:textId="23A5ADCA" w:rsidR="00467D83" w:rsidRPr="00AF7D64" w:rsidRDefault="00467D83" w:rsidP="00466155">
      <w:pPr>
        <w:jc w:val="center"/>
        <w:rPr>
          <w:rFonts w:ascii="Arial" w:hAnsi="Arial" w:cs="Arial"/>
          <w:b/>
          <w:bCs/>
          <w:sz w:val="36"/>
          <w:szCs w:val="36"/>
          <w:u w:val="single"/>
        </w:rPr>
      </w:pPr>
      <w:r w:rsidRPr="00AF7D64">
        <w:rPr>
          <w:rFonts w:ascii="Arial" w:hAnsi="Arial" w:cs="Arial"/>
          <w:b/>
          <w:sz w:val="32"/>
          <w:szCs w:val="32"/>
          <w:u w:val="single"/>
        </w:rPr>
        <w:t>Budget Consultation 202</w:t>
      </w:r>
      <w:r w:rsidR="00081737" w:rsidRPr="00AF7D64">
        <w:rPr>
          <w:rFonts w:ascii="Arial" w:hAnsi="Arial" w:cs="Arial"/>
          <w:b/>
          <w:sz w:val="32"/>
          <w:szCs w:val="32"/>
          <w:u w:val="single"/>
        </w:rPr>
        <w:t>6</w:t>
      </w:r>
      <w:r w:rsidR="00200049" w:rsidRPr="00AF7D64">
        <w:rPr>
          <w:rFonts w:ascii="Arial" w:hAnsi="Arial" w:cs="Arial"/>
          <w:b/>
          <w:sz w:val="32"/>
          <w:szCs w:val="32"/>
          <w:u w:val="single"/>
        </w:rPr>
        <w:t>/</w:t>
      </w:r>
      <w:r w:rsidR="00823D11" w:rsidRPr="00AF7D64">
        <w:rPr>
          <w:rFonts w:ascii="Arial" w:hAnsi="Arial" w:cs="Arial"/>
          <w:b/>
          <w:sz w:val="32"/>
          <w:szCs w:val="32"/>
          <w:u w:val="single"/>
        </w:rPr>
        <w:t>2</w:t>
      </w:r>
      <w:r w:rsidR="00081737" w:rsidRPr="00AF7D64">
        <w:rPr>
          <w:rFonts w:ascii="Arial" w:hAnsi="Arial" w:cs="Arial"/>
          <w:b/>
          <w:sz w:val="32"/>
          <w:szCs w:val="32"/>
          <w:u w:val="single"/>
        </w:rPr>
        <w:t>7</w:t>
      </w:r>
    </w:p>
    <w:p w14:paraId="7990056F" w14:textId="77777777" w:rsidR="00B81CC1" w:rsidRPr="00AF7D64" w:rsidRDefault="00B81CC1" w:rsidP="00230D0A">
      <w:pPr>
        <w:jc w:val="both"/>
        <w:rPr>
          <w:rFonts w:ascii="Arial" w:hAnsi="Arial" w:cs="Arial"/>
        </w:rPr>
      </w:pPr>
    </w:p>
    <w:p w14:paraId="20F2D158" w14:textId="77777777" w:rsidR="00660108" w:rsidRPr="00AF7D64" w:rsidRDefault="00660108" w:rsidP="00230D0A">
      <w:pPr>
        <w:jc w:val="both"/>
        <w:rPr>
          <w:rFonts w:ascii="Arial" w:hAnsi="Arial" w:cs="Arial"/>
        </w:rPr>
      </w:pPr>
    </w:p>
    <w:p w14:paraId="28EA8CDB" w14:textId="77777777" w:rsidR="00660108" w:rsidRPr="00AF7D64" w:rsidRDefault="00660108" w:rsidP="00230D0A">
      <w:pPr>
        <w:jc w:val="both"/>
        <w:rPr>
          <w:rFonts w:ascii="Arial" w:hAnsi="Arial" w:cs="Arial"/>
        </w:rPr>
      </w:pPr>
    </w:p>
    <w:p w14:paraId="29AC68B9" w14:textId="77777777" w:rsidR="00467D83" w:rsidRPr="00AF7D64" w:rsidRDefault="00467D83" w:rsidP="00230D0A">
      <w:pPr>
        <w:pStyle w:val="ListParagraph"/>
        <w:numPr>
          <w:ilvl w:val="0"/>
          <w:numId w:val="6"/>
        </w:numPr>
        <w:overflowPunct w:val="0"/>
        <w:autoSpaceDE w:val="0"/>
        <w:autoSpaceDN w:val="0"/>
        <w:adjustRightInd w:val="0"/>
        <w:spacing w:after="240"/>
        <w:ind w:left="709" w:hanging="851"/>
        <w:contextualSpacing w:val="0"/>
        <w:jc w:val="both"/>
        <w:textAlignment w:val="baseline"/>
        <w:rPr>
          <w:rFonts w:ascii="Arial" w:hAnsi="Arial" w:cs="Arial"/>
          <w:b/>
          <w:lang w:val="en-US"/>
        </w:rPr>
      </w:pPr>
      <w:r w:rsidRPr="00AF7D64">
        <w:rPr>
          <w:rFonts w:ascii="Arial" w:hAnsi="Arial" w:cs="Arial"/>
          <w:b/>
          <w:lang w:val="en-US"/>
        </w:rPr>
        <w:t>Introduction</w:t>
      </w:r>
    </w:p>
    <w:p w14:paraId="7DB91B52" w14:textId="77777777" w:rsidR="00660108" w:rsidRPr="00AF7D64" w:rsidRDefault="00660108" w:rsidP="00660108">
      <w:pPr>
        <w:pStyle w:val="Default"/>
        <w:tabs>
          <w:tab w:val="left" w:pos="709"/>
        </w:tabs>
        <w:spacing w:after="240"/>
        <w:ind w:left="709"/>
        <w:jc w:val="both"/>
        <w:rPr>
          <w:color w:val="auto"/>
        </w:rPr>
      </w:pPr>
    </w:p>
    <w:p w14:paraId="495BDA4C" w14:textId="492A7AE2" w:rsidR="00FE4158" w:rsidRPr="00AF7D64" w:rsidRDefault="00467D83" w:rsidP="00230D0A">
      <w:pPr>
        <w:pStyle w:val="Default"/>
        <w:numPr>
          <w:ilvl w:val="1"/>
          <w:numId w:val="6"/>
        </w:numPr>
        <w:tabs>
          <w:tab w:val="left" w:pos="709"/>
        </w:tabs>
        <w:spacing w:after="240"/>
        <w:ind w:left="709" w:hanging="851"/>
        <w:jc w:val="both"/>
        <w:rPr>
          <w:color w:val="auto"/>
        </w:rPr>
      </w:pPr>
      <w:r w:rsidRPr="00AF7D64">
        <w:rPr>
          <w:rFonts w:eastAsia="Times New Roman"/>
          <w:color w:val="auto"/>
          <w:lang w:val="en-US"/>
        </w:rPr>
        <w:t xml:space="preserve">The </w:t>
      </w:r>
      <w:r w:rsidR="006A667B" w:rsidRPr="00AF7D64">
        <w:rPr>
          <w:rFonts w:eastAsia="Times New Roman"/>
          <w:color w:val="auto"/>
          <w:lang w:val="en-US"/>
        </w:rPr>
        <w:t>Council</w:t>
      </w:r>
      <w:r w:rsidRPr="00AF7D64">
        <w:rPr>
          <w:rFonts w:eastAsia="Times New Roman"/>
          <w:color w:val="auto"/>
          <w:lang w:val="en-US"/>
        </w:rPr>
        <w:t xml:space="preserve"> </w:t>
      </w:r>
      <w:r w:rsidR="00B87307" w:rsidRPr="00AF7D64">
        <w:rPr>
          <w:rFonts w:eastAsia="Times New Roman"/>
          <w:color w:val="auto"/>
          <w:lang w:val="en-US"/>
        </w:rPr>
        <w:t>conducted</w:t>
      </w:r>
      <w:r w:rsidRPr="00AF7D64">
        <w:rPr>
          <w:rFonts w:eastAsia="Times New Roman"/>
          <w:color w:val="auto"/>
          <w:lang w:val="en-US"/>
        </w:rPr>
        <w:t xml:space="preserve"> a public budget consultation exercise </w:t>
      </w:r>
      <w:r w:rsidR="00081737" w:rsidRPr="00AF7D64">
        <w:rPr>
          <w:rFonts w:eastAsia="Times New Roman"/>
          <w:color w:val="auto"/>
          <w:lang w:val="en-US"/>
        </w:rPr>
        <w:t xml:space="preserve">from </w:t>
      </w:r>
      <w:r w:rsidR="001501B1" w:rsidRPr="00AF7D64">
        <w:rPr>
          <w:rFonts w:eastAsia="Times New Roman"/>
          <w:color w:val="auto"/>
          <w:lang w:val="en-US"/>
        </w:rPr>
        <w:t>3</w:t>
      </w:r>
      <w:r w:rsidR="008B3362" w:rsidRPr="00AF7D64">
        <w:rPr>
          <w:rFonts w:eastAsia="Times New Roman"/>
          <w:color w:val="auto"/>
          <w:lang w:val="en-US"/>
        </w:rPr>
        <w:t xml:space="preserve"> </w:t>
      </w:r>
      <w:r w:rsidR="001501B1" w:rsidRPr="00AF7D64">
        <w:rPr>
          <w:rFonts w:eastAsia="Times New Roman"/>
          <w:color w:val="auto"/>
          <w:lang w:val="en-US"/>
        </w:rPr>
        <w:t>November</w:t>
      </w:r>
      <w:r w:rsidR="008B3362" w:rsidRPr="00AF7D64">
        <w:rPr>
          <w:rFonts w:eastAsia="Times New Roman"/>
          <w:color w:val="auto"/>
          <w:lang w:val="en-US"/>
        </w:rPr>
        <w:t xml:space="preserve"> to </w:t>
      </w:r>
      <w:r w:rsidR="001501B1" w:rsidRPr="00AF7D64">
        <w:rPr>
          <w:rFonts w:eastAsia="Times New Roman"/>
          <w:color w:val="auto"/>
          <w:lang w:val="en-US"/>
        </w:rPr>
        <w:t>28 November</w:t>
      </w:r>
      <w:r w:rsidR="008B3362" w:rsidRPr="00AF7D64">
        <w:rPr>
          <w:rFonts w:eastAsia="Times New Roman"/>
          <w:color w:val="auto"/>
          <w:lang w:val="en-US"/>
        </w:rPr>
        <w:t xml:space="preserve"> 2025</w:t>
      </w:r>
      <w:r w:rsidR="002B6F90" w:rsidRPr="00AF7D64">
        <w:rPr>
          <w:rFonts w:eastAsia="Times New Roman"/>
          <w:color w:val="auto"/>
          <w:lang w:val="en-US"/>
        </w:rPr>
        <w:t>. Th</w:t>
      </w:r>
      <w:r w:rsidR="002D357E" w:rsidRPr="00AF7D64">
        <w:rPr>
          <w:rFonts w:eastAsia="Times New Roman"/>
          <w:color w:val="auto"/>
          <w:lang w:val="en-US"/>
        </w:rPr>
        <w:t>is</w:t>
      </w:r>
      <w:r w:rsidR="002B6F90" w:rsidRPr="00AF7D64">
        <w:rPr>
          <w:rFonts w:eastAsia="Times New Roman"/>
          <w:color w:val="auto"/>
          <w:lang w:val="en-US"/>
        </w:rPr>
        <w:t xml:space="preserve"> </w:t>
      </w:r>
      <w:r w:rsidR="00AE75D5" w:rsidRPr="00AF7D64">
        <w:rPr>
          <w:rFonts w:eastAsia="Times New Roman"/>
          <w:color w:val="auto"/>
          <w:lang w:val="en-US"/>
        </w:rPr>
        <w:t>consultation</w:t>
      </w:r>
      <w:r w:rsidR="002B6F90" w:rsidRPr="00AF7D64">
        <w:rPr>
          <w:rFonts w:eastAsia="Times New Roman"/>
          <w:color w:val="auto"/>
          <w:lang w:val="en-US"/>
        </w:rPr>
        <w:t xml:space="preserve"> was developed to ascertain </w:t>
      </w:r>
      <w:r w:rsidRPr="00AF7D64">
        <w:rPr>
          <w:rFonts w:eastAsia="Times New Roman"/>
          <w:color w:val="auto"/>
          <w:lang w:val="en-US"/>
        </w:rPr>
        <w:t>the views of residents</w:t>
      </w:r>
      <w:r w:rsidR="00FE4158" w:rsidRPr="00AF7D64">
        <w:rPr>
          <w:rFonts w:eastAsia="Times New Roman"/>
          <w:color w:val="auto"/>
          <w:lang w:val="en-US"/>
        </w:rPr>
        <w:t xml:space="preserve"> to help </w:t>
      </w:r>
      <w:proofErr w:type="gramStart"/>
      <w:r w:rsidR="00FE4158" w:rsidRPr="00AF7D64">
        <w:rPr>
          <w:rFonts w:eastAsia="Times New Roman"/>
          <w:color w:val="auto"/>
          <w:lang w:val="en-US"/>
        </w:rPr>
        <w:t>inform</w:t>
      </w:r>
      <w:proofErr w:type="gramEnd"/>
      <w:r w:rsidR="00FE4158" w:rsidRPr="00AF7D64">
        <w:rPr>
          <w:rFonts w:eastAsia="Times New Roman"/>
          <w:color w:val="auto"/>
          <w:lang w:val="en-US"/>
        </w:rPr>
        <w:t xml:space="preserve"> the decisions the Council will make about its budget for the coming year.</w:t>
      </w:r>
    </w:p>
    <w:p w14:paraId="426ADD15" w14:textId="77777777" w:rsidR="00295E4E" w:rsidRPr="00AF7D64" w:rsidRDefault="00743CA5" w:rsidP="00230D0A">
      <w:pPr>
        <w:pStyle w:val="Default"/>
        <w:numPr>
          <w:ilvl w:val="1"/>
          <w:numId w:val="6"/>
        </w:numPr>
        <w:spacing w:after="240"/>
        <w:ind w:left="709" w:hanging="851"/>
        <w:jc w:val="both"/>
        <w:rPr>
          <w:color w:val="auto"/>
        </w:rPr>
      </w:pPr>
      <w:r w:rsidRPr="00AF7D64">
        <w:rPr>
          <w:color w:val="auto"/>
        </w:rPr>
        <w:t>The Budget Consultation 202</w:t>
      </w:r>
      <w:r w:rsidR="00085790" w:rsidRPr="00AF7D64">
        <w:rPr>
          <w:color w:val="auto"/>
        </w:rPr>
        <w:t>6</w:t>
      </w:r>
      <w:r w:rsidRPr="00AF7D64">
        <w:rPr>
          <w:color w:val="auto"/>
        </w:rPr>
        <w:t>/2</w:t>
      </w:r>
      <w:r w:rsidR="00085790" w:rsidRPr="00AF7D64">
        <w:rPr>
          <w:color w:val="auto"/>
        </w:rPr>
        <w:t>7</w:t>
      </w:r>
      <w:r w:rsidRPr="00AF7D64">
        <w:rPr>
          <w:color w:val="auto"/>
        </w:rPr>
        <w:t xml:space="preserve"> included supporting information to help residents and businesses understand the Council’s financial position and decision-making process. The documents provided an overview of the </w:t>
      </w:r>
      <w:r w:rsidR="760074E5" w:rsidRPr="00AF7D64">
        <w:rPr>
          <w:color w:val="auto"/>
        </w:rPr>
        <w:t xml:space="preserve">Councils Budget which included </w:t>
      </w:r>
      <w:r w:rsidRPr="00AF7D64">
        <w:rPr>
          <w:color w:val="auto"/>
        </w:rPr>
        <w:t>detai</w:t>
      </w:r>
      <w:r w:rsidR="505C7423" w:rsidRPr="00AF7D64">
        <w:rPr>
          <w:color w:val="auto"/>
        </w:rPr>
        <w:t>ls of</w:t>
      </w:r>
      <w:r w:rsidRPr="00AF7D64">
        <w:rPr>
          <w:color w:val="auto"/>
        </w:rPr>
        <w:t xml:space="preserve"> the revenue and capital budgets, key service areas, and funding sources. </w:t>
      </w:r>
    </w:p>
    <w:p w14:paraId="065FDDF9" w14:textId="71D98FB4" w:rsidR="00295E4E" w:rsidRPr="00AF7D64" w:rsidRDefault="00743CA5" w:rsidP="00A3772D">
      <w:pPr>
        <w:pStyle w:val="Default"/>
        <w:numPr>
          <w:ilvl w:val="1"/>
          <w:numId w:val="6"/>
        </w:numPr>
        <w:spacing w:after="240"/>
        <w:ind w:left="709" w:hanging="851"/>
        <w:rPr>
          <w:color w:val="auto"/>
        </w:rPr>
      </w:pPr>
      <w:r w:rsidRPr="00AF7D64">
        <w:rPr>
          <w:color w:val="auto"/>
        </w:rPr>
        <w:t xml:space="preserve">The consultation also explained the challenges the Council faces, including </w:t>
      </w:r>
      <w:r w:rsidR="00295E4E" w:rsidRPr="00AF7D64">
        <w:rPr>
          <w:rFonts w:eastAsia="Times New Roman"/>
          <w:color w:val="auto"/>
          <w:lang w:val="en-US"/>
        </w:rPr>
        <w:t xml:space="preserve">including inflationary pressures, uncertainty around future funding, and increased service demand. </w:t>
      </w:r>
    </w:p>
    <w:p w14:paraId="354E3111" w14:textId="26D3448B" w:rsidR="00743CA5" w:rsidRPr="00AF7D64" w:rsidRDefault="00743CA5" w:rsidP="00230D0A">
      <w:pPr>
        <w:pStyle w:val="Default"/>
        <w:numPr>
          <w:ilvl w:val="1"/>
          <w:numId w:val="6"/>
        </w:numPr>
        <w:spacing w:after="240"/>
        <w:ind w:left="709" w:hanging="851"/>
        <w:jc w:val="both"/>
        <w:rPr>
          <w:color w:val="auto"/>
        </w:rPr>
      </w:pPr>
      <w:r w:rsidRPr="00AF7D64">
        <w:rPr>
          <w:color w:val="auto"/>
        </w:rPr>
        <w:t>Additionally, the Council’s long-term financial strategy was outlined, highlighting planned investments in regeneration projects and ongoing efforts to balance the budget without additional savings beyond the existing three-year plan.</w:t>
      </w:r>
    </w:p>
    <w:p w14:paraId="4EE1E2B4" w14:textId="34D23822" w:rsidR="009C4A65" w:rsidRPr="00AF7D64" w:rsidRDefault="00727926" w:rsidP="00230D0A">
      <w:pPr>
        <w:pStyle w:val="Default"/>
        <w:numPr>
          <w:ilvl w:val="1"/>
          <w:numId w:val="6"/>
        </w:numPr>
        <w:spacing w:after="240"/>
        <w:ind w:left="709" w:hanging="851"/>
        <w:jc w:val="both"/>
        <w:rPr>
          <w:color w:val="auto"/>
        </w:rPr>
      </w:pPr>
      <w:r w:rsidRPr="00AF7D64">
        <w:rPr>
          <w:color w:val="auto"/>
        </w:rPr>
        <w:t xml:space="preserve">The </w:t>
      </w:r>
      <w:r w:rsidR="0067124F" w:rsidRPr="00AF7D64">
        <w:rPr>
          <w:color w:val="auto"/>
        </w:rPr>
        <w:t xml:space="preserve">survey comprised </w:t>
      </w:r>
      <w:r w:rsidR="00431F3B" w:rsidRPr="00AF7D64">
        <w:rPr>
          <w:color w:val="auto"/>
        </w:rPr>
        <w:t>7</w:t>
      </w:r>
      <w:r w:rsidR="0067124F" w:rsidRPr="00AF7D64">
        <w:rPr>
          <w:color w:val="auto"/>
        </w:rPr>
        <w:t xml:space="preserve"> </w:t>
      </w:r>
      <w:r w:rsidR="00CE6588" w:rsidRPr="00AF7D64">
        <w:rPr>
          <w:color w:val="auto"/>
        </w:rPr>
        <w:t xml:space="preserve">main </w:t>
      </w:r>
      <w:r w:rsidR="0067124F" w:rsidRPr="00AF7D64">
        <w:rPr>
          <w:color w:val="auto"/>
        </w:rPr>
        <w:t>questions</w:t>
      </w:r>
      <w:r w:rsidR="00220292" w:rsidRPr="00AF7D64">
        <w:rPr>
          <w:color w:val="auto"/>
        </w:rPr>
        <w:t>;</w:t>
      </w:r>
      <w:r w:rsidR="0067124F" w:rsidRPr="00AF7D64">
        <w:rPr>
          <w:color w:val="auto"/>
        </w:rPr>
        <w:t xml:space="preserve"> </w:t>
      </w:r>
      <w:r w:rsidR="00B651A2" w:rsidRPr="00AF7D64">
        <w:rPr>
          <w:color w:val="auto"/>
        </w:rPr>
        <w:t xml:space="preserve">the majority of </w:t>
      </w:r>
      <w:r w:rsidR="00096D64" w:rsidRPr="00AF7D64">
        <w:rPr>
          <w:color w:val="auto"/>
        </w:rPr>
        <w:t>which</w:t>
      </w:r>
      <w:r w:rsidR="00B651A2" w:rsidRPr="00AF7D64">
        <w:rPr>
          <w:color w:val="auto"/>
        </w:rPr>
        <w:t xml:space="preserve"> </w:t>
      </w:r>
      <w:r w:rsidR="00B36CBA" w:rsidRPr="00AF7D64">
        <w:rPr>
          <w:color w:val="auto"/>
        </w:rPr>
        <w:t>were closed questions</w:t>
      </w:r>
      <w:r w:rsidR="0067124F" w:rsidRPr="00AF7D64">
        <w:rPr>
          <w:color w:val="auto"/>
        </w:rPr>
        <w:t xml:space="preserve"> to understand </w:t>
      </w:r>
      <w:r w:rsidR="00B36CBA" w:rsidRPr="00AF7D64">
        <w:rPr>
          <w:color w:val="auto"/>
        </w:rPr>
        <w:t>levels of agreement/disagreement</w:t>
      </w:r>
      <w:r w:rsidR="00E53396" w:rsidRPr="00AF7D64">
        <w:rPr>
          <w:color w:val="auto"/>
        </w:rPr>
        <w:t>.</w:t>
      </w:r>
      <w:r w:rsidR="00ED2280" w:rsidRPr="00AF7D64">
        <w:rPr>
          <w:color w:val="auto"/>
        </w:rPr>
        <w:t xml:space="preserve"> </w:t>
      </w:r>
      <w:r w:rsidR="006D70ED" w:rsidRPr="00AF7D64">
        <w:rPr>
          <w:color w:val="auto"/>
        </w:rPr>
        <w:t xml:space="preserve">However, there </w:t>
      </w:r>
      <w:r w:rsidR="00475FB9" w:rsidRPr="00AF7D64">
        <w:rPr>
          <w:color w:val="auto"/>
        </w:rPr>
        <w:t>were</w:t>
      </w:r>
      <w:r w:rsidR="00AB255C" w:rsidRPr="00AF7D64">
        <w:rPr>
          <w:color w:val="auto"/>
        </w:rPr>
        <w:t xml:space="preserve"> </w:t>
      </w:r>
      <w:r w:rsidR="00696274" w:rsidRPr="00AF7D64">
        <w:rPr>
          <w:color w:val="auto"/>
        </w:rPr>
        <w:t xml:space="preserve">open questions where respondents </w:t>
      </w:r>
      <w:r w:rsidR="00B651A2" w:rsidRPr="00AF7D64">
        <w:rPr>
          <w:color w:val="auto"/>
        </w:rPr>
        <w:t xml:space="preserve">could provide </w:t>
      </w:r>
      <w:r w:rsidR="00630893" w:rsidRPr="00AF7D64">
        <w:rPr>
          <w:color w:val="auto"/>
        </w:rPr>
        <w:t>their</w:t>
      </w:r>
      <w:r w:rsidR="00AB255C" w:rsidRPr="00AF7D64">
        <w:rPr>
          <w:color w:val="auto"/>
        </w:rPr>
        <w:t xml:space="preserve"> general views and comments</w:t>
      </w:r>
      <w:r w:rsidR="00B651A2" w:rsidRPr="00AF7D64">
        <w:rPr>
          <w:color w:val="auto"/>
        </w:rPr>
        <w:t xml:space="preserve">. </w:t>
      </w:r>
    </w:p>
    <w:p w14:paraId="400114F7" w14:textId="221A5FD6" w:rsidR="003A1F52" w:rsidRPr="00AF7D64" w:rsidRDefault="002C69F0" w:rsidP="00230D0A">
      <w:pPr>
        <w:pStyle w:val="Default"/>
        <w:numPr>
          <w:ilvl w:val="1"/>
          <w:numId w:val="6"/>
        </w:numPr>
        <w:spacing w:after="240"/>
        <w:ind w:left="709" w:hanging="851"/>
        <w:jc w:val="both"/>
        <w:rPr>
          <w:color w:val="auto"/>
        </w:rPr>
      </w:pPr>
      <w:r w:rsidRPr="00AF7D64">
        <w:rPr>
          <w:color w:val="auto"/>
        </w:rPr>
        <w:t xml:space="preserve">The number of responses received in the Consultation was </w:t>
      </w:r>
      <w:r w:rsidR="00270E00" w:rsidRPr="00AF7D64">
        <w:rPr>
          <w:b/>
          <w:bCs/>
          <w:color w:val="auto"/>
        </w:rPr>
        <w:t>155</w:t>
      </w:r>
      <w:r w:rsidR="00431F3B" w:rsidRPr="00AF7D64">
        <w:rPr>
          <w:color w:val="auto"/>
        </w:rPr>
        <w:t xml:space="preserve">. </w:t>
      </w:r>
      <w:r w:rsidR="005054BA" w:rsidRPr="00AF7D64">
        <w:rPr>
          <w:bCs/>
          <w:color w:val="auto"/>
        </w:rPr>
        <w:t>This report provides a</w:t>
      </w:r>
      <w:r w:rsidR="003A1F52" w:rsidRPr="00AF7D64">
        <w:rPr>
          <w:bCs/>
          <w:color w:val="auto"/>
        </w:rPr>
        <w:t xml:space="preserve"> summary of the responses </w:t>
      </w:r>
      <w:r w:rsidR="005608A3" w:rsidRPr="00AF7D64">
        <w:rPr>
          <w:bCs/>
          <w:color w:val="auto"/>
        </w:rPr>
        <w:t>to</w:t>
      </w:r>
      <w:r w:rsidR="003A1F52" w:rsidRPr="00AF7D64">
        <w:rPr>
          <w:bCs/>
          <w:color w:val="auto"/>
        </w:rPr>
        <w:t xml:space="preserve"> each question.</w:t>
      </w:r>
    </w:p>
    <w:p w14:paraId="607A70EF" w14:textId="544B6620" w:rsidR="00660108" w:rsidRPr="00AF7D64" w:rsidRDefault="00660108">
      <w:pPr>
        <w:spacing w:after="160" w:line="259" w:lineRule="auto"/>
        <w:rPr>
          <w:rFonts w:ascii="Arial" w:eastAsia="Calibri" w:hAnsi="Arial" w:cs="Arial"/>
          <w:bCs/>
          <w:lang w:eastAsia="en-GB"/>
        </w:rPr>
      </w:pPr>
      <w:r w:rsidRPr="00AF7D64">
        <w:rPr>
          <w:rFonts w:ascii="Arial" w:hAnsi="Arial" w:cs="Arial"/>
          <w:bCs/>
        </w:rPr>
        <w:br w:type="page"/>
      </w:r>
    </w:p>
    <w:p w14:paraId="2C558257" w14:textId="303F6291" w:rsidR="00466155" w:rsidRPr="00AF7D64" w:rsidRDefault="00467D83" w:rsidP="005D6A80">
      <w:pPr>
        <w:pStyle w:val="Default"/>
        <w:numPr>
          <w:ilvl w:val="1"/>
          <w:numId w:val="31"/>
        </w:numPr>
        <w:spacing w:after="160" w:line="259" w:lineRule="auto"/>
        <w:ind w:left="709" w:hanging="851"/>
        <w:jc w:val="both"/>
        <w:rPr>
          <w:b/>
          <w:bCs/>
          <w:color w:val="auto"/>
          <w:lang w:val="en-US"/>
        </w:rPr>
      </w:pPr>
      <w:r w:rsidRPr="00AF7D64">
        <w:rPr>
          <w:b/>
          <w:bCs/>
          <w:color w:val="auto"/>
        </w:rPr>
        <w:lastRenderedPageBreak/>
        <w:t xml:space="preserve">Question 1 – </w:t>
      </w:r>
      <w:r w:rsidR="005C45E0" w:rsidRPr="00AF7D64">
        <w:rPr>
          <w:b/>
          <w:bCs/>
          <w:color w:val="auto"/>
          <w:lang w:val="en-US"/>
        </w:rPr>
        <w:t>Do you agree achieving a balanced budget in both the short and medium term is vital to ensuring the delivery of efficient and effective services.</w:t>
      </w:r>
    </w:p>
    <w:p w14:paraId="30F5A912" w14:textId="4399EAA6" w:rsidR="00A55FB1" w:rsidRPr="00AF7D64" w:rsidRDefault="0CAC40A2" w:rsidP="00D86B56">
      <w:pPr>
        <w:pStyle w:val="Default"/>
        <w:numPr>
          <w:ilvl w:val="2"/>
          <w:numId w:val="31"/>
        </w:numPr>
        <w:spacing w:after="160" w:line="259" w:lineRule="auto"/>
        <w:ind w:left="709" w:hanging="851"/>
        <w:rPr>
          <w:b/>
          <w:bCs/>
          <w:color w:val="auto"/>
          <w:lang w:val="en-US"/>
        </w:rPr>
      </w:pPr>
      <w:r w:rsidRPr="00AF7D64">
        <w:t>The consultation results indicate strong support for maintaining a balanced budget in both the short and medium term. A significant majority</w:t>
      </w:r>
      <w:r w:rsidR="1571D5A8" w:rsidRPr="00AF7D64">
        <w:t xml:space="preserve"> (78%)</w:t>
      </w:r>
      <w:r w:rsidRPr="00AF7D64">
        <w:t xml:space="preserve"> of respondents—</w:t>
      </w:r>
      <w:r w:rsidRPr="00AF7D64">
        <w:rPr>
          <w:b/>
          <w:bCs/>
        </w:rPr>
        <w:t>41% strongly agree</w:t>
      </w:r>
      <w:r w:rsidRPr="00AF7D64">
        <w:t xml:space="preserve"> and </w:t>
      </w:r>
      <w:r w:rsidRPr="00AF7D64">
        <w:rPr>
          <w:b/>
          <w:bCs/>
        </w:rPr>
        <w:t>36% agree</w:t>
      </w:r>
      <w:r w:rsidRPr="00AF7D64">
        <w:t>—emphasi</w:t>
      </w:r>
      <w:r w:rsidR="00374E19">
        <w:t>s</w:t>
      </w:r>
      <w:r w:rsidRPr="00AF7D64">
        <w:t xml:space="preserve">ed the importance of this approach to ensure efficient and effective service delivery. Only </w:t>
      </w:r>
      <w:r w:rsidRPr="00AF7D64">
        <w:rPr>
          <w:b/>
          <w:bCs/>
        </w:rPr>
        <w:t>10%</w:t>
      </w:r>
      <w:r w:rsidRPr="00AF7D64">
        <w:t xml:space="preserve"> expressed disagreement while </w:t>
      </w:r>
      <w:r w:rsidRPr="00AF7D64">
        <w:rPr>
          <w:b/>
          <w:bCs/>
        </w:rPr>
        <w:t>11.6%</w:t>
      </w:r>
      <w:r w:rsidRPr="00AF7D64">
        <w:t xml:space="preserve"> had no preference. This demonstrates that residents largely recogni</w:t>
      </w:r>
      <w:r w:rsidR="00F372E5">
        <w:t>s</w:t>
      </w:r>
      <w:r w:rsidRPr="00AF7D64">
        <w:t>e the necessity of sound financial management as a foundation for sustaining vital services and meeting community priorities.</w:t>
      </w:r>
    </w:p>
    <w:p w14:paraId="3E885F4E" w14:textId="77777777" w:rsidR="005652B3" w:rsidRPr="00AF7D64" w:rsidRDefault="005652B3" w:rsidP="005652B3">
      <w:pPr>
        <w:pStyle w:val="Default"/>
        <w:spacing w:after="160" w:line="259" w:lineRule="auto"/>
        <w:ind w:left="709"/>
        <w:jc w:val="both"/>
        <w:rPr>
          <w:b/>
          <w:bCs/>
          <w:color w:val="auto"/>
          <w:lang w:val="en-US"/>
        </w:rPr>
      </w:pPr>
    </w:p>
    <w:p w14:paraId="0092672A" w14:textId="2F79CB39" w:rsidR="00E337E0" w:rsidRPr="00AF7D64" w:rsidRDefault="00433D31" w:rsidP="005D6A80">
      <w:pPr>
        <w:pStyle w:val="Default"/>
        <w:numPr>
          <w:ilvl w:val="1"/>
          <w:numId w:val="31"/>
        </w:numPr>
        <w:spacing w:after="160" w:line="259" w:lineRule="auto"/>
        <w:ind w:hanging="716"/>
        <w:jc w:val="both"/>
        <w:rPr>
          <w:b/>
          <w:bCs/>
          <w:color w:val="auto"/>
        </w:rPr>
      </w:pPr>
      <w:r w:rsidRPr="00AF7D64">
        <w:rPr>
          <w:b/>
          <w:bCs/>
          <w:color w:val="auto"/>
        </w:rPr>
        <w:t xml:space="preserve">Question 2 - </w:t>
      </w:r>
      <w:r w:rsidR="005C45E0" w:rsidRPr="00AF7D64">
        <w:rPr>
          <w:b/>
          <w:bCs/>
          <w:color w:val="auto"/>
        </w:rPr>
        <w:t xml:space="preserve">Under the current modelling for the 2026/27 Local Government Finance Settlement, the Government has assumed a Council tax increase of 4.99% inclusive of an adult social care precept of 2.0%. The Council will decide what increase it will apply when it sets the revenue budget for 2026/27. Do you agree or disagree that we should protect vital services as much as we are able to by </w:t>
      </w:r>
      <w:proofErr w:type="gramStart"/>
      <w:r w:rsidR="005C45E0" w:rsidRPr="00AF7D64">
        <w:rPr>
          <w:b/>
          <w:bCs/>
          <w:color w:val="auto"/>
        </w:rPr>
        <w:t>increasing</w:t>
      </w:r>
      <w:proofErr w:type="gramEnd"/>
      <w:r w:rsidR="005C45E0" w:rsidRPr="00AF7D64">
        <w:rPr>
          <w:b/>
          <w:bCs/>
          <w:color w:val="auto"/>
        </w:rPr>
        <w:t xml:space="preserve"> council tax by an additional 4.99%?</w:t>
      </w:r>
    </w:p>
    <w:p w14:paraId="3F8EF124" w14:textId="77777777" w:rsidR="007E6F45" w:rsidRPr="00AF7D64" w:rsidRDefault="007E6F45" w:rsidP="007E6F45">
      <w:pPr>
        <w:pStyle w:val="Default"/>
        <w:spacing w:after="160" w:line="259" w:lineRule="auto"/>
        <w:ind w:left="567"/>
        <w:jc w:val="both"/>
        <w:rPr>
          <w:b/>
          <w:bCs/>
          <w:color w:val="auto"/>
        </w:rPr>
      </w:pPr>
    </w:p>
    <w:p w14:paraId="346FDD65" w14:textId="2875EC6B" w:rsidR="007E6F45" w:rsidRPr="00AF7D64" w:rsidRDefault="00D119E8" w:rsidP="005D6A80">
      <w:pPr>
        <w:pStyle w:val="Default"/>
        <w:numPr>
          <w:ilvl w:val="2"/>
          <w:numId w:val="31"/>
        </w:numPr>
        <w:spacing w:after="160" w:line="259" w:lineRule="auto"/>
        <w:ind w:left="567" w:hanging="709"/>
        <w:jc w:val="both"/>
        <w:rPr>
          <w:b/>
          <w:bCs/>
          <w:color w:val="auto"/>
        </w:rPr>
      </w:pPr>
      <w:r w:rsidRPr="00AF7D64">
        <w:rPr>
          <w:noProof/>
        </w:rPr>
        <w:drawing>
          <wp:inline distT="0" distB="0" distL="0" distR="0" wp14:anchorId="53BEFA01" wp14:editId="3515781A">
            <wp:extent cx="5384800" cy="2743200"/>
            <wp:effectExtent l="0" t="0" r="6350" b="0"/>
            <wp:docPr id="275578555" name="Chart 1">
              <a:extLst xmlns:a="http://schemas.openxmlformats.org/drawingml/2006/main">
                <a:ext uri="{FF2B5EF4-FFF2-40B4-BE49-F238E27FC236}">
                  <a16:creationId xmlns:a16="http://schemas.microsoft.com/office/drawing/2014/main" id="{A4A7130D-3F7A-FBA0-47DD-67ADB07897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DA4C93D" w14:textId="77777777" w:rsidR="00587D56" w:rsidRPr="00587D56" w:rsidRDefault="00641E7B" w:rsidP="00246DE4">
      <w:pPr>
        <w:pStyle w:val="Default"/>
        <w:numPr>
          <w:ilvl w:val="2"/>
          <w:numId w:val="31"/>
        </w:numPr>
        <w:spacing w:after="160" w:line="259" w:lineRule="auto"/>
        <w:ind w:left="709" w:hanging="851"/>
        <w:rPr>
          <w:b/>
          <w:bCs/>
          <w:color w:val="auto"/>
        </w:rPr>
      </w:pPr>
      <w:r w:rsidRPr="00641E7B">
        <w:t>Responses to the proposed 4.99% council tax increase, inclusive of the adult social care precept, show a mixed picture</w:t>
      </w:r>
      <w:r w:rsidR="007E6F45" w:rsidRPr="00AF7D64">
        <w:t xml:space="preserve">. </w:t>
      </w:r>
      <w:r w:rsidR="00587D56" w:rsidRPr="00587D56">
        <w:t xml:space="preserve">While 59.4% of respondents indicated disagreement, </w:t>
      </w:r>
      <w:r w:rsidR="00587D56" w:rsidRPr="00090BE2">
        <w:rPr>
          <w:b/>
          <w:bCs/>
        </w:rPr>
        <w:t>a substantial proportion</w:t>
      </w:r>
      <w:r w:rsidR="00587D56" w:rsidRPr="00587D56">
        <w:t>—33.5%—expressed support for the increase, with a further 6.5% having no preference. This indicates that although affordability remains a concern for many households, around one-third of residents recognise the need to raise council tax to help protect vital services. The split responses reflect the challenge of balancing financial pressures on residents with the necessity of sustaining essential local services.</w:t>
      </w:r>
    </w:p>
    <w:p w14:paraId="0848B78E" w14:textId="4EFF9285" w:rsidR="002B5970" w:rsidRPr="00587D56" w:rsidRDefault="00385F3E">
      <w:pPr>
        <w:pStyle w:val="Default"/>
        <w:numPr>
          <w:ilvl w:val="1"/>
          <w:numId w:val="31"/>
        </w:numPr>
        <w:spacing w:after="160" w:line="259" w:lineRule="auto"/>
        <w:ind w:left="709" w:hanging="851"/>
        <w:jc w:val="both"/>
        <w:rPr>
          <w:b/>
          <w:bCs/>
          <w:color w:val="auto"/>
        </w:rPr>
      </w:pPr>
      <w:r w:rsidRPr="00587D56">
        <w:rPr>
          <w:b/>
          <w:bCs/>
          <w:color w:val="auto"/>
        </w:rPr>
        <w:lastRenderedPageBreak/>
        <w:t xml:space="preserve">Question </w:t>
      </w:r>
      <w:r w:rsidR="00732653" w:rsidRPr="00587D56">
        <w:rPr>
          <w:b/>
          <w:bCs/>
          <w:color w:val="auto"/>
        </w:rPr>
        <w:t>3</w:t>
      </w:r>
      <w:r w:rsidRPr="00587D56">
        <w:rPr>
          <w:b/>
          <w:bCs/>
          <w:color w:val="auto"/>
        </w:rPr>
        <w:t xml:space="preserve"> –</w:t>
      </w:r>
      <w:r w:rsidR="00B81E31" w:rsidRPr="00587D56">
        <w:rPr>
          <w:b/>
          <w:bCs/>
          <w:color w:val="auto"/>
        </w:rPr>
        <w:t xml:space="preserve"> </w:t>
      </w:r>
      <w:r w:rsidR="004E687C" w:rsidRPr="00587D56">
        <w:rPr>
          <w:b/>
          <w:bCs/>
          <w:color w:val="auto"/>
          <w:lang w:val="en-US"/>
        </w:rPr>
        <w:t>If you disagree with increasing council tax by 4.99%, what increase would you be comfortable with and what would you do differently to prevent a budget shortfall? Please note that every 1% increase in council tax generates approximately £1.0million.</w:t>
      </w:r>
    </w:p>
    <w:p w14:paraId="00072A17" w14:textId="160FF7DE" w:rsidR="000E514B" w:rsidRPr="000E514B" w:rsidRDefault="00494FB5" w:rsidP="005D6A80">
      <w:pPr>
        <w:pStyle w:val="Default"/>
        <w:numPr>
          <w:ilvl w:val="2"/>
          <w:numId w:val="31"/>
        </w:numPr>
        <w:spacing w:after="160" w:line="259" w:lineRule="auto"/>
        <w:ind w:left="709" w:hanging="851"/>
        <w:jc w:val="both"/>
        <w:rPr>
          <w:b/>
          <w:bCs/>
          <w:color w:val="auto"/>
        </w:rPr>
      </w:pPr>
      <w:r w:rsidRPr="00494FB5">
        <w:rPr>
          <w:noProof/>
          <w:color w:val="auto"/>
        </w:rPr>
        <w:t>This open-ended question was directed specifically at respondents who disagreed with the proposed 4.99% council tax increase, inviting them to suggest an alternative level of increase and their ideas for avoiding a budget shortfall.</w:t>
      </w:r>
      <w:r w:rsidR="000E514B" w:rsidRPr="000E514B">
        <w:rPr>
          <w:noProof/>
          <w:color w:val="auto"/>
        </w:rPr>
        <w:t xml:space="preserve"> </w:t>
      </w:r>
      <w:r w:rsidR="00DD7B1D" w:rsidRPr="00DD7B1D">
        <w:rPr>
          <w:noProof/>
          <w:color w:val="auto"/>
        </w:rPr>
        <w:t>The feedback reflected a range of views, with several consistent themes emerging:</w:t>
      </w:r>
    </w:p>
    <w:p w14:paraId="2DE65D45" w14:textId="0A820BAB" w:rsidR="000E514B" w:rsidRPr="000E514B" w:rsidRDefault="000E514B" w:rsidP="000E514B">
      <w:pPr>
        <w:pStyle w:val="Default"/>
        <w:numPr>
          <w:ilvl w:val="0"/>
          <w:numId w:val="28"/>
        </w:numPr>
        <w:spacing w:after="240"/>
        <w:jc w:val="both"/>
        <w:rPr>
          <w:noProof/>
          <w:color w:val="auto"/>
        </w:rPr>
      </w:pPr>
      <w:r w:rsidRPr="000E514B">
        <w:rPr>
          <w:b/>
          <w:bCs/>
          <w:noProof/>
          <w:color w:val="auto"/>
        </w:rPr>
        <w:t>Preferred Increase:</w:t>
      </w:r>
      <w:r w:rsidRPr="000E514B">
        <w:rPr>
          <w:noProof/>
          <w:color w:val="auto"/>
        </w:rPr>
        <w:t xml:space="preserve"> </w:t>
      </w:r>
      <w:r w:rsidR="00B2433E">
        <w:rPr>
          <w:noProof/>
          <w:color w:val="auto"/>
        </w:rPr>
        <w:t>Many</w:t>
      </w:r>
      <w:r w:rsidRPr="000E514B">
        <w:rPr>
          <w:noProof/>
          <w:color w:val="auto"/>
        </w:rPr>
        <w:t xml:space="preserve"> </w:t>
      </w:r>
      <w:r w:rsidR="00B2433E">
        <w:rPr>
          <w:noProof/>
          <w:color w:val="auto"/>
        </w:rPr>
        <w:t>proposed</w:t>
      </w:r>
      <w:r w:rsidRPr="000E514B">
        <w:rPr>
          <w:noProof/>
          <w:color w:val="auto"/>
        </w:rPr>
        <w:t xml:space="preserve"> </w:t>
      </w:r>
      <w:r w:rsidR="006100EA">
        <w:rPr>
          <w:noProof/>
          <w:color w:val="auto"/>
        </w:rPr>
        <w:t xml:space="preserve">smaller </w:t>
      </w:r>
      <w:r w:rsidR="00193BC0">
        <w:rPr>
          <w:noProof/>
          <w:color w:val="auto"/>
        </w:rPr>
        <w:t>increases</w:t>
      </w:r>
      <w:r w:rsidR="00D32330">
        <w:rPr>
          <w:noProof/>
          <w:color w:val="auto"/>
        </w:rPr>
        <w:t xml:space="preserve">, typically between </w:t>
      </w:r>
      <w:r w:rsidRPr="00D32330">
        <w:rPr>
          <w:noProof/>
          <w:color w:val="auto"/>
        </w:rPr>
        <w:t>1–3%</w:t>
      </w:r>
      <w:r w:rsidRPr="000E514B">
        <w:rPr>
          <w:noProof/>
          <w:color w:val="auto"/>
        </w:rPr>
        <w:t xml:space="preserve">, with some advocating for a </w:t>
      </w:r>
      <w:r w:rsidRPr="00E230E0">
        <w:rPr>
          <w:noProof/>
          <w:color w:val="auto"/>
        </w:rPr>
        <w:t>0% freeze.</w:t>
      </w:r>
    </w:p>
    <w:p w14:paraId="5E870F2A" w14:textId="4C91CB6E" w:rsidR="000E514B" w:rsidRPr="000E514B" w:rsidRDefault="000E514B" w:rsidP="009516B3">
      <w:pPr>
        <w:pStyle w:val="Default"/>
        <w:numPr>
          <w:ilvl w:val="0"/>
          <w:numId w:val="28"/>
        </w:numPr>
        <w:spacing w:after="240"/>
        <w:rPr>
          <w:noProof/>
          <w:color w:val="auto"/>
        </w:rPr>
      </w:pPr>
      <w:r w:rsidRPr="000E514B">
        <w:rPr>
          <w:b/>
          <w:bCs/>
          <w:noProof/>
          <w:color w:val="auto"/>
        </w:rPr>
        <w:t>Efficiency Savings:</w:t>
      </w:r>
      <w:r w:rsidRPr="000E514B">
        <w:rPr>
          <w:noProof/>
          <w:color w:val="auto"/>
        </w:rPr>
        <w:t xml:space="preserve"> </w:t>
      </w:r>
      <w:r w:rsidR="002A56FA" w:rsidRPr="002A56FA">
        <w:rPr>
          <w:noProof/>
          <w:color w:val="auto"/>
        </w:rPr>
        <w:t>Suggestions included reducing waste, scrutinising departmental spending, and limiting non-essential services.</w:t>
      </w:r>
    </w:p>
    <w:p w14:paraId="7E5DA6C8" w14:textId="10F25468" w:rsidR="000E514B" w:rsidRPr="000E514B" w:rsidRDefault="000E514B" w:rsidP="000E514B">
      <w:pPr>
        <w:pStyle w:val="Default"/>
        <w:numPr>
          <w:ilvl w:val="0"/>
          <w:numId w:val="28"/>
        </w:numPr>
        <w:spacing w:after="240"/>
        <w:jc w:val="both"/>
        <w:rPr>
          <w:noProof/>
          <w:color w:val="auto"/>
        </w:rPr>
      </w:pPr>
      <w:r w:rsidRPr="000E514B">
        <w:rPr>
          <w:b/>
          <w:bCs/>
          <w:noProof/>
          <w:color w:val="auto"/>
        </w:rPr>
        <w:t>Alternative Revenue:</w:t>
      </w:r>
      <w:r w:rsidRPr="000E514B">
        <w:rPr>
          <w:noProof/>
          <w:color w:val="auto"/>
        </w:rPr>
        <w:t xml:space="preserve"> </w:t>
      </w:r>
      <w:r w:rsidR="003D27E2" w:rsidRPr="003D27E2">
        <w:rPr>
          <w:noProof/>
          <w:color w:val="auto"/>
        </w:rPr>
        <w:t>Respondents proposed generating income through local events, reviewing property-related taxes, and introducing charges for empty homes.</w:t>
      </w:r>
    </w:p>
    <w:p w14:paraId="69D42F67" w14:textId="368293CA" w:rsidR="000E514B" w:rsidRPr="000E514B" w:rsidRDefault="000E514B" w:rsidP="000E514B">
      <w:pPr>
        <w:pStyle w:val="Default"/>
        <w:numPr>
          <w:ilvl w:val="0"/>
          <w:numId w:val="28"/>
        </w:numPr>
        <w:spacing w:after="240"/>
        <w:jc w:val="both"/>
        <w:rPr>
          <w:noProof/>
          <w:color w:val="auto"/>
        </w:rPr>
      </w:pPr>
      <w:r w:rsidRPr="000E514B">
        <w:rPr>
          <w:b/>
          <w:bCs/>
          <w:noProof/>
          <w:color w:val="auto"/>
        </w:rPr>
        <w:t>Government Funding:</w:t>
      </w:r>
      <w:r w:rsidRPr="000E514B">
        <w:rPr>
          <w:noProof/>
          <w:color w:val="auto"/>
        </w:rPr>
        <w:t xml:space="preserve"> </w:t>
      </w:r>
      <w:r w:rsidR="00613DEC" w:rsidRPr="00613DEC">
        <w:rPr>
          <w:noProof/>
          <w:color w:val="auto"/>
        </w:rPr>
        <w:t>There was strong emphasis on lobbying for increased central government support.</w:t>
      </w:r>
    </w:p>
    <w:p w14:paraId="0261C19A" w14:textId="321A1505" w:rsidR="00E4273E" w:rsidRPr="00AF7D64" w:rsidRDefault="000E514B" w:rsidP="00834C77">
      <w:pPr>
        <w:pStyle w:val="Default"/>
        <w:numPr>
          <w:ilvl w:val="0"/>
          <w:numId w:val="28"/>
        </w:numPr>
        <w:spacing w:after="240"/>
        <w:jc w:val="both"/>
        <w:rPr>
          <w:noProof/>
          <w:color w:val="auto"/>
        </w:rPr>
      </w:pPr>
      <w:r w:rsidRPr="000E514B">
        <w:rPr>
          <w:b/>
          <w:bCs/>
          <w:noProof/>
          <w:color w:val="auto"/>
        </w:rPr>
        <w:t>Transparency:</w:t>
      </w:r>
      <w:r w:rsidRPr="000E514B">
        <w:rPr>
          <w:noProof/>
          <w:color w:val="auto"/>
        </w:rPr>
        <w:t xml:space="preserve"> </w:t>
      </w:r>
      <w:r w:rsidR="00FC578D" w:rsidRPr="00FC578D">
        <w:rPr>
          <w:noProof/>
          <w:color w:val="auto"/>
        </w:rPr>
        <w:t>Many called for clearer communication and greater public accountability in budget decision-making.</w:t>
      </w:r>
    </w:p>
    <w:p w14:paraId="44A10545" w14:textId="77777777" w:rsidR="00834C77" w:rsidRPr="00AF7D64" w:rsidRDefault="00834C77" w:rsidP="00834C77">
      <w:pPr>
        <w:pStyle w:val="Default"/>
        <w:spacing w:after="240"/>
        <w:ind w:left="720"/>
        <w:jc w:val="both"/>
        <w:rPr>
          <w:noProof/>
          <w:color w:val="auto"/>
        </w:rPr>
      </w:pPr>
    </w:p>
    <w:p w14:paraId="7F76CAAC" w14:textId="77777777" w:rsidR="000C71DC" w:rsidRPr="00AF7D64" w:rsidRDefault="003A5D10" w:rsidP="005D6A80">
      <w:pPr>
        <w:pStyle w:val="Default"/>
        <w:numPr>
          <w:ilvl w:val="1"/>
          <w:numId w:val="31"/>
        </w:numPr>
        <w:spacing w:after="160" w:line="259" w:lineRule="auto"/>
        <w:ind w:left="709" w:hanging="851"/>
        <w:jc w:val="both"/>
        <w:rPr>
          <w:b/>
          <w:bCs/>
          <w:color w:val="auto"/>
          <w:lang w:val="en-US"/>
        </w:rPr>
      </w:pPr>
      <w:r w:rsidRPr="00AF7D64">
        <w:rPr>
          <w:b/>
          <w:bCs/>
          <w:color w:val="auto"/>
        </w:rPr>
        <w:t xml:space="preserve">Question </w:t>
      </w:r>
      <w:r w:rsidR="00732653" w:rsidRPr="00AF7D64">
        <w:rPr>
          <w:b/>
          <w:bCs/>
          <w:color w:val="auto"/>
        </w:rPr>
        <w:t>4</w:t>
      </w:r>
      <w:r w:rsidRPr="00AF7D64">
        <w:rPr>
          <w:b/>
          <w:bCs/>
          <w:color w:val="auto"/>
        </w:rPr>
        <w:t xml:space="preserve"> –</w:t>
      </w:r>
      <w:r w:rsidR="00B66778" w:rsidRPr="00AF7D64">
        <w:rPr>
          <w:b/>
          <w:bCs/>
          <w:color w:val="auto"/>
        </w:rPr>
        <w:t xml:space="preserve"> </w:t>
      </w:r>
      <w:r w:rsidR="005118F1" w:rsidRPr="00AF7D64">
        <w:rPr>
          <w:b/>
          <w:bCs/>
          <w:color w:val="auto"/>
          <w:lang w:val="en-US"/>
        </w:rPr>
        <w:t>We previously asked you what mattered to you the most, and your feedback helped us develop our six key priorities.</w:t>
      </w:r>
    </w:p>
    <w:p w14:paraId="6FEA4E43" w14:textId="4FE8A42F" w:rsidR="005118F1" w:rsidRPr="00AF7D64" w:rsidRDefault="005118F1" w:rsidP="00B07995">
      <w:pPr>
        <w:pStyle w:val="Default"/>
        <w:numPr>
          <w:ilvl w:val="0"/>
          <w:numId w:val="27"/>
        </w:numPr>
        <w:spacing w:after="160" w:line="259" w:lineRule="auto"/>
        <w:jc w:val="both"/>
        <w:rPr>
          <w:color w:val="auto"/>
          <w:lang w:val="en-US"/>
        </w:rPr>
      </w:pPr>
      <w:r w:rsidRPr="00AF7D64">
        <w:rPr>
          <w:color w:val="auto"/>
          <w:lang w:val="en-US"/>
        </w:rPr>
        <w:t>Ensure children and young people have a positive start in life</w:t>
      </w:r>
    </w:p>
    <w:p w14:paraId="0AC9438C" w14:textId="77777777" w:rsidR="005118F1" w:rsidRPr="00AF7D64" w:rsidRDefault="005118F1" w:rsidP="009A3236">
      <w:pPr>
        <w:pStyle w:val="Default"/>
        <w:numPr>
          <w:ilvl w:val="0"/>
          <w:numId w:val="27"/>
        </w:numPr>
        <w:spacing w:after="160" w:line="259" w:lineRule="auto"/>
        <w:rPr>
          <w:color w:val="auto"/>
          <w:lang w:val="en-US"/>
        </w:rPr>
      </w:pPr>
      <w:r w:rsidRPr="00AF7D64">
        <w:rPr>
          <w:color w:val="auto"/>
          <w:lang w:val="en-US"/>
        </w:rPr>
        <w:t xml:space="preserve">Promote good health, and </w:t>
      </w:r>
      <w:proofErr w:type="gramStart"/>
      <w:r w:rsidRPr="00AF7D64">
        <w:rPr>
          <w:color w:val="auto"/>
          <w:lang w:val="en-US"/>
        </w:rPr>
        <w:t>independence</w:t>
      </w:r>
      <w:proofErr w:type="gramEnd"/>
      <w:r w:rsidRPr="00AF7D64">
        <w:rPr>
          <w:color w:val="auto"/>
          <w:lang w:val="en-US"/>
        </w:rPr>
        <w:t xml:space="preserve"> and care across our communities</w:t>
      </w:r>
    </w:p>
    <w:p w14:paraId="66311837" w14:textId="77777777" w:rsidR="005118F1" w:rsidRPr="00AF7D64" w:rsidRDefault="005118F1" w:rsidP="00230D0A">
      <w:pPr>
        <w:pStyle w:val="Default"/>
        <w:numPr>
          <w:ilvl w:val="0"/>
          <w:numId w:val="27"/>
        </w:numPr>
        <w:spacing w:after="160" w:line="259" w:lineRule="auto"/>
        <w:jc w:val="both"/>
        <w:rPr>
          <w:color w:val="auto"/>
          <w:lang w:val="en-US"/>
        </w:rPr>
      </w:pPr>
      <w:r w:rsidRPr="00AF7D64">
        <w:rPr>
          <w:color w:val="auto"/>
          <w:lang w:val="en-US"/>
        </w:rPr>
        <w:t xml:space="preserve">Create safe and strong communities and </w:t>
      </w:r>
      <w:proofErr w:type="spellStart"/>
      <w:r w:rsidRPr="00AF7D64">
        <w:rPr>
          <w:color w:val="auto"/>
          <w:lang w:val="en-US"/>
        </w:rPr>
        <w:t>neighbourhoods</w:t>
      </w:r>
      <w:proofErr w:type="spellEnd"/>
      <w:r w:rsidRPr="00AF7D64">
        <w:rPr>
          <w:color w:val="auto"/>
          <w:lang w:val="en-US"/>
        </w:rPr>
        <w:t xml:space="preserve"> for all</w:t>
      </w:r>
    </w:p>
    <w:p w14:paraId="047AE554" w14:textId="77777777" w:rsidR="005118F1" w:rsidRPr="00AF7D64" w:rsidRDefault="005118F1" w:rsidP="00230D0A">
      <w:pPr>
        <w:pStyle w:val="Default"/>
        <w:numPr>
          <w:ilvl w:val="0"/>
          <w:numId w:val="27"/>
        </w:numPr>
        <w:spacing w:after="160" w:line="259" w:lineRule="auto"/>
        <w:jc w:val="both"/>
        <w:rPr>
          <w:color w:val="auto"/>
          <w:lang w:val="en-US"/>
        </w:rPr>
      </w:pPr>
      <w:r w:rsidRPr="00AF7D64">
        <w:rPr>
          <w:color w:val="auto"/>
          <w:lang w:val="en-US"/>
        </w:rPr>
        <w:t>Support a strong, thriving, inclusive and well-connected local economy</w:t>
      </w:r>
    </w:p>
    <w:p w14:paraId="79BC77D7" w14:textId="77777777" w:rsidR="005118F1" w:rsidRPr="00AF7D64" w:rsidRDefault="005118F1" w:rsidP="00230D0A">
      <w:pPr>
        <w:pStyle w:val="Default"/>
        <w:numPr>
          <w:ilvl w:val="0"/>
          <w:numId w:val="27"/>
        </w:numPr>
        <w:spacing w:after="160" w:line="259" w:lineRule="auto"/>
        <w:jc w:val="both"/>
        <w:rPr>
          <w:color w:val="auto"/>
          <w:lang w:val="en-US"/>
        </w:rPr>
      </w:pPr>
      <w:r w:rsidRPr="00AF7D64">
        <w:rPr>
          <w:color w:val="auto"/>
          <w:lang w:val="en-US"/>
        </w:rPr>
        <w:t>Create green and vibrant places that reflect our culture and heritage</w:t>
      </w:r>
    </w:p>
    <w:p w14:paraId="6E8DB87F" w14:textId="0695AB31" w:rsidR="00834C77" w:rsidRDefault="005118F1" w:rsidP="00AF1EE5">
      <w:pPr>
        <w:pStyle w:val="Default"/>
        <w:numPr>
          <w:ilvl w:val="0"/>
          <w:numId w:val="27"/>
        </w:numPr>
        <w:spacing w:after="160" w:line="259" w:lineRule="auto"/>
        <w:jc w:val="both"/>
        <w:rPr>
          <w:color w:val="auto"/>
          <w:lang w:val="en-US"/>
        </w:rPr>
      </w:pPr>
      <w:r w:rsidRPr="00AF7D64">
        <w:rPr>
          <w:color w:val="auto"/>
          <w:lang w:val="en-US"/>
        </w:rPr>
        <w:t>Be a responsible Council</w:t>
      </w:r>
    </w:p>
    <w:p w14:paraId="29C743DC" w14:textId="77777777" w:rsidR="009A3236" w:rsidRDefault="009A3236" w:rsidP="004976F5">
      <w:pPr>
        <w:pStyle w:val="Default"/>
        <w:spacing w:after="160" w:line="259" w:lineRule="auto"/>
        <w:ind w:left="709"/>
        <w:jc w:val="both"/>
        <w:rPr>
          <w:b/>
          <w:bCs/>
          <w:color w:val="auto"/>
          <w:lang w:val="en-US"/>
        </w:rPr>
      </w:pPr>
    </w:p>
    <w:p w14:paraId="464D64BA" w14:textId="43F504D5" w:rsidR="005022F7" w:rsidRPr="00AF7D64" w:rsidRDefault="005118F1" w:rsidP="004976F5">
      <w:pPr>
        <w:pStyle w:val="Default"/>
        <w:spacing w:after="160" w:line="259" w:lineRule="auto"/>
        <w:ind w:left="709"/>
        <w:jc w:val="both"/>
        <w:rPr>
          <w:b/>
          <w:bCs/>
          <w:color w:val="auto"/>
          <w:lang w:val="en-US"/>
        </w:rPr>
      </w:pPr>
      <w:r w:rsidRPr="00AF7D64">
        <w:rPr>
          <w:b/>
          <w:bCs/>
          <w:color w:val="auto"/>
          <w:lang w:val="en-US"/>
        </w:rPr>
        <w:t>Do you agree or disagree that we should continue to protect and invest in the services that residents told us matter most?</w:t>
      </w:r>
    </w:p>
    <w:p w14:paraId="77B5B2A3" w14:textId="6DD28826" w:rsidR="005022F7" w:rsidRPr="00877AD7" w:rsidRDefault="00877AD7" w:rsidP="00877AD7">
      <w:pPr>
        <w:pStyle w:val="Default"/>
        <w:numPr>
          <w:ilvl w:val="2"/>
          <w:numId w:val="31"/>
        </w:numPr>
        <w:spacing w:after="160" w:line="259" w:lineRule="auto"/>
        <w:ind w:left="709" w:hanging="851"/>
        <w:jc w:val="both"/>
      </w:pPr>
      <w:r w:rsidRPr="00877AD7">
        <w:t xml:space="preserve">The results show strong and clear support for continuing to protect and invest in the services residents identified as most important. </w:t>
      </w:r>
      <w:r w:rsidRPr="008A4921">
        <w:rPr>
          <w:b/>
          <w:bCs/>
        </w:rPr>
        <w:t xml:space="preserve">Over 72% of respondents </w:t>
      </w:r>
      <w:r w:rsidRPr="00877AD7">
        <w:t xml:space="preserve">agreed with this approach, demonstrating broad endorsement of the Council’s six key priorities. While 19% expressed disagreement, this </w:t>
      </w:r>
      <w:r w:rsidRPr="00877AD7">
        <w:lastRenderedPageBreak/>
        <w:t>represents a relatively small minority compared with the significant majority who back ongoing investment in these priority areas.</w:t>
      </w:r>
    </w:p>
    <w:p w14:paraId="2703CCC9" w14:textId="77777777" w:rsidR="003A1ECC" w:rsidRPr="00AF7D64" w:rsidRDefault="003A1ECC" w:rsidP="003A1ECC">
      <w:pPr>
        <w:pStyle w:val="Default"/>
        <w:spacing w:after="160" w:line="259" w:lineRule="auto"/>
        <w:ind w:left="709"/>
        <w:jc w:val="both"/>
        <w:rPr>
          <w:color w:val="auto"/>
          <w:lang w:val="en-US"/>
        </w:rPr>
      </w:pPr>
    </w:p>
    <w:p w14:paraId="1EB35B5F" w14:textId="6494FAAD" w:rsidR="003A1ECC" w:rsidRPr="00AF7D64" w:rsidRDefault="003A1ECC" w:rsidP="005D6A80">
      <w:pPr>
        <w:pStyle w:val="Default"/>
        <w:numPr>
          <w:ilvl w:val="1"/>
          <w:numId w:val="31"/>
        </w:numPr>
        <w:spacing w:after="160" w:line="259" w:lineRule="auto"/>
        <w:ind w:left="709" w:hanging="851"/>
        <w:jc w:val="both"/>
        <w:rPr>
          <w:b/>
          <w:bCs/>
          <w:color w:val="auto"/>
        </w:rPr>
      </w:pPr>
      <w:r w:rsidRPr="00AF7D64">
        <w:rPr>
          <w:b/>
          <w:bCs/>
          <w:color w:val="auto"/>
        </w:rPr>
        <w:t>Question 5 – Please select the priority which is the most important to you (please select one priority only).</w:t>
      </w:r>
    </w:p>
    <w:p w14:paraId="43AFE583" w14:textId="77777777" w:rsidR="00A804E6" w:rsidRPr="00A804E6" w:rsidRDefault="00A804E6" w:rsidP="005D6A80">
      <w:pPr>
        <w:pStyle w:val="Default"/>
        <w:numPr>
          <w:ilvl w:val="2"/>
          <w:numId w:val="31"/>
        </w:numPr>
        <w:spacing w:after="160" w:line="259" w:lineRule="auto"/>
        <w:ind w:left="709" w:hanging="851"/>
        <w:jc w:val="both"/>
        <w:rPr>
          <w:b/>
          <w:bCs/>
          <w:color w:val="auto"/>
        </w:rPr>
      </w:pPr>
      <w:r w:rsidRPr="00A804E6">
        <w:rPr>
          <w:color w:val="auto"/>
        </w:rPr>
        <w:t>Respondents were asked to identify the single most important priority from the six agreed by the Council. The results show that governance and community safety were considered most critical, while all priorities retained notable support. Key findings include:</w:t>
      </w:r>
    </w:p>
    <w:p w14:paraId="4E04A982" w14:textId="73D05562" w:rsidR="00A804E6" w:rsidRPr="00A804E6" w:rsidRDefault="00A804E6" w:rsidP="00A804E6">
      <w:pPr>
        <w:pStyle w:val="Default"/>
        <w:numPr>
          <w:ilvl w:val="0"/>
          <w:numId w:val="29"/>
        </w:numPr>
        <w:spacing w:after="240"/>
        <w:jc w:val="both"/>
        <w:rPr>
          <w:color w:val="auto"/>
        </w:rPr>
      </w:pPr>
      <w:r w:rsidRPr="00A804E6">
        <w:rPr>
          <w:b/>
          <w:bCs/>
          <w:color w:val="auto"/>
        </w:rPr>
        <w:t>Be a responsible Council:</w:t>
      </w:r>
      <w:r w:rsidRPr="00A804E6">
        <w:rPr>
          <w:color w:val="auto"/>
        </w:rPr>
        <w:t xml:space="preserve"> 2</w:t>
      </w:r>
      <w:r w:rsidR="00AB68A7" w:rsidRPr="00AF7D64">
        <w:rPr>
          <w:color w:val="auto"/>
        </w:rPr>
        <w:t>4</w:t>
      </w:r>
      <w:r w:rsidRPr="00A804E6">
        <w:rPr>
          <w:color w:val="auto"/>
        </w:rPr>
        <w:t>%</w:t>
      </w:r>
    </w:p>
    <w:p w14:paraId="23E7AEAE" w14:textId="77777777" w:rsidR="00A804E6" w:rsidRPr="00A804E6" w:rsidRDefault="00A804E6" w:rsidP="00A804E6">
      <w:pPr>
        <w:pStyle w:val="Default"/>
        <w:numPr>
          <w:ilvl w:val="0"/>
          <w:numId w:val="29"/>
        </w:numPr>
        <w:spacing w:after="240"/>
        <w:jc w:val="both"/>
        <w:rPr>
          <w:color w:val="auto"/>
        </w:rPr>
      </w:pPr>
      <w:r w:rsidRPr="00A804E6">
        <w:rPr>
          <w:b/>
          <w:bCs/>
          <w:color w:val="auto"/>
        </w:rPr>
        <w:t>Create safe and strong communities and neighbourhoods for all:</w:t>
      </w:r>
      <w:r w:rsidRPr="00A804E6">
        <w:rPr>
          <w:color w:val="auto"/>
        </w:rPr>
        <w:t xml:space="preserve"> 22%</w:t>
      </w:r>
    </w:p>
    <w:p w14:paraId="0A250382" w14:textId="77777777" w:rsidR="00A804E6" w:rsidRPr="00A804E6" w:rsidRDefault="00A804E6" w:rsidP="00A804E6">
      <w:pPr>
        <w:pStyle w:val="Default"/>
        <w:numPr>
          <w:ilvl w:val="0"/>
          <w:numId w:val="29"/>
        </w:numPr>
        <w:spacing w:after="240"/>
        <w:jc w:val="both"/>
        <w:rPr>
          <w:color w:val="auto"/>
        </w:rPr>
      </w:pPr>
      <w:r w:rsidRPr="00A804E6">
        <w:rPr>
          <w:b/>
          <w:bCs/>
          <w:color w:val="auto"/>
        </w:rPr>
        <w:t>Ensure children and young people have a positive start in life:</w:t>
      </w:r>
      <w:r w:rsidRPr="00A804E6">
        <w:rPr>
          <w:color w:val="auto"/>
        </w:rPr>
        <w:t xml:space="preserve"> 17%</w:t>
      </w:r>
    </w:p>
    <w:p w14:paraId="490451D7" w14:textId="77777777" w:rsidR="00A804E6" w:rsidRPr="00A804E6" w:rsidRDefault="00A804E6" w:rsidP="00805758">
      <w:pPr>
        <w:pStyle w:val="Default"/>
        <w:numPr>
          <w:ilvl w:val="0"/>
          <w:numId w:val="29"/>
        </w:numPr>
        <w:spacing w:after="240"/>
        <w:rPr>
          <w:color w:val="auto"/>
        </w:rPr>
      </w:pPr>
      <w:r w:rsidRPr="00A804E6">
        <w:rPr>
          <w:b/>
          <w:bCs/>
          <w:color w:val="auto"/>
        </w:rPr>
        <w:t>Support a strong, thriving, inclusive and well-connected local economy:</w:t>
      </w:r>
      <w:r w:rsidRPr="00A804E6">
        <w:rPr>
          <w:color w:val="auto"/>
        </w:rPr>
        <w:t xml:space="preserve"> 14%</w:t>
      </w:r>
    </w:p>
    <w:p w14:paraId="45C4871D" w14:textId="77777777" w:rsidR="00A804E6" w:rsidRPr="00A804E6" w:rsidRDefault="00A804E6" w:rsidP="00805758">
      <w:pPr>
        <w:pStyle w:val="Default"/>
        <w:numPr>
          <w:ilvl w:val="0"/>
          <w:numId w:val="29"/>
        </w:numPr>
        <w:spacing w:after="240"/>
        <w:rPr>
          <w:color w:val="auto"/>
        </w:rPr>
      </w:pPr>
      <w:r w:rsidRPr="00A804E6">
        <w:rPr>
          <w:b/>
          <w:bCs/>
          <w:color w:val="auto"/>
        </w:rPr>
        <w:t>Promote good health, independence and care across our communities:</w:t>
      </w:r>
      <w:r w:rsidRPr="00A804E6">
        <w:rPr>
          <w:color w:val="auto"/>
        </w:rPr>
        <w:t xml:space="preserve"> 12%</w:t>
      </w:r>
    </w:p>
    <w:p w14:paraId="1F802D7E" w14:textId="77777777" w:rsidR="00A804E6" w:rsidRPr="00AF7D64" w:rsidRDefault="00A804E6" w:rsidP="00A804E6">
      <w:pPr>
        <w:pStyle w:val="Default"/>
        <w:numPr>
          <w:ilvl w:val="0"/>
          <w:numId w:val="29"/>
        </w:numPr>
        <w:spacing w:after="240"/>
        <w:jc w:val="both"/>
        <w:rPr>
          <w:color w:val="auto"/>
        </w:rPr>
      </w:pPr>
      <w:r w:rsidRPr="00A804E6">
        <w:rPr>
          <w:b/>
          <w:bCs/>
          <w:color w:val="auto"/>
        </w:rPr>
        <w:t>Create green and vibrant places that reflect our culture and heritage:</w:t>
      </w:r>
      <w:r w:rsidRPr="00A804E6">
        <w:rPr>
          <w:color w:val="auto"/>
        </w:rPr>
        <w:t xml:space="preserve"> 11%</w:t>
      </w:r>
    </w:p>
    <w:p w14:paraId="586DF9E6" w14:textId="77777777" w:rsidR="00115CD9" w:rsidRPr="00A804E6" w:rsidRDefault="00115CD9" w:rsidP="00115CD9">
      <w:pPr>
        <w:pStyle w:val="Default"/>
        <w:spacing w:after="240"/>
        <w:ind w:left="1069"/>
        <w:jc w:val="both"/>
        <w:rPr>
          <w:color w:val="auto"/>
        </w:rPr>
      </w:pPr>
    </w:p>
    <w:p w14:paraId="57C57B3A" w14:textId="69F3B936" w:rsidR="00BA27F7" w:rsidRPr="00A804E6" w:rsidRDefault="00BA27F7" w:rsidP="008B014F">
      <w:pPr>
        <w:pStyle w:val="Default"/>
        <w:spacing w:after="240"/>
        <w:ind w:left="709"/>
        <w:jc w:val="both"/>
        <w:rPr>
          <w:color w:val="auto"/>
        </w:rPr>
      </w:pPr>
      <w:r w:rsidRPr="00AF7D64">
        <w:rPr>
          <w:noProof/>
        </w:rPr>
        <w:drawing>
          <wp:inline distT="0" distB="0" distL="0" distR="0" wp14:anchorId="46154EC5" wp14:editId="3C3BE13C">
            <wp:extent cx="5289550" cy="3282950"/>
            <wp:effectExtent l="0" t="0" r="6350" b="12700"/>
            <wp:docPr id="863589486" name="Chart 1">
              <a:extLst xmlns:a="http://schemas.openxmlformats.org/drawingml/2006/main">
                <a:ext uri="{FF2B5EF4-FFF2-40B4-BE49-F238E27FC236}">
                  <a16:creationId xmlns:a16="http://schemas.microsoft.com/office/drawing/2014/main" id="{DAEBDC39-8CE6-CFC2-AD84-04C1FBE84B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BC5DC4B" w14:textId="77777777" w:rsidR="00A804E6" w:rsidRPr="00AF7D64" w:rsidRDefault="00A804E6" w:rsidP="00A804E6">
      <w:pPr>
        <w:pStyle w:val="Default"/>
        <w:spacing w:after="240"/>
        <w:jc w:val="both"/>
        <w:rPr>
          <w:color w:val="EE0000"/>
          <w:highlight w:val="yellow"/>
        </w:rPr>
      </w:pPr>
    </w:p>
    <w:p w14:paraId="35A25089" w14:textId="69FB90BE" w:rsidR="00A5782D" w:rsidRPr="00AF7D64" w:rsidRDefault="002745B4" w:rsidP="005D6A80">
      <w:pPr>
        <w:pStyle w:val="Default"/>
        <w:numPr>
          <w:ilvl w:val="1"/>
          <w:numId w:val="31"/>
        </w:numPr>
        <w:spacing w:after="240"/>
        <w:ind w:left="709" w:hanging="851"/>
        <w:jc w:val="both"/>
        <w:rPr>
          <w:b/>
          <w:bCs/>
          <w:color w:val="auto"/>
        </w:rPr>
      </w:pPr>
      <w:r w:rsidRPr="00AF7D64">
        <w:rPr>
          <w:b/>
          <w:bCs/>
          <w:color w:val="auto"/>
        </w:rPr>
        <w:lastRenderedPageBreak/>
        <w:t xml:space="preserve">Question </w:t>
      </w:r>
      <w:r w:rsidR="00C24506" w:rsidRPr="00AF7D64">
        <w:rPr>
          <w:b/>
          <w:bCs/>
          <w:color w:val="auto"/>
        </w:rPr>
        <w:t>6</w:t>
      </w:r>
      <w:r w:rsidRPr="00AF7D64">
        <w:rPr>
          <w:b/>
          <w:bCs/>
          <w:color w:val="auto"/>
        </w:rPr>
        <w:t xml:space="preserve"> </w:t>
      </w:r>
      <w:r w:rsidR="00862DF3" w:rsidRPr="00AF7D64">
        <w:rPr>
          <w:b/>
          <w:bCs/>
          <w:color w:val="auto"/>
        </w:rPr>
        <w:t>–</w:t>
      </w:r>
      <w:r w:rsidRPr="00AF7D64">
        <w:rPr>
          <w:b/>
          <w:bCs/>
          <w:color w:val="auto"/>
        </w:rPr>
        <w:t xml:space="preserve"> </w:t>
      </w:r>
      <w:r w:rsidR="00862DF3" w:rsidRPr="00AF7D64">
        <w:rPr>
          <w:b/>
          <w:bCs/>
          <w:color w:val="auto"/>
        </w:rPr>
        <w:t>Do you agree with maximising income from sales, fees and charges, by increasing them in line with the pay award, general inflation or to match market demands, to support the council's budget position?</w:t>
      </w:r>
    </w:p>
    <w:p w14:paraId="7F8937E8" w14:textId="5CA7D1BE" w:rsidR="00A5782D" w:rsidRPr="00AF7D64" w:rsidRDefault="00FE2421" w:rsidP="005D6A80">
      <w:pPr>
        <w:pStyle w:val="Default"/>
        <w:numPr>
          <w:ilvl w:val="2"/>
          <w:numId w:val="31"/>
        </w:numPr>
        <w:spacing w:after="240"/>
        <w:ind w:left="709" w:hanging="851"/>
        <w:jc w:val="both"/>
        <w:rPr>
          <w:b/>
          <w:bCs/>
          <w:color w:val="auto"/>
        </w:rPr>
      </w:pPr>
      <w:r w:rsidRPr="00FE2421">
        <w:t xml:space="preserve">The chart below summarises responses to the proposal to increase income from sales, fees, and charges in line with pay awards, inflation, or market demand. Just over half of respondents either agreed or expressed no preference, </w:t>
      </w:r>
      <w:r w:rsidRPr="00FE2421">
        <w:rPr>
          <w:b/>
          <w:bCs/>
        </w:rPr>
        <w:t>with 34% agreeing and 17% strongly agreeing</w:t>
      </w:r>
      <w:r w:rsidRPr="00FE2421">
        <w:t>, and a further 17% indicating no preference. While there was some opposition—with 18% strongly disagreeing and 15% disagreeing—these views highlight concerns primarily around affordability. Overall, the responses suggest a reasonable level of acceptance that income generation plays an important role in supporting the Council’s financial position.</w:t>
      </w:r>
    </w:p>
    <w:tbl>
      <w:tblPr>
        <w:tblpPr w:leftFromText="180" w:rightFromText="180" w:vertAnchor="text" w:horzAnchor="page" w:tblpX="2169" w:tblpY="400"/>
        <w:tblW w:w="4558" w:type="pct"/>
        <w:tblCellSpacing w:w="0" w:type="dxa"/>
        <w:tblBorders>
          <w:left w:val="single" w:sz="6" w:space="0" w:color="CCCCCC"/>
          <w:bottom w:val="single" w:sz="6" w:space="0" w:color="CCCCCC"/>
        </w:tblBorders>
        <w:tblCellMar>
          <w:left w:w="0" w:type="dxa"/>
          <w:right w:w="0" w:type="dxa"/>
        </w:tblCellMar>
        <w:tblLook w:val="04A0" w:firstRow="1" w:lastRow="0" w:firstColumn="1" w:lastColumn="0" w:noHBand="0" w:noVBand="1"/>
      </w:tblPr>
      <w:tblGrid>
        <w:gridCol w:w="843"/>
        <w:gridCol w:w="1984"/>
        <w:gridCol w:w="2552"/>
        <w:gridCol w:w="1276"/>
        <w:gridCol w:w="1559"/>
      </w:tblGrid>
      <w:tr w:rsidR="00DC2420" w:rsidRPr="00AF7D64" w14:paraId="2C8EF329" w14:textId="77777777" w:rsidTr="00DC2420">
        <w:trPr>
          <w:trHeight w:val="360"/>
          <w:tblCellSpacing w:w="0" w:type="dxa"/>
        </w:trPr>
        <w:tc>
          <w:tcPr>
            <w:tcW w:w="5379" w:type="dxa"/>
            <w:gridSpan w:val="3"/>
            <w:tcBorders>
              <w:top w:val="single" w:sz="6" w:space="0" w:color="CCCCCC"/>
              <w:right w:val="single" w:sz="6" w:space="0" w:color="CCCCCC"/>
            </w:tcBorders>
            <w:shd w:val="clear" w:color="auto" w:fill="F9F8F0"/>
            <w:tcMar>
              <w:top w:w="45" w:type="dxa"/>
              <w:left w:w="105" w:type="dxa"/>
              <w:bottom w:w="45" w:type="dxa"/>
              <w:right w:w="45" w:type="dxa"/>
            </w:tcMar>
            <w:vAlign w:val="center"/>
            <w:hideMark/>
          </w:tcPr>
          <w:p w14:paraId="77AC722C" w14:textId="77777777" w:rsidR="00DC2420" w:rsidRPr="00AF7D64" w:rsidRDefault="00DC2420" w:rsidP="00DC2420">
            <w:pPr>
              <w:rPr>
                <w:rFonts w:ascii="Arial" w:hAnsi="Arial" w:cs="Arial"/>
                <w:b/>
                <w:bCs/>
                <w:sz w:val="18"/>
                <w:szCs w:val="18"/>
              </w:rPr>
            </w:pPr>
            <w:r w:rsidRPr="00AF7D64">
              <w:rPr>
                <w:rFonts w:ascii="Arial" w:hAnsi="Arial" w:cs="Arial"/>
                <w:b/>
                <w:bCs/>
                <w:sz w:val="18"/>
                <w:szCs w:val="18"/>
              </w:rPr>
              <w:t>Answer Choices</w:t>
            </w:r>
          </w:p>
        </w:tc>
        <w:tc>
          <w:tcPr>
            <w:tcW w:w="1276" w:type="dxa"/>
            <w:tcBorders>
              <w:top w:val="single" w:sz="6" w:space="0" w:color="CCCCCC"/>
              <w:right w:val="single" w:sz="6" w:space="0" w:color="CCCCCC"/>
            </w:tcBorders>
            <w:shd w:val="clear" w:color="auto" w:fill="F9F8F0"/>
            <w:tcMar>
              <w:top w:w="45" w:type="dxa"/>
              <w:left w:w="45" w:type="dxa"/>
              <w:bottom w:w="45" w:type="dxa"/>
              <w:right w:w="45" w:type="dxa"/>
            </w:tcMar>
            <w:vAlign w:val="center"/>
            <w:hideMark/>
          </w:tcPr>
          <w:p w14:paraId="2DA4FC1E" w14:textId="77777777" w:rsidR="00DC2420" w:rsidRPr="00AF7D64" w:rsidRDefault="00DC2420" w:rsidP="00DC2420">
            <w:pPr>
              <w:jc w:val="center"/>
              <w:rPr>
                <w:rFonts w:ascii="Arial" w:hAnsi="Arial" w:cs="Arial"/>
                <w:b/>
                <w:bCs/>
                <w:sz w:val="18"/>
                <w:szCs w:val="18"/>
              </w:rPr>
            </w:pPr>
            <w:r w:rsidRPr="00AF7D64">
              <w:rPr>
                <w:rFonts w:ascii="Arial" w:hAnsi="Arial" w:cs="Arial"/>
                <w:b/>
                <w:bCs/>
                <w:sz w:val="18"/>
                <w:szCs w:val="18"/>
              </w:rPr>
              <w:t>Response Percent</w:t>
            </w:r>
          </w:p>
        </w:tc>
        <w:tc>
          <w:tcPr>
            <w:tcW w:w="1559" w:type="dxa"/>
            <w:tcBorders>
              <w:top w:val="single" w:sz="6" w:space="0" w:color="CCCCCC"/>
              <w:right w:val="single" w:sz="6" w:space="0" w:color="CCCCCC"/>
            </w:tcBorders>
            <w:shd w:val="clear" w:color="auto" w:fill="F9F8F0"/>
            <w:tcMar>
              <w:top w:w="45" w:type="dxa"/>
              <w:left w:w="45" w:type="dxa"/>
              <w:bottom w:w="45" w:type="dxa"/>
              <w:right w:w="45" w:type="dxa"/>
            </w:tcMar>
            <w:vAlign w:val="center"/>
            <w:hideMark/>
          </w:tcPr>
          <w:p w14:paraId="2D68E7BC" w14:textId="77777777" w:rsidR="00DC2420" w:rsidRPr="00AF7D64" w:rsidRDefault="00DC2420" w:rsidP="00DC2420">
            <w:pPr>
              <w:jc w:val="center"/>
              <w:rPr>
                <w:rFonts w:ascii="Arial" w:hAnsi="Arial" w:cs="Arial"/>
                <w:b/>
                <w:bCs/>
                <w:sz w:val="18"/>
                <w:szCs w:val="18"/>
              </w:rPr>
            </w:pPr>
            <w:r w:rsidRPr="00AF7D64">
              <w:rPr>
                <w:rFonts w:ascii="Arial" w:hAnsi="Arial" w:cs="Arial"/>
                <w:b/>
                <w:bCs/>
                <w:sz w:val="18"/>
                <w:szCs w:val="18"/>
              </w:rPr>
              <w:t>Response Total</w:t>
            </w:r>
          </w:p>
        </w:tc>
      </w:tr>
      <w:tr w:rsidR="00DC2420" w:rsidRPr="00AF7D64" w14:paraId="263F7643" w14:textId="77777777" w:rsidTr="00DC2420">
        <w:trPr>
          <w:tblCellSpacing w:w="0" w:type="dxa"/>
        </w:trPr>
        <w:tc>
          <w:tcPr>
            <w:tcW w:w="843"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14:paraId="031339E6" w14:textId="77777777" w:rsidR="00DC2420" w:rsidRPr="00AF7D64" w:rsidRDefault="00DC2420" w:rsidP="00DC2420">
            <w:pPr>
              <w:jc w:val="center"/>
              <w:rPr>
                <w:rFonts w:ascii="Arial" w:hAnsi="Arial" w:cs="Arial"/>
                <w:sz w:val="18"/>
                <w:szCs w:val="18"/>
              </w:rPr>
            </w:pPr>
            <w:r w:rsidRPr="00AF7D64">
              <w:rPr>
                <w:rFonts w:ascii="Arial" w:hAnsi="Arial" w:cs="Arial"/>
                <w:sz w:val="18"/>
                <w:szCs w:val="18"/>
              </w:rPr>
              <w:t>1</w:t>
            </w:r>
          </w:p>
        </w:tc>
        <w:tc>
          <w:tcPr>
            <w:tcW w:w="1984"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13A0E368" w14:textId="77777777" w:rsidR="00DC2420" w:rsidRPr="00AF7D64" w:rsidRDefault="00DC2420" w:rsidP="00DC2420">
            <w:pPr>
              <w:rPr>
                <w:rFonts w:ascii="Arial" w:hAnsi="Arial" w:cs="Arial"/>
                <w:sz w:val="18"/>
                <w:szCs w:val="18"/>
              </w:rPr>
            </w:pPr>
            <w:r w:rsidRPr="00AF7D64">
              <w:rPr>
                <w:rFonts w:ascii="Arial" w:hAnsi="Arial" w:cs="Arial"/>
                <w:sz w:val="18"/>
                <w:szCs w:val="18"/>
              </w:rPr>
              <w:t>Strongly Agree</w:t>
            </w:r>
          </w:p>
        </w:tc>
        <w:tc>
          <w:tcPr>
            <w:tcW w:w="2552"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838" w:type="pct"/>
              <w:tblCellMar>
                <w:left w:w="0" w:type="dxa"/>
                <w:right w:w="0" w:type="dxa"/>
              </w:tblCellMar>
              <w:tblLook w:val="04A0" w:firstRow="1" w:lastRow="0" w:firstColumn="1" w:lastColumn="0" w:noHBand="0" w:noVBand="1"/>
            </w:tblPr>
            <w:tblGrid>
              <w:gridCol w:w="404"/>
            </w:tblGrid>
            <w:tr w:rsidR="00DC2420" w:rsidRPr="00AF7D64" w14:paraId="34E30F3D" w14:textId="77777777" w:rsidTr="00AF1EE5">
              <w:tc>
                <w:tcPr>
                  <w:tcW w:w="0" w:type="auto"/>
                  <w:tcBorders>
                    <w:top w:val="single" w:sz="6" w:space="0" w:color="CCCCCC"/>
                    <w:right w:val="single" w:sz="6" w:space="0" w:color="CCCCCC"/>
                  </w:tcBorders>
                  <w:shd w:val="clear" w:color="auto" w:fill="FF3333"/>
                  <w:vAlign w:val="center"/>
                  <w:hideMark/>
                </w:tcPr>
                <w:p w14:paraId="1E40BEC3" w14:textId="77777777" w:rsidR="00DC2420" w:rsidRPr="00AF7D64" w:rsidRDefault="00DC2420" w:rsidP="00A3772D">
                  <w:pPr>
                    <w:framePr w:hSpace="180" w:wrap="around" w:vAnchor="text" w:hAnchor="page" w:x="2169" w:y="400"/>
                    <w:spacing w:line="15" w:lineRule="atLeast"/>
                    <w:rPr>
                      <w:rFonts w:ascii="Arial" w:hAnsi="Arial" w:cs="Arial"/>
                      <w:sz w:val="18"/>
                      <w:szCs w:val="18"/>
                    </w:rPr>
                  </w:pPr>
                  <w:r w:rsidRPr="00AF7D64">
                    <w:rPr>
                      <w:rFonts w:ascii="Arial" w:hAnsi="Arial" w:cs="Arial"/>
                      <w:sz w:val="18"/>
                      <w:szCs w:val="18"/>
                    </w:rPr>
                    <w:t> </w:t>
                  </w:r>
                </w:p>
              </w:tc>
            </w:tr>
          </w:tbl>
          <w:p w14:paraId="05CC6D2F" w14:textId="77777777" w:rsidR="00DC2420" w:rsidRPr="00AF7D64" w:rsidRDefault="00DC2420" w:rsidP="00DC2420">
            <w:pPr>
              <w:rPr>
                <w:rFonts w:ascii="Arial" w:hAnsi="Arial" w:cs="Arial"/>
                <w:sz w:val="18"/>
                <w:szCs w:val="18"/>
              </w:rPr>
            </w:pPr>
          </w:p>
        </w:tc>
        <w:tc>
          <w:tcPr>
            <w:tcW w:w="1276"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14:paraId="0E854545" w14:textId="77777777" w:rsidR="00DC2420" w:rsidRPr="00AF7D64" w:rsidRDefault="00DC2420" w:rsidP="00DC2420">
            <w:pPr>
              <w:jc w:val="center"/>
              <w:rPr>
                <w:rFonts w:ascii="Arial" w:hAnsi="Arial" w:cs="Arial"/>
                <w:sz w:val="18"/>
                <w:szCs w:val="18"/>
              </w:rPr>
            </w:pPr>
            <w:r w:rsidRPr="00AF7D64">
              <w:rPr>
                <w:rFonts w:ascii="Arial" w:hAnsi="Arial" w:cs="Arial"/>
                <w:sz w:val="18"/>
                <w:szCs w:val="18"/>
              </w:rPr>
              <w:t>16.77%</w:t>
            </w:r>
          </w:p>
        </w:tc>
        <w:tc>
          <w:tcPr>
            <w:tcW w:w="1559"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14:paraId="29BF2D74" w14:textId="77777777" w:rsidR="00DC2420" w:rsidRPr="00AF7D64" w:rsidRDefault="00DC2420" w:rsidP="00DC2420">
            <w:pPr>
              <w:jc w:val="center"/>
              <w:rPr>
                <w:rFonts w:ascii="Arial" w:hAnsi="Arial" w:cs="Arial"/>
                <w:sz w:val="18"/>
                <w:szCs w:val="18"/>
              </w:rPr>
            </w:pPr>
            <w:r w:rsidRPr="00AF7D64">
              <w:rPr>
                <w:rFonts w:ascii="Arial" w:hAnsi="Arial" w:cs="Arial"/>
                <w:sz w:val="18"/>
                <w:szCs w:val="18"/>
              </w:rPr>
              <w:t>26</w:t>
            </w:r>
          </w:p>
        </w:tc>
      </w:tr>
      <w:tr w:rsidR="00DC2420" w:rsidRPr="00AF7D64" w14:paraId="03E5C1D7" w14:textId="77777777" w:rsidTr="00DC2420">
        <w:trPr>
          <w:tblCellSpacing w:w="0" w:type="dxa"/>
        </w:trPr>
        <w:tc>
          <w:tcPr>
            <w:tcW w:w="843"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14:paraId="6BA8A7E0" w14:textId="77777777" w:rsidR="00DC2420" w:rsidRPr="00AF7D64" w:rsidRDefault="00DC2420" w:rsidP="00DC2420">
            <w:pPr>
              <w:jc w:val="center"/>
              <w:rPr>
                <w:rFonts w:ascii="Arial" w:hAnsi="Arial" w:cs="Arial"/>
                <w:sz w:val="18"/>
                <w:szCs w:val="18"/>
              </w:rPr>
            </w:pPr>
            <w:r w:rsidRPr="00AF7D64">
              <w:rPr>
                <w:rFonts w:ascii="Arial" w:hAnsi="Arial" w:cs="Arial"/>
                <w:sz w:val="18"/>
                <w:szCs w:val="18"/>
              </w:rPr>
              <w:t>2</w:t>
            </w:r>
          </w:p>
        </w:tc>
        <w:tc>
          <w:tcPr>
            <w:tcW w:w="1984"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403D3DC7" w14:textId="77777777" w:rsidR="00DC2420" w:rsidRPr="00AF7D64" w:rsidRDefault="00DC2420" w:rsidP="00DC2420">
            <w:pPr>
              <w:rPr>
                <w:rFonts w:ascii="Arial" w:hAnsi="Arial" w:cs="Arial"/>
                <w:sz w:val="18"/>
                <w:szCs w:val="18"/>
              </w:rPr>
            </w:pPr>
            <w:r w:rsidRPr="00AF7D64">
              <w:rPr>
                <w:rFonts w:ascii="Arial" w:hAnsi="Arial" w:cs="Arial"/>
                <w:sz w:val="18"/>
                <w:szCs w:val="18"/>
              </w:rPr>
              <w:t>Agree</w:t>
            </w:r>
          </w:p>
        </w:tc>
        <w:tc>
          <w:tcPr>
            <w:tcW w:w="2552"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1677" w:type="pct"/>
              <w:tblCellMar>
                <w:left w:w="0" w:type="dxa"/>
                <w:right w:w="0" w:type="dxa"/>
              </w:tblCellMar>
              <w:tblLook w:val="04A0" w:firstRow="1" w:lastRow="0" w:firstColumn="1" w:lastColumn="0" w:noHBand="0" w:noVBand="1"/>
            </w:tblPr>
            <w:tblGrid>
              <w:gridCol w:w="808"/>
            </w:tblGrid>
            <w:tr w:rsidR="00DC2420" w:rsidRPr="00AF7D64" w14:paraId="7677DF32" w14:textId="77777777" w:rsidTr="00AF1EE5">
              <w:tc>
                <w:tcPr>
                  <w:tcW w:w="0" w:type="auto"/>
                  <w:tcBorders>
                    <w:top w:val="single" w:sz="6" w:space="0" w:color="CCCCCC"/>
                    <w:right w:val="single" w:sz="6" w:space="0" w:color="CCCCCC"/>
                  </w:tcBorders>
                  <w:shd w:val="clear" w:color="auto" w:fill="FFFF00"/>
                  <w:vAlign w:val="center"/>
                  <w:hideMark/>
                </w:tcPr>
                <w:p w14:paraId="0877C972" w14:textId="77777777" w:rsidR="00DC2420" w:rsidRPr="00AF7D64" w:rsidRDefault="00DC2420" w:rsidP="00A3772D">
                  <w:pPr>
                    <w:framePr w:hSpace="180" w:wrap="around" w:vAnchor="text" w:hAnchor="page" w:x="2169" w:y="400"/>
                    <w:spacing w:line="15" w:lineRule="atLeast"/>
                    <w:rPr>
                      <w:rFonts w:ascii="Arial" w:hAnsi="Arial" w:cs="Arial"/>
                      <w:sz w:val="18"/>
                      <w:szCs w:val="18"/>
                    </w:rPr>
                  </w:pPr>
                  <w:r w:rsidRPr="00AF7D64">
                    <w:rPr>
                      <w:rFonts w:ascii="Arial" w:hAnsi="Arial" w:cs="Arial"/>
                      <w:sz w:val="18"/>
                      <w:szCs w:val="18"/>
                    </w:rPr>
                    <w:t> </w:t>
                  </w:r>
                </w:p>
              </w:tc>
            </w:tr>
          </w:tbl>
          <w:p w14:paraId="6FBA77A0" w14:textId="77777777" w:rsidR="00DC2420" w:rsidRPr="00AF7D64" w:rsidRDefault="00DC2420" w:rsidP="00DC2420">
            <w:pPr>
              <w:rPr>
                <w:rFonts w:ascii="Arial" w:hAnsi="Arial" w:cs="Arial"/>
                <w:sz w:val="18"/>
                <w:szCs w:val="18"/>
              </w:rPr>
            </w:pPr>
          </w:p>
        </w:tc>
        <w:tc>
          <w:tcPr>
            <w:tcW w:w="1276"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14:paraId="5F8C15B5" w14:textId="77777777" w:rsidR="00DC2420" w:rsidRPr="00AF7D64" w:rsidRDefault="00DC2420" w:rsidP="00DC2420">
            <w:pPr>
              <w:jc w:val="center"/>
              <w:rPr>
                <w:rFonts w:ascii="Arial" w:hAnsi="Arial" w:cs="Arial"/>
                <w:sz w:val="18"/>
                <w:szCs w:val="18"/>
              </w:rPr>
            </w:pPr>
            <w:r w:rsidRPr="00AF7D64">
              <w:rPr>
                <w:rFonts w:ascii="Arial" w:hAnsi="Arial" w:cs="Arial"/>
                <w:sz w:val="18"/>
                <w:szCs w:val="18"/>
              </w:rPr>
              <w:t>33.55%</w:t>
            </w:r>
          </w:p>
        </w:tc>
        <w:tc>
          <w:tcPr>
            <w:tcW w:w="1559"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14:paraId="1C299FD7" w14:textId="77777777" w:rsidR="00DC2420" w:rsidRPr="00AF7D64" w:rsidRDefault="00DC2420" w:rsidP="00DC2420">
            <w:pPr>
              <w:jc w:val="center"/>
              <w:rPr>
                <w:rFonts w:ascii="Arial" w:hAnsi="Arial" w:cs="Arial"/>
                <w:sz w:val="18"/>
                <w:szCs w:val="18"/>
              </w:rPr>
            </w:pPr>
            <w:r w:rsidRPr="00AF7D64">
              <w:rPr>
                <w:rFonts w:ascii="Arial" w:hAnsi="Arial" w:cs="Arial"/>
                <w:sz w:val="18"/>
                <w:szCs w:val="18"/>
              </w:rPr>
              <w:t>52</w:t>
            </w:r>
          </w:p>
        </w:tc>
      </w:tr>
      <w:tr w:rsidR="00DC2420" w:rsidRPr="00AF7D64" w14:paraId="4D216410" w14:textId="77777777" w:rsidTr="00DC2420">
        <w:trPr>
          <w:tblCellSpacing w:w="0" w:type="dxa"/>
        </w:trPr>
        <w:tc>
          <w:tcPr>
            <w:tcW w:w="843"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14:paraId="204A1A91" w14:textId="77777777" w:rsidR="00DC2420" w:rsidRPr="00AF7D64" w:rsidRDefault="00DC2420" w:rsidP="00DC2420">
            <w:pPr>
              <w:jc w:val="center"/>
              <w:rPr>
                <w:rFonts w:ascii="Arial" w:hAnsi="Arial" w:cs="Arial"/>
                <w:sz w:val="18"/>
                <w:szCs w:val="18"/>
              </w:rPr>
            </w:pPr>
            <w:r w:rsidRPr="00AF7D64">
              <w:rPr>
                <w:rFonts w:ascii="Arial" w:hAnsi="Arial" w:cs="Arial"/>
                <w:sz w:val="18"/>
                <w:szCs w:val="18"/>
              </w:rPr>
              <w:t>3</w:t>
            </w:r>
          </w:p>
        </w:tc>
        <w:tc>
          <w:tcPr>
            <w:tcW w:w="1984"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55E9EEC3" w14:textId="77777777" w:rsidR="00DC2420" w:rsidRPr="00AF7D64" w:rsidRDefault="00DC2420" w:rsidP="00DC2420">
            <w:pPr>
              <w:rPr>
                <w:rFonts w:ascii="Arial" w:hAnsi="Arial" w:cs="Arial"/>
                <w:sz w:val="18"/>
                <w:szCs w:val="18"/>
              </w:rPr>
            </w:pPr>
            <w:r w:rsidRPr="00AF7D64">
              <w:rPr>
                <w:rFonts w:ascii="Arial" w:hAnsi="Arial" w:cs="Arial"/>
                <w:sz w:val="18"/>
                <w:szCs w:val="18"/>
              </w:rPr>
              <w:t>No preference</w:t>
            </w:r>
          </w:p>
        </w:tc>
        <w:tc>
          <w:tcPr>
            <w:tcW w:w="2552"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838" w:type="pct"/>
              <w:tblCellMar>
                <w:left w:w="0" w:type="dxa"/>
                <w:right w:w="0" w:type="dxa"/>
              </w:tblCellMar>
              <w:tblLook w:val="04A0" w:firstRow="1" w:lastRow="0" w:firstColumn="1" w:lastColumn="0" w:noHBand="0" w:noVBand="1"/>
            </w:tblPr>
            <w:tblGrid>
              <w:gridCol w:w="404"/>
            </w:tblGrid>
            <w:tr w:rsidR="00DC2420" w:rsidRPr="00AF7D64" w14:paraId="74ADFF2C" w14:textId="77777777" w:rsidTr="00AF1EE5">
              <w:tc>
                <w:tcPr>
                  <w:tcW w:w="0" w:type="auto"/>
                  <w:tcBorders>
                    <w:top w:val="single" w:sz="6" w:space="0" w:color="CCCCCC"/>
                    <w:right w:val="single" w:sz="6" w:space="0" w:color="CCCCCC"/>
                  </w:tcBorders>
                  <w:shd w:val="clear" w:color="auto" w:fill="3399CC"/>
                  <w:vAlign w:val="center"/>
                  <w:hideMark/>
                </w:tcPr>
                <w:p w14:paraId="0A7990A0" w14:textId="77777777" w:rsidR="00DC2420" w:rsidRPr="00AF7D64" w:rsidRDefault="00DC2420" w:rsidP="00A3772D">
                  <w:pPr>
                    <w:framePr w:hSpace="180" w:wrap="around" w:vAnchor="text" w:hAnchor="page" w:x="2169" w:y="400"/>
                    <w:spacing w:line="15" w:lineRule="atLeast"/>
                    <w:rPr>
                      <w:rFonts w:ascii="Arial" w:hAnsi="Arial" w:cs="Arial"/>
                      <w:sz w:val="18"/>
                      <w:szCs w:val="18"/>
                    </w:rPr>
                  </w:pPr>
                  <w:r w:rsidRPr="00AF7D64">
                    <w:rPr>
                      <w:rFonts w:ascii="Arial" w:hAnsi="Arial" w:cs="Arial"/>
                      <w:sz w:val="18"/>
                      <w:szCs w:val="18"/>
                    </w:rPr>
                    <w:t> </w:t>
                  </w:r>
                </w:p>
              </w:tc>
            </w:tr>
          </w:tbl>
          <w:p w14:paraId="52232BE7" w14:textId="77777777" w:rsidR="00DC2420" w:rsidRPr="00AF7D64" w:rsidRDefault="00DC2420" w:rsidP="00DC2420">
            <w:pPr>
              <w:rPr>
                <w:rFonts w:ascii="Arial" w:hAnsi="Arial" w:cs="Arial"/>
                <w:sz w:val="18"/>
                <w:szCs w:val="18"/>
              </w:rPr>
            </w:pPr>
          </w:p>
        </w:tc>
        <w:tc>
          <w:tcPr>
            <w:tcW w:w="1276"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14:paraId="2A580C92" w14:textId="77777777" w:rsidR="00DC2420" w:rsidRPr="00AF7D64" w:rsidRDefault="00DC2420" w:rsidP="00DC2420">
            <w:pPr>
              <w:jc w:val="center"/>
              <w:rPr>
                <w:rFonts w:ascii="Arial" w:hAnsi="Arial" w:cs="Arial"/>
                <w:sz w:val="18"/>
                <w:szCs w:val="18"/>
              </w:rPr>
            </w:pPr>
            <w:r w:rsidRPr="00AF7D64">
              <w:rPr>
                <w:rFonts w:ascii="Arial" w:hAnsi="Arial" w:cs="Arial"/>
                <w:sz w:val="18"/>
                <w:szCs w:val="18"/>
              </w:rPr>
              <w:t>16.77%</w:t>
            </w:r>
          </w:p>
        </w:tc>
        <w:tc>
          <w:tcPr>
            <w:tcW w:w="1559"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14:paraId="0EE6F3BD" w14:textId="77777777" w:rsidR="00DC2420" w:rsidRPr="00AF7D64" w:rsidRDefault="00DC2420" w:rsidP="00DC2420">
            <w:pPr>
              <w:jc w:val="center"/>
              <w:rPr>
                <w:rFonts w:ascii="Arial" w:hAnsi="Arial" w:cs="Arial"/>
                <w:sz w:val="18"/>
                <w:szCs w:val="18"/>
              </w:rPr>
            </w:pPr>
            <w:r w:rsidRPr="00AF7D64">
              <w:rPr>
                <w:rFonts w:ascii="Arial" w:hAnsi="Arial" w:cs="Arial"/>
                <w:sz w:val="18"/>
                <w:szCs w:val="18"/>
              </w:rPr>
              <w:t>26</w:t>
            </w:r>
          </w:p>
        </w:tc>
      </w:tr>
      <w:tr w:rsidR="00DC2420" w:rsidRPr="00AF7D64" w14:paraId="36477D93" w14:textId="77777777" w:rsidTr="00DC2420">
        <w:trPr>
          <w:tblCellSpacing w:w="0" w:type="dxa"/>
        </w:trPr>
        <w:tc>
          <w:tcPr>
            <w:tcW w:w="843"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14:paraId="1508A1D1" w14:textId="77777777" w:rsidR="00DC2420" w:rsidRPr="00AF7D64" w:rsidRDefault="00DC2420" w:rsidP="00DC2420">
            <w:pPr>
              <w:jc w:val="center"/>
              <w:rPr>
                <w:rFonts w:ascii="Arial" w:hAnsi="Arial" w:cs="Arial"/>
                <w:sz w:val="18"/>
                <w:szCs w:val="18"/>
              </w:rPr>
            </w:pPr>
            <w:r w:rsidRPr="00AF7D64">
              <w:rPr>
                <w:rFonts w:ascii="Arial" w:hAnsi="Arial" w:cs="Arial"/>
                <w:sz w:val="18"/>
                <w:szCs w:val="18"/>
              </w:rPr>
              <w:t>4</w:t>
            </w:r>
          </w:p>
        </w:tc>
        <w:tc>
          <w:tcPr>
            <w:tcW w:w="1984"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073486E7" w14:textId="77777777" w:rsidR="00DC2420" w:rsidRPr="00AF7D64" w:rsidRDefault="00DC2420" w:rsidP="00DC2420">
            <w:pPr>
              <w:rPr>
                <w:rFonts w:ascii="Arial" w:hAnsi="Arial" w:cs="Arial"/>
                <w:sz w:val="18"/>
                <w:szCs w:val="18"/>
              </w:rPr>
            </w:pPr>
            <w:r w:rsidRPr="00AF7D64">
              <w:rPr>
                <w:rFonts w:ascii="Arial" w:hAnsi="Arial" w:cs="Arial"/>
                <w:sz w:val="18"/>
                <w:szCs w:val="18"/>
              </w:rPr>
              <w:t>Disagree</w:t>
            </w:r>
          </w:p>
        </w:tc>
        <w:tc>
          <w:tcPr>
            <w:tcW w:w="2552"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742" w:type="pct"/>
              <w:tblCellMar>
                <w:left w:w="0" w:type="dxa"/>
                <w:right w:w="0" w:type="dxa"/>
              </w:tblCellMar>
              <w:tblLook w:val="04A0" w:firstRow="1" w:lastRow="0" w:firstColumn="1" w:lastColumn="0" w:noHBand="0" w:noVBand="1"/>
            </w:tblPr>
            <w:tblGrid>
              <w:gridCol w:w="357"/>
            </w:tblGrid>
            <w:tr w:rsidR="00DC2420" w:rsidRPr="00AF7D64" w14:paraId="68AECC2F" w14:textId="77777777" w:rsidTr="00AF1EE5">
              <w:tc>
                <w:tcPr>
                  <w:tcW w:w="0" w:type="auto"/>
                  <w:tcBorders>
                    <w:top w:val="single" w:sz="6" w:space="0" w:color="CCCCCC"/>
                    <w:right w:val="single" w:sz="6" w:space="0" w:color="CCCCCC"/>
                  </w:tcBorders>
                  <w:shd w:val="clear" w:color="auto" w:fill="31B62B"/>
                  <w:vAlign w:val="center"/>
                  <w:hideMark/>
                </w:tcPr>
                <w:p w14:paraId="0527F356" w14:textId="77777777" w:rsidR="00DC2420" w:rsidRPr="00AF7D64" w:rsidRDefault="00DC2420" w:rsidP="00A3772D">
                  <w:pPr>
                    <w:framePr w:hSpace="180" w:wrap="around" w:vAnchor="text" w:hAnchor="page" w:x="2169" w:y="400"/>
                    <w:spacing w:line="15" w:lineRule="atLeast"/>
                    <w:rPr>
                      <w:rFonts w:ascii="Arial" w:hAnsi="Arial" w:cs="Arial"/>
                      <w:sz w:val="18"/>
                      <w:szCs w:val="18"/>
                    </w:rPr>
                  </w:pPr>
                  <w:r w:rsidRPr="00AF7D64">
                    <w:rPr>
                      <w:rFonts w:ascii="Arial" w:hAnsi="Arial" w:cs="Arial"/>
                      <w:sz w:val="18"/>
                      <w:szCs w:val="18"/>
                    </w:rPr>
                    <w:t> </w:t>
                  </w:r>
                </w:p>
              </w:tc>
            </w:tr>
          </w:tbl>
          <w:p w14:paraId="14DC0BC8" w14:textId="77777777" w:rsidR="00DC2420" w:rsidRPr="00AF7D64" w:rsidRDefault="00DC2420" w:rsidP="00DC2420">
            <w:pPr>
              <w:rPr>
                <w:rFonts w:ascii="Arial" w:hAnsi="Arial" w:cs="Arial"/>
                <w:sz w:val="18"/>
                <w:szCs w:val="18"/>
              </w:rPr>
            </w:pPr>
          </w:p>
        </w:tc>
        <w:tc>
          <w:tcPr>
            <w:tcW w:w="1276"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14:paraId="58BCAFED" w14:textId="77777777" w:rsidR="00DC2420" w:rsidRPr="00AF7D64" w:rsidRDefault="00DC2420" w:rsidP="00DC2420">
            <w:pPr>
              <w:jc w:val="center"/>
              <w:rPr>
                <w:rFonts w:ascii="Arial" w:hAnsi="Arial" w:cs="Arial"/>
                <w:sz w:val="18"/>
                <w:szCs w:val="18"/>
              </w:rPr>
            </w:pPr>
            <w:r w:rsidRPr="00AF7D64">
              <w:rPr>
                <w:rFonts w:ascii="Arial" w:hAnsi="Arial" w:cs="Arial"/>
                <w:sz w:val="18"/>
                <w:szCs w:val="18"/>
              </w:rPr>
              <w:t>14.84%</w:t>
            </w:r>
          </w:p>
        </w:tc>
        <w:tc>
          <w:tcPr>
            <w:tcW w:w="1559"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14:paraId="59B600BF" w14:textId="77777777" w:rsidR="00DC2420" w:rsidRPr="00AF7D64" w:rsidRDefault="00DC2420" w:rsidP="00DC2420">
            <w:pPr>
              <w:jc w:val="center"/>
              <w:rPr>
                <w:rFonts w:ascii="Arial" w:hAnsi="Arial" w:cs="Arial"/>
                <w:sz w:val="18"/>
                <w:szCs w:val="18"/>
              </w:rPr>
            </w:pPr>
            <w:r w:rsidRPr="00AF7D64">
              <w:rPr>
                <w:rFonts w:ascii="Arial" w:hAnsi="Arial" w:cs="Arial"/>
                <w:sz w:val="18"/>
                <w:szCs w:val="18"/>
              </w:rPr>
              <w:t>23</w:t>
            </w:r>
          </w:p>
        </w:tc>
      </w:tr>
      <w:tr w:rsidR="00DC2420" w:rsidRPr="00AF7D64" w14:paraId="57E34515" w14:textId="77777777" w:rsidTr="00DC2420">
        <w:trPr>
          <w:tblCellSpacing w:w="0" w:type="dxa"/>
        </w:trPr>
        <w:tc>
          <w:tcPr>
            <w:tcW w:w="843"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14:paraId="6FA9303D" w14:textId="77777777" w:rsidR="00DC2420" w:rsidRPr="00AF7D64" w:rsidRDefault="00DC2420" w:rsidP="00DC2420">
            <w:pPr>
              <w:jc w:val="center"/>
              <w:rPr>
                <w:rFonts w:ascii="Arial" w:hAnsi="Arial" w:cs="Arial"/>
                <w:sz w:val="18"/>
                <w:szCs w:val="18"/>
              </w:rPr>
            </w:pPr>
            <w:r w:rsidRPr="00AF7D64">
              <w:rPr>
                <w:rFonts w:ascii="Arial" w:hAnsi="Arial" w:cs="Arial"/>
                <w:sz w:val="18"/>
                <w:szCs w:val="18"/>
              </w:rPr>
              <w:t>5</w:t>
            </w:r>
          </w:p>
        </w:tc>
        <w:tc>
          <w:tcPr>
            <w:tcW w:w="1984" w:type="dxa"/>
            <w:tcBorders>
              <w:top w:val="single" w:sz="6" w:space="0" w:color="CCCCCC"/>
              <w:right w:val="single" w:sz="6" w:space="0" w:color="CCCCCC"/>
            </w:tcBorders>
            <w:shd w:val="clear" w:color="auto" w:fill="FFFFFF"/>
            <w:tcMar>
              <w:top w:w="60" w:type="dxa"/>
              <w:left w:w="105" w:type="dxa"/>
              <w:bottom w:w="60" w:type="dxa"/>
              <w:right w:w="60" w:type="dxa"/>
            </w:tcMar>
            <w:vAlign w:val="center"/>
            <w:hideMark/>
          </w:tcPr>
          <w:p w14:paraId="48AC8B12" w14:textId="77777777" w:rsidR="00DC2420" w:rsidRPr="00AF7D64" w:rsidRDefault="00DC2420" w:rsidP="00DC2420">
            <w:pPr>
              <w:rPr>
                <w:rFonts w:ascii="Arial" w:hAnsi="Arial" w:cs="Arial"/>
                <w:sz w:val="18"/>
                <w:szCs w:val="18"/>
              </w:rPr>
            </w:pPr>
            <w:r w:rsidRPr="00AF7D64">
              <w:rPr>
                <w:rFonts w:ascii="Arial" w:hAnsi="Arial" w:cs="Arial"/>
                <w:sz w:val="18"/>
                <w:szCs w:val="18"/>
              </w:rPr>
              <w:t>Strongly Disagree</w:t>
            </w:r>
          </w:p>
        </w:tc>
        <w:tc>
          <w:tcPr>
            <w:tcW w:w="2552" w:type="dxa"/>
            <w:tcBorders>
              <w:top w:val="single" w:sz="6" w:space="0" w:color="CCCCCC"/>
              <w:right w:val="single" w:sz="6" w:space="0" w:color="CCCCCC"/>
            </w:tcBorders>
            <w:shd w:val="clear" w:color="auto" w:fill="FFFFFF"/>
            <w:tcMar>
              <w:top w:w="60" w:type="dxa"/>
              <w:left w:w="60" w:type="dxa"/>
              <w:bottom w:w="60" w:type="dxa"/>
              <w:right w:w="60" w:type="dxa"/>
            </w:tcMar>
            <w:vAlign w:val="center"/>
            <w:hideMark/>
          </w:tcPr>
          <w:tbl>
            <w:tblPr>
              <w:tblW w:w="903" w:type="pct"/>
              <w:tblCellMar>
                <w:left w:w="0" w:type="dxa"/>
                <w:right w:w="0" w:type="dxa"/>
              </w:tblCellMar>
              <w:tblLook w:val="04A0" w:firstRow="1" w:lastRow="0" w:firstColumn="1" w:lastColumn="0" w:noHBand="0" w:noVBand="1"/>
            </w:tblPr>
            <w:tblGrid>
              <w:gridCol w:w="435"/>
            </w:tblGrid>
            <w:tr w:rsidR="00DC2420" w:rsidRPr="00AF7D64" w14:paraId="67284852" w14:textId="77777777" w:rsidTr="00AF1EE5">
              <w:tc>
                <w:tcPr>
                  <w:tcW w:w="0" w:type="auto"/>
                  <w:tcBorders>
                    <w:top w:val="single" w:sz="6" w:space="0" w:color="CCCCCC"/>
                    <w:right w:val="single" w:sz="6" w:space="0" w:color="CCCCCC"/>
                  </w:tcBorders>
                  <w:shd w:val="clear" w:color="auto" w:fill="FFA500"/>
                  <w:vAlign w:val="center"/>
                  <w:hideMark/>
                </w:tcPr>
                <w:p w14:paraId="1E601592" w14:textId="77777777" w:rsidR="00DC2420" w:rsidRPr="00AF7D64" w:rsidRDefault="00DC2420" w:rsidP="00A3772D">
                  <w:pPr>
                    <w:framePr w:hSpace="180" w:wrap="around" w:vAnchor="text" w:hAnchor="page" w:x="2169" w:y="400"/>
                    <w:spacing w:line="15" w:lineRule="atLeast"/>
                    <w:rPr>
                      <w:rFonts w:ascii="Arial" w:hAnsi="Arial" w:cs="Arial"/>
                      <w:sz w:val="18"/>
                      <w:szCs w:val="18"/>
                    </w:rPr>
                  </w:pPr>
                  <w:r w:rsidRPr="00AF7D64">
                    <w:rPr>
                      <w:rFonts w:ascii="Arial" w:hAnsi="Arial" w:cs="Arial"/>
                      <w:sz w:val="18"/>
                      <w:szCs w:val="18"/>
                    </w:rPr>
                    <w:t> </w:t>
                  </w:r>
                </w:p>
              </w:tc>
            </w:tr>
          </w:tbl>
          <w:p w14:paraId="0F6B5A2B" w14:textId="77777777" w:rsidR="00DC2420" w:rsidRPr="00AF7D64" w:rsidRDefault="00DC2420" w:rsidP="00DC2420">
            <w:pPr>
              <w:rPr>
                <w:rFonts w:ascii="Arial" w:hAnsi="Arial" w:cs="Arial"/>
                <w:sz w:val="18"/>
                <w:szCs w:val="18"/>
              </w:rPr>
            </w:pPr>
          </w:p>
        </w:tc>
        <w:tc>
          <w:tcPr>
            <w:tcW w:w="1276"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14:paraId="246ED813" w14:textId="77777777" w:rsidR="00DC2420" w:rsidRPr="00AF7D64" w:rsidRDefault="00DC2420" w:rsidP="00DC2420">
            <w:pPr>
              <w:jc w:val="center"/>
              <w:rPr>
                <w:rFonts w:ascii="Arial" w:hAnsi="Arial" w:cs="Arial"/>
                <w:sz w:val="18"/>
                <w:szCs w:val="18"/>
              </w:rPr>
            </w:pPr>
            <w:r w:rsidRPr="00AF7D64">
              <w:rPr>
                <w:rFonts w:ascii="Arial" w:hAnsi="Arial" w:cs="Arial"/>
                <w:sz w:val="18"/>
                <w:szCs w:val="18"/>
              </w:rPr>
              <w:t>18.06%</w:t>
            </w:r>
          </w:p>
        </w:tc>
        <w:tc>
          <w:tcPr>
            <w:tcW w:w="1559" w:type="dxa"/>
            <w:tcBorders>
              <w:top w:val="single" w:sz="6" w:space="0" w:color="CCCCCC"/>
              <w:right w:val="single" w:sz="6" w:space="0" w:color="CCCCCC"/>
            </w:tcBorders>
            <w:shd w:val="clear" w:color="auto" w:fill="F9F8F0"/>
            <w:tcMar>
              <w:top w:w="60" w:type="dxa"/>
              <w:left w:w="60" w:type="dxa"/>
              <w:bottom w:w="60" w:type="dxa"/>
              <w:right w:w="60" w:type="dxa"/>
            </w:tcMar>
            <w:vAlign w:val="center"/>
            <w:hideMark/>
          </w:tcPr>
          <w:p w14:paraId="4B640A12" w14:textId="77777777" w:rsidR="00DC2420" w:rsidRPr="00AF7D64" w:rsidRDefault="00DC2420" w:rsidP="00DC2420">
            <w:pPr>
              <w:jc w:val="center"/>
              <w:rPr>
                <w:rFonts w:ascii="Arial" w:hAnsi="Arial" w:cs="Arial"/>
                <w:sz w:val="18"/>
                <w:szCs w:val="18"/>
              </w:rPr>
            </w:pPr>
            <w:r w:rsidRPr="00AF7D64">
              <w:rPr>
                <w:rFonts w:ascii="Arial" w:hAnsi="Arial" w:cs="Arial"/>
                <w:sz w:val="18"/>
                <w:szCs w:val="18"/>
              </w:rPr>
              <w:t>28</w:t>
            </w:r>
          </w:p>
        </w:tc>
      </w:tr>
      <w:tr w:rsidR="00DC2420" w:rsidRPr="00AF7D64" w14:paraId="35751BB2" w14:textId="77777777" w:rsidTr="00DC2420">
        <w:trPr>
          <w:tblCellSpacing w:w="0" w:type="dxa"/>
        </w:trPr>
        <w:tc>
          <w:tcPr>
            <w:tcW w:w="5379" w:type="dxa"/>
            <w:gridSpan w:val="3"/>
            <w:vMerge w:val="restart"/>
            <w:tcBorders>
              <w:top w:val="single" w:sz="6" w:space="0" w:color="CCCCCC"/>
              <w:left w:val="nil"/>
              <w:bottom w:val="nil"/>
              <w:right w:val="single" w:sz="6" w:space="0" w:color="CCCCCC"/>
            </w:tcBorders>
            <w:shd w:val="clear" w:color="auto" w:fill="DDDDDD"/>
            <w:tcMar>
              <w:top w:w="60" w:type="dxa"/>
              <w:left w:w="60" w:type="dxa"/>
              <w:bottom w:w="60" w:type="dxa"/>
              <w:right w:w="60" w:type="dxa"/>
            </w:tcMar>
            <w:vAlign w:val="center"/>
            <w:hideMark/>
          </w:tcPr>
          <w:p w14:paraId="44DE09B9" w14:textId="77777777" w:rsidR="00DC2420" w:rsidRPr="00AF7D64" w:rsidRDefault="00DC2420" w:rsidP="00DC2420">
            <w:pPr>
              <w:jc w:val="center"/>
              <w:rPr>
                <w:rFonts w:ascii="Arial" w:hAnsi="Arial" w:cs="Arial"/>
                <w:sz w:val="18"/>
                <w:szCs w:val="18"/>
              </w:rPr>
            </w:pPr>
          </w:p>
        </w:tc>
        <w:tc>
          <w:tcPr>
            <w:tcW w:w="1276" w:type="dxa"/>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1527E8E8" w14:textId="58D7BDCD" w:rsidR="00DC2420" w:rsidRPr="00AF7D64" w:rsidRDefault="00DC2420" w:rsidP="00DC2420">
            <w:pPr>
              <w:jc w:val="center"/>
              <w:rPr>
                <w:rFonts w:ascii="Arial" w:hAnsi="Arial" w:cs="Arial"/>
                <w:sz w:val="18"/>
                <w:szCs w:val="18"/>
              </w:rPr>
            </w:pPr>
            <w:r w:rsidRPr="00AF7D64">
              <w:rPr>
                <w:rFonts w:ascii="Arial" w:hAnsi="Arial" w:cs="Arial"/>
                <w:sz w:val="18"/>
                <w:szCs w:val="18"/>
              </w:rPr>
              <w:t>Answered</w:t>
            </w:r>
          </w:p>
        </w:tc>
        <w:tc>
          <w:tcPr>
            <w:tcW w:w="1559" w:type="dxa"/>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371ED8EF" w14:textId="77777777" w:rsidR="00DC2420" w:rsidRPr="00AF7D64" w:rsidRDefault="00DC2420" w:rsidP="00DC2420">
            <w:pPr>
              <w:jc w:val="center"/>
              <w:rPr>
                <w:rFonts w:ascii="Arial" w:hAnsi="Arial" w:cs="Arial"/>
                <w:sz w:val="18"/>
                <w:szCs w:val="18"/>
              </w:rPr>
            </w:pPr>
            <w:r w:rsidRPr="00AF7D64">
              <w:rPr>
                <w:rFonts w:ascii="Arial" w:hAnsi="Arial" w:cs="Arial"/>
                <w:sz w:val="18"/>
                <w:szCs w:val="18"/>
              </w:rPr>
              <w:t>155</w:t>
            </w:r>
          </w:p>
        </w:tc>
      </w:tr>
      <w:tr w:rsidR="00DC2420" w:rsidRPr="00AF7D64" w14:paraId="17B9C42C" w14:textId="77777777" w:rsidTr="00DC2420">
        <w:trPr>
          <w:tblCellSpacing w:w="0" w:type="dxa"/>
        </w:trPr>
        <w:tc>
          <w:tcPr>
            <w:tcW w:w="5379" w:type="dxa"/>
            <w:gridSpan w:val="3"/>
            <w:vMerge/>
            <w:tcBorders>
              <w:top w:val="single" w:sz="6" w:space="0" w:color="CCCCCC"/>
              <w:left w:val="nil"/>
              <w:bottom w:val="nil"/>
              <w:right w:val="single" w:sz="6" w:space="0" w:color="CCCCCC"/>
            </w:tcBorders>
            <w:vAlign w:val="center"/>
            <w:hideMark/>
          </w:tcPr>
          <w:p w14:paraId="68B45174" w14:textId="77777777" w:rsidR="00DC2420" w:rsidRPr="00AF7D64" w:rsidRDefault="00DC2420" w:rsidP="00DC2420">
            <w:pPr>
              <w:rPr>
                <w:rFonts w:ascii="Arial" w:hAnsi="Arial" w:cs="Arial"/>
                <w:sz w:val="18"/>
                <w:szCs w:val="18"/>
              </w:rPr>
            </w:pPr>
          </w:p>
        </w:tc>
        <w:tc>
          <w:tcPr>
            <w:tcW w:w="1276" w:type="dxa"/>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68A5CE84" w14:textId="00E36B6E" w:rsidR="00DC2420" w:rsidRPr="00AF7D64" w:rsidRDefault="00DC2420" w:rsidP="00DC2420">
            <w:pPr>
              <w:jc w:val="center"/>
              <w:rPr>
                <w:rFonts w:ascii="Arial" w:hAnsi="Arial" w:cs="Arial"/>
                <w:sz w:val="18"/>
                <w:szCs w:val="18"/>
              </w:rPr>
            </w:pPr>
            <w:r w:rsidRPr="00AF7D64">
              <w:rPr>
                <w:rFonts w:ascii="Arial" w:hAnsi="Arial" w:cs="Arial"/>
                <w:sz w:val="18"/>
                <w:szCs w:val="18"/>
              </w:rPr>
              <w:t>Skipped</w:t>
            </w:r>
          </w:p>
        </w:tc>
        <w:tc>
          <w:tcPr>
            <w:tcW w:w="1559" w:type="dxa"/>
            <w:tcBorders>
              <w:top w:val="single" w:sz="6" w:space="0" w:color="CCCCCC"/>
              <w:right w:val="single" w:sz="6" w:space="0" w:color="CCCCCC"/>
            </w:tcBorders>
            <w:shd w:val="clear" w:color="auto" w:fill="DDDDDD"/>
            <w:tcMar>
              <w:top w:w="60" w:type="dxa"/>
              <w:left w:w="60" w:type="dxa"/>
              <w:bottom w:w="60" w:type="dxa"/>
              <w:right w:w="60" w:type="dxa"/>
            </w:tcMar>
            <w:vAlign w:val="center"/>
            <w:hideMark/>
          </w:tcPr>
          <w:p w14:paraId="3BF09610" w14:textId="77777777" w:rsidR="00DC2420" w:rsidRPr="00AF7D64" w:rsidRDefault="00DC2420" w:rsidP="00DC2420">
            <w:pPr>
              <w:jc w:val="center"/>
              <w:rPr>
                <w:rFonts w:ascii="Arial" w:hAnsi="Arial" w:cs="Arial"/>
                <w:sz w:val="18"/>
                <w:szCs w:val="18"/>
              </w:rPr>
            </w:pPr>
            <w:r w:rsidRPr="00AF7D64">
              <w:rPr>
                <w:rFonts w:ascii="Arial" w:hAnsi="Arial" w:cs="Arial"/>
                <w:sz w:val="18"/>
                <w:szCs w:val="18"/>
              </w:rPr>
              <w:t>0</w:t>
            </w:r>
          </w:p>
        </w:tc>
      </w:tr>
    </w:tbl>
    <w:p w14:paraId="759AFACE" w14:textId="77777777" w:rsidR="00DC2420" w:rsidRPr="00AF7D64" w:rsidRDefault="00DC2420" w:rsidP="005D6A80">
      <w:pPr>
        <w:pStyle w:val="Default"/>
        <w:numPr>
          <w:ilvl w:val="2"/>
          <w:numId w:val="31"/>
        </w:numPr>
        <w:spacing w:after="240"/>
        <w:ind w:left="709" w:hanging="851"/>
        <w:jc w:val="both"/>
        <w:rPr>
          <w:b/>
          <w:bCs/>
          <w:color w:val="auto"/>
        </w:rPr>
      </w:pPr>
    </w:p>
    <w:p w14:paraId="0F73E9FD" w14:textId="77777777" w:rsidR="00CA778C" w:rsidRPr="00AF7D64" w:rsidRDefault="00CA778C" w:rsidP="00230D0A">
      <w:pPr>
        <w:pStyle w:val="Default"/>
        <w:spacing w:after="240"/>
        <w:ind w:left="709"/>
        <w:jc w:val="both"/>
        <w:rPr>
          <w:b/>
          <w:bCs/>
          <w:color w:val="auto"/>
          <w:highlight w:val="yellow"/>
        </w:rPr>
      </w:pPr>
    </w:p>
    <w:p w14:paraId="54E41DDC" w14:textId="35AEC978" w:rsidR="00D8643A" w:rsidRPr="00AF7D64" w:rsidRDefault="00862DF3" w:rsidP="005D6A80">
      <w:pPr>
        <w:pStyle w:val="Default"/>
        <w:numPr>
          <w:ilvl w:val="1"/>
          <w:numId w:val="31"/>
        </w:numPr>
        <w:spacing w:after="240"/>
        <w:ind w:left="709" w:hanging="851"/>
        <w:jc w:val="both"/>
        <w:rPr>
          <w:b/>
          <w:bCs/>
          <w:color w:val="auto"/>
        </w:rPr>
      </w:pPr>
      <w:r w:rsidRPr="00AF7D64">
        <w:rPr>
          <w:rFonts w:eastAsiaTheme="minorEastAsia"/>
          <w:b/>
          <w:bCs/>
          <w:color w:val="auto"/>
          <w:kern w:val="2"/>
          <w:lang w:val="en-US" w:eastAsia="en-US"/>
          <w14:ligatures w14:val="standardContextual"/>
        </w:rPr>
        <w:t xml:space="preserve">Question 7 - </w:t>
      </w:r>
      <w:r w:rsidR="00D8643A" w:rsidRPr="00AF7D64">
        <w:rPr>
          <w:rFonts w:eastAsiaTheme="minorEastAsia"/>
          <w:b/>
          <w:bCs/>
          <w:color w:val="auto"/>
          <w:kern w:val="2"/>
          <w:lang w:val="en-US" w:eastAsia="en-US"/>
          <w14:ligatures w14:val="standardContextual"/>
        </w:rPr>
        <w:t>Please give any general views and comments on the proposal or wider budget issues.</w:t>
      </w:r>
    </w:p>
    <w:p w14:paraId="5600D3AB" w14:textId="78F5EC45" w:rsidR="00F33A27" w:rsidRPr="004D531E" w:rsidRDefault="00F33A27" w:rsidP="00A80B70">
      <w:pPr>
        <w:pStyle w:val="Default"/>
        <w:numPr>
          <w:ilvl w:val="2"/>
          <w:numId w:val="31"/>
        </w:numPr>
        <w:spacing w:after="240"/>
        <w:ind w:left="709" w:hanging="851"/>
        <w:rPr>
          <w:color w:val="auto"/>
        </w:rPr>
      </w:pPr>
      <w:r w:rsidRPr="00AF7D64">
        <w:rPr>
          <w:color w:val="auto"/>
        </w:rPr>
        <w:t xml:space="preserve">This question allowed respondents to provide open-ended feedback on the proposals and wider budget issues. A total of </w:t>
      </w:r>
      <w:r w:rsidRPr="00AF7D64">
        <w:rPr>
          <w:b/>
          <w:bCs/>
          <w:color w:val="auto"/>
        </w:rPr>
        <w:t>67 participants submitted comments</w:t>
      </w:r>
      <w:r w:rsidRPr="00AF7D64">
        <w:rPr>
          <w:color w:val="auto"/>
        </w:rPr>
        <w:t>, which highlighted several recurring themes:</w:t>
      </w:r>
    </w:p>
    <w:p w14:paraId="5F83CE2F" w14:textId="77777777" w:rsidR="004D531E" w:rsidRPr="004D531E" w:rsidRDefault="004D531E" w:rsidP="004D531E">
      <w:pPr>
        <w:pStyle w:val="Default"/>
        <w:numPr>
          <w:ilvl w:val="0"/>
          <w:numId w:val="30"/>
        </w:numPr>
        <w:spacing w:after="240"/>
        <w:jc w:val="both"/>
      </w:pPr>
      <w:r w:rsidRPr="004D531E">
        <w:rPr>
          <w:b/>
          <w:bCs/>
        </w:rPr>
        <w:t>Recognition of Achievements:</w:t>
      </w:r>
      <w:r w:rsidRPr="004D531E">
        <w:t xml:space="preserve"> Positive remarks on improvements in children’s services, with calls for greater focus on mental health and learning disabilities.</w:t>
      </w:r>
    </w:p>
    <w:p w14:paraId="5E89C088" w14:textId="77777777" w:rsidR="004D531E" w:rsidRPr="004D531E" w:rsidRDefault="004D531E" w:rsidP="004D531E">
      <w:pPr>
        <w:pStyle w:val="Default"/>
        <w:numPr>
          <w:ilvl w:val="0"/>
          <w:numId w:val="30"/>
        </w:numPr>
        <w:spacing w:after="240"/>
        <w:jc w:val="both"/>
      </w:pPr>
      <w:r w:rsidRPr="004D531E">
        <w:rPr>
          <w:b/>
          <w:bCs/>
        </w:rPr>
        <w:t>Concerns About Tax Increases:</w:t>
      </w:r>
      <w:r w:rsidRPr="004D531E">
        <w:t xml:space="preserve"> Many respondents expressed worry about affordability and requested clear justification for any rise in council tax.</w:t>
      </w:r>
    </w:p>
    <w:p w14:paraId="65AC0AFA" w14:textId="77777777" w:rsidR="004D531E" w:rsidRPr="004D531E" w:rsidRDefault="004D531E" w:rsidP="00076AA0">
      <w:pPr>
        <w:pStyle w:val="Default"/>
        <w:numPr>
          <w:ilvl w:val="0"/>
          <w:numId w:val="30"/>
        </w:numPr>
        <w:spacing w:after="240"/>
      </w:pPr>
      <w:r w:rsidRPr="004D531E">
        <w:rPr>
          <w:b/>
          <w:bCs/>
        </w:rPr>
        <w:t>Efficiency and Management:</w:t>
      </w:r>
      <w:r w:rsidRPr="004D531E">
        <w:t xml:space="preserve"> Suggestions included reducing senior management layers, cutting wasteful spending, and prioritising frontline services.</w:t>
      </w:r>
    </w:p>
    <w:p w14:paraId="142E1667" w14:textId="77777777" w:rsidR="004D531E" w:rsidRPr="004D531E" w:rsidRDefault="004D531E" w:rsidP="004D531E">
      <w:pPr>
        <w:pStyle w:val="Default"/>
        <w:numPr>
          <w:ilvl w:val="0"/>
          <w:numId w:val="30"/>
        </w:numPr>
        <w:spacing w:after="240"/>
        <w:jc w:val="both"/>
      </w:pPr>
      <w:r w:rsidRPr="004D531E">
        <w:rPr>
          <w:b/>
          <w:bCs/>
        </w:rPr>
        <w:t>Transparency and Consultation:</w:t>
      </w:r>
      <w:r w:rsidRPr="004D531E">
        <w:t xml:space="preserve"> Calls for clearer communication on how funds are allocated and more detailed information during consultations.</w:t>
      </w:r>
    </w:p>
    <w:p w14:paraId="471E3161" w14:textId="77777777" w:rsidR="004D531E" w:rsidRPr="004D531E" w:rsidRDefault="004D531E" w:rsidP="004D531E">
      <w:pPr>
        <w:pStyle w:val="Default"/>
        <w:numPr>
          <w:ilvl w:val="0"/>
          <w:numId w:val="30"/>
        </w:numPr>
        <w:spacing w:after="240"/>
        <w:jc w:val="both"/>
      </w:pPr>
      <w:r w:rsidRPr="004D531E">
        <w:rPr>
          <w:b/>
          <w:bCs/>
        </w:rPr>
        <w:t>Town Centre Regeneration:</w:t>
      </w:r>
      <w:r w:rsidRPr="004D531E">
        <w:t xml:space="preserve"> Requests for visible progress and realistic timelines for redevelopment projects.</w:t>
      </w:r>
    </w:p>
    <w:p w14:paraId="6C592669" w14:textId="77777777" w:rsidR="004D531E" w:rsidRPr="004D531E" w:rsidRDefault="004D531E" w:rsidP="004D531E">
      <w:pPr>
        <w:pStyle w:val="Default"/>
        <w:numPr>
          <w:ilvl w:val="0"/>
          <w:numId w:val="30"/>
        </w:numPr>
        <w:spacing w:after="240"/>
        <w:jc w:val="both"/>
      </w:pPr>
      <w:r w:rsidRPr="004D531E">
        <w:rPr>
          <w:b/>
          <w:bCs/>
        </w:rPr>
        <w:lastRenderedPageBreak/>
        <w:t>Community Safety and Wellbeing:</w:t>
      </w:r>
      <w:r w:rsidRPr="004D531E">
        <w:t xml:space="preserve"> Emphasis on improving public spaces, tackling anti-social behaviour, and investing in youth facilities.</w:t>
      </w:r>
    </w:p>
    <w:p w14:paraId="446DAA1A" w14:textId="4D5E6454" w:rsidR="001C4487" w:rsidRPr="00AF7D64" w:rsidRDefault="004D531E" w:rsidP="001C4487">
      <w:pPr>
        <w:pStyle w:val="Default"/>
        <w:spacing w:after="240"/>
        <w:ind w:left="709"/>
        <w:jc w:val="both"/>
      </w:pPr>
      <w:r w:rsidRPr="004D531E">
        <w:t>These comments reflect a strong desire for accountability, cost control, and tangible improvements in local services and infrastructure</w:t>
      </w:r>
    </w:p>
    <w:p w14:paraId="753D2701" w14:textId="77777777" w:rsidR="001C4487" w:rsidRPr="00AF7D64" w:rsidRDefault="001C4487" w:rsidP="005D6A80">
      <w:pPr>
        <w:pStyle w:val="Default"/>
        <w:spacing w:after="240"/>
        <w:ind w:left="709"/>
        <w:jc w:val="both"/>
        <w:rPr>
          <w:b/>
          <w:bCs/>
          <w:color w:val="auto"/>
        </w:rPr>
      </w:pPr>
    </w:p>
    <w:p w14:paraId="41E9D317" w14:textId="3FDE3F6E" w:rsidR="00AF7D64" w:rsidRPr="00AF7D64" w:rsidRDefault="001C4487" w:rsidP="00AF7D64">
      <w:pPr>
        <w:pStyle w:val="Default"/>
        <w:numPr>
          <w:ilvl w:val="0"/>
          <w:numId w:val="31"/>
        </w:numPr>
        <w:spacing w:after="240"/>
        <w:ind w:left="709" w:hanging="709"/>
        <w:jc w:val="both"/>
        <w:rPr>
          <w:b/>
          <w:bCs/>
          <w:color w:val="auto"/>
        </w:rPr>
      </w:pPr>
      <w:r w:rsidRPr="00AF7D64">
        <w:rPr>
          <w:b/>
          <w:bCs/>
          <w:color w:val="auto"/>
        </w:rPr>
        <w:t>Conclusion</w:t>
      </w:r>
    </w:p>
    <w:p w14:paraId="6206EC8D" w14:textId="05A55721" w:rsidR="00AF7D64" w:rsidRPr="00AF7D64" w:rsidRDefault="00F217E9" w:rsidP="00F217E9">
      <w:pPr>
        <w:pStyle w:val="Default"/>
        <w:spacing w:after="240"/>
        <w:ind w:left="709"/>
        <w:jc w:val="both"/>
        <w:rPr>
          <w:b/>
          <w:bCs/>
          <w:color w:val="auto"/>
        </w:rPr>
      </w:pPr>
      <w:r w:rsidRPr="00F217E9">
        <w:rPr>
          <w:rFonts w:eastAsia="Times New Roman"/>
          <w:color w:val="auto"/>
        </w:rPr>
        <w:t>Overall, the consultation reflects a community that values both affordability and the preservation of vital local services. Although many residents expressed concern about cost pressures, a sizeable minority supported a 4.99% council tax increase to help protect frontline provision. Respondents consistently reaffirmed the importance of the Council’s six key priorities, particularly community safety, responsible governance, and services for children and young people. These insights provide a clear mandate to continue focusing resources where they have the greatest impact, while maintaining a balanced approach to financial sustainability and transparent decision-making.</w:t>
      </w:r>
    </w:p>
    <w:sectPr w:rsidR="00AF7D64" w:rsidRPr="00AF7D64" w:rsidSect="008B7D1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8E77A" w14:textId="77777777" w:rsidR="00C03008" w:rsidRDefault="00C03008" w:rsidP="00702499">
      <w:r>
        <w:separator/>
      </w:r>
    </w:p>
  </w:endnote>
  <w:endnote w:type="continuationSeparator" w:id="0">
    <w:p w14:paraId="24FAF5EC" w14:textId="77777777" w:rsidR="00C03008" w:rsidRDefault="00C03008" w:rsidP="00702499">
      <w:r>
        <w:continuationSeparator/>
      </w:r>
    </w:p>
  </w:endnote>
  <w:endnote w:type="continuationNotice" w:id="1">
    <w:p w14:paraId="3B6F1719" w14:textId="77777777" w:rsidR="00C03008" w:rsidRDefault="00C03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719218"/>
      <w:docPartObj>
        <w:docPartGallery w:val="Page Numbers (Bottom of Page)"/>
        <w:docPartUnique/>
      </w:docPartObj>
    </w:sdtPr>
    <w:sdtEndPr>
      <w:rPr>
        <w:color w:val="7F7F7F" w:themeColor="background1" w:themeShade="7F"/>
        <w:spacing w:val="60"/>
      </w:rPr>
    </w:sdtEndPr>
    <w:sdtContent>
      <w:p w14:paraId="620EE5A9" w14:textId="51C767C9" w:rsidR="00702499" w:rsidRDefault="0070249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86B4C38" w14:textId="77777777" w:rsidR="00702499" w:rsidRDefault="00702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0BAC2" w14:textId="77777777" w:rsidR="00C03008" w:rsidRDefault="00C03008" w:rsidP="00702499">
      <w:r>
        <w:separator/>
      </w:r>
    </w:p>
  </w:footnote>
  <w:footnote w:type="continuationSeparator" w:id="0">
    <w:p w14:paraId="36C2D0E2" w14:textId="77777777" w:rsidR="00C03008" w:rsidRDefault="00C03008" w:rsidP="00702499">
      <w:r>
        <w:continuationSeparator/>
      </w:r>
    </w:p>
  </w:footnote>
  <w:footnote w:type="continuationNotice" w:id="1">
    <w:p w14:paraId="69FBBB33" w14:textId="77777777" w:rsidR="00C03008" w:rsidRDefault="00C030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63"/>
    <w:multiLevelType w:val="multilevel"/>
    <w:tmpl w:val="161CA928"/>
    <w:lvl w:ilvl="0">
      <w:start w:val="1"/>
      <w:numFmt w:val="decimal"/>
      <w:lvlText w:val="%1."/>
      <w:lvlJc w:val="left"/>
      <w:pPr>
        <w:ind w:left="360" w:hanging="360"/>
      </w:pPr>
    </w:lvl>
    <w:lvl w:ilvl="1">
      <w:start w:val="1"/>
      <w:numFmt w:val="decimal"/>
      <w:lvlText w:val="%1.%2."/>
      <w:lvlJc w:val="left"/>
      <w:pPr>
        <w:ind w:left="574" w:hanging="432"/>
      </w:pPr>
      <w:rPr>
        <w:b/>
        <w:bCs/>
      </w:rPr>
    </w:lvl>
    <w:lvl w:ilvl="2">
      <w:start w:val="1"/>
      <w:numFmt w:val="decimal"/>
      <w:lvlText w:val="%1.%2.%3."/>
      <w:lvlJc w:val="left"/>
      <w:pPr>
        <w:ind w:left="1224" w:hanging="504"/>
      </w:pPr>
      <w:rPr>
        <w:b w:val="0"/>
        <w:bCs w:val="0"/>
        <w:color w:val="auto"/>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CA6F64"/>
    <w:multiLevelType w:val="hybridMultilevel"/>
    <w:tmpl w:val="1FF8E21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0B090E0C"/>
    <w:multiLevelType w:val="hybridMultilevel"/>
    <w:tmpl w:val="3DECFECC"/>
    <w:lvl w:ilvl="0" w:tplc="7DA8115C">
      <w:start w:val="1"/>
      <w:numFmt w:val="decimal"/>
      <w:lvlText w:val="%1."/>
      <w:lvlJc w:val="left"/>
      <w:pPr>
        <w:ind w:left="1294" w:hanging="360"/>
      </w:pPr>
      <w:rPr>
        <w:rFonts w:ascii="Arial" w:eastAsia="Calibri" w:hAnsi="Arial" w:cs="Arial"/>
      </w:rPr>
    </w:lvl>
    <w:lvl w:ilvl="1" w:tplc="08090003" w:tentative="1">
      <w:start w:val="1"/>
      <w:numFmt w:val="bullet"/>
      <w:lvlText w:val="o"/>
      <w:lvlJc w:val="left"/>
      <w:pPr>
        <w:ind w:left="2014" w:hanging="360"/>
      </w:pPr>
      <w:rPr>
        <w:rFonts w:ascii="Courier New" w:hAnsi="Courier New" w:cs="Courier New" w:hint="default"/>
      </w:rPr>
    </w:lvl>
    <w:lvl w:ilvl="2" w:tplc="08090005" w:tentative="1">
      <w:start w:val="1"/>
      <w:numFmt w:val="bullet"/>
      <w:lvlText w:val=""/>
      <w:lvlJc w:val="left"/>
      <w:pPr>
        <w:ind w:left="2734" w:hanging="360"/>
      </w:pPr>
      <w:rPr>
        <w:rFonts w:ascii="Wingdings" w:hAnsi="Wingdings" w:hint="default"/>
      </w:rPr>
    </w:lvl>
    <w:lvl w:ilvl="3" w:tplc="08090001" w:tentative="1">
      <w:start w:val="1"/>
      <w:numFmt w:val="bullet"/>
      <w:lvlText w:val=""/>
      <w:lvlJc w:val="left"/>
      <w:pPr>
        <w:ind w:left="3454" w:hanging="360"/>
      </w:pPr>
      <w:rPr>
        <w:rFonts w:ascii="Symbol" w:hAnsi="Symbol" w:hint="default"/>
      </w:rPr>
    </w:lvl>
    <w:lvl w:ilvl="4" w:tplc="08090003" w:tentative="1">
      <w:start w:val="1"/>
      <w:numFmt w:val="bullet"/>
      <w:lvlText w:val="o"/>
      <w:lvlJc w:val="left"/>
      <w:pPr>
        <w:ind w:left="4174" w:hanging="360"/>
      </w:pPr>
      <w:rPr>
        <w:rFonts w:ascii="Courier New" w:hAnsi="Courier New" w:cs="Courier New" w:hint="default"/>
      </w:rPr>
    </w:lvl>
    <w:lvl w:ilvl="5" w:tplc="08090005" w:tentative="1">
      <w:start w:val="1"/>
      <w:numFmt w:val="bullet"/>
      <w:lvlText w:val=""/>
      <w:lvlJc w:val="left"/>
      <w:pPr>
        <w:ind w:left="4894" w:hanging="360"/>
      </w:pPr>
      <w:rPr>
        <w:rFonts w:ascii="Wingdings" w:hAnsi="Wingdings" w:hint="default"/>
      </w:rPr>
    </w:lvl>
    <w:lvl w:ilvl="6" w:tplc="08090001" w:tentative="1">
      <w:start w:val="1"/>
      <w:numFmt w:val="bullet"/>
      <w:lvlText w:val=""/>
      <w:lvlJc w:val="left"/>
      <w:pPr>
        <w:ind w:left="5614" w:hanging="360"/>
      </w:pPr>
      <w:rPr>
        <w:rFonts w:ascii="Symbol" w:hAnsi="Symbol" w:hint="default"/>
      </w:rPr>
    </w:lvl>
    <w:lvl w:ilvl="7" w:tplc="08090003" w:tentative="1">
      <w:start w:val="1"/>
      <w:numFmt w:val="bullet"/>
      <w:lvlText w:val="o"/>
      <w:lvlJc w:val="left"/>
      <w:pPr>
        <w:ind w:left="6334" w:hanging="360"/>
      </w:pPr>
      <w:rPr>
        <w:rFonts w:ascii="Courier New" w:hAnsi="Courier New" w:cs="Courier New" w:hint="default"/>
      </w:rPr>
    </w:lvl>
    <w:lvl w:ilvl="8" w:tplc="08090005" w:tentative="1">
      <w:start w:val="1"/>
      <w:numFmt w:val="bullet"/>
      <w:lvlText w:val=""/>
      <w:lvlJc w:val="left"/>
      <w:pPr>
        <w:ind w:left="7054" w:hanging="360"/>
      </w:pPr>
      <w:rPr>
        <w:rFonts w:ascii="Wingdings" w:hAnsi="Wingdings" w:hint="default"/>
      </w:rPr>
    </w:lvl>
  </w:abstractNum>
  <w:abstractNum w:abstractNumId="3" w15:restartNumberingAfterBreak="0">
    <w:nsid w:val="10AB2E0F"/>
    <w:multiLevelType w:val="multilevel"/>
    <w:tmpl w:val="6A5CC29A"/>
    <w:lvl w:ilvl="0">
      <w:start w:val="2"/>
      <w:numFmt w:val="decimal"/>
      <w:lvlText w:val="%1."/>
      <w:lvlJc w:val="left"/>
      <w:pPr>
        <w:ind w:left="400" w:hanging="40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 w15:restartNumberingAfterBreak="0">
    <w:nsid w:val="10F36623"/>
    <w:multiLevelType w:val="multilevel"/>
    <w:tmpl w:val="26BC6596"/>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5" w15:restartNumberingAfterBreak="0">
    <w:nsid w:val="12015FE4"/>
    <w:multiLevelType w:val="multilevel"/>
    <w:tmpl w:val="5AC6BE1A"/>
    <w:lvl w:ilvl="0">
      <w:start w:val="1"/>
      <w:numFmt w:val="bullet"/>
      <w:lvlText w:val=""/>
      <w:lvlJc w:val="left"/>
      <w:pPr>
        <w:ind w:left="900" w:hanging="900"/>
      </w:pPr>
      <w:rPr>
        <w:rFonts w:ascii="Symbol" w:hAnsi="Symbol" w:hint="default"/>
        <w:sz w:val="24"/>
      </w:rPr>
    </w:lvl>
    <w:lvl w:ilvl="1">
      <w:start w:val="1"/>
      <w:numFmt w:val="decimal"/>
      <w:lvlText w:val="%1.%2"/>
      <w:lvlJc w:val="left"/>
      <w:pPr>
        <w:ind w:left="1184" w:hanging="900"/>
      </w:pPr>
      <w:rPr>
        <w:rFonts w:hint="default"/>
        <w:b w:val="0"/>
        <w:bCs w:val="0"/>
        <w:sz w:val="22"/>
        <w:szCs w:val="22"/>
      </w:rPr>
    </w:lvl>
    <w:lvl w:ilvl="2">
      <w:start w:val="1"/>
      <w:numFmt w:val="bullet"/>
      <w:lvlText w:val=""/>
      <w:lvlJc w:val="left"/>
      <w:pPr>
        <w:ind w:left="900" w:hanging="900"/>
      </w:pPr>
      <w:rPr>
        <w:rFonts w:ascii="Symbol" w:hAnsi="Symbol" w:hint="default"/>
        <w:sz w:val="24"/>
      </w:rPr>
    </w:lvl>
    <w:lvl w:ilvl="3">
      <w:start w:val="1"/>
      <w:numFmt w:val="decimal"/>
      <w:lvlText w:val="%1.%2.%3.%4"/>
      <w:lvlJc w:val="left"/>
      <w:pPr>
        <w:ind w:left="900" w:hanging="90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6" w15:restartNumberingAfterBreak="0">
    <w:nsid w:val="13391C6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6F532F"/>
    <w:multiLevelType w:val="hybridMultilevel"/>
    <w:tmpl w:val="36942872"/>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717510"/>
    <w:multiLevelType w:val="multilevel"/>
    <w:tmpl w:val="7AF0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301F6F"/>
    <w:multiLevelType w:val="hybridMultilevel"/>
    <w:tmpl w:val="9A02A39C"/>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AC32DA"/>
    <w:multiLevelType w:val="hybridMultilevel"/>
    <w:tmpl w:val="3822B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B935911"/>
    <w:multiLevelType w:val="hybridMultilevel"/>
    <w:tmpl w:val="38601730"/>
    <w:lvl w:ilvl="0" w:tplc="D85E132A">
      <w:start w:val="1"/>
      <w:numFmt w:val="bullet"/>
      <w:lvlText w:val="•"/>
      <w:lvlJc w:val="left"/>
      <w:pPr>
        <w:tabs>
          <w:tab w:val="num" w:pos="720"/>
        </w:tabs>
        <w:ind w:left="720" w:hanging="360"/>
      </w:pPr>
      <w:rPr>
        <w:rFonts w:ascii="Arial" w:hAnsi="Arial" w:hint="default"/>
      </w:rPr>
    </w:lvl>
    <w:lvl w:ilvl="1" w:tplc="A45285DA">
      <w:start w:val="1"/>
      <w:numFmt w:val="bullet"/>
      <w:lvlText w:val="•"/>
      <w:lvlJc w:val="left"/>
      <w:pPr>
        <w:tabs>
          <w:tab w:val="num" w:pos="1440"/>
        </w:tabs>
        <w:ind w:left="1440" w:hanging="360"/>
      </w:pPr>
      <w:rPr>
        <w:rFonts w:ascii="Arial" w:hAnsi="Arial" w:hint="default"/>
      </w:rPr>
    </w:lvl>
    <w:lvl w:ilvl="2" w:tplc="81B474A8">
      <w:numFmt w:val="bullet"/>
      <w:lvlText w:val="•"/>
      <w:lvlJc w:val="left"/>
      <w:pPr>
        <w:tabs>
          <w:tab w:val="num" w:pos="2160"/>
        </w:tabs>
        <w:ind w:left="2160" w:hanging="360"/>
      </w:pPr>
      <w:rPr>
        <w:rFonts w:ascii="Arial" w:hAnsi="Arial" w:hint="default"/>
      </w:rPr>
    </w:lvl>
    <w:lvl w:ilvl="3" w:tplc="D416FDDA" w:tentative="1">
      <w:start w:val="1"/>
      <w:numFmt w:val="bullet"/>
      <w:lvlText w:val="•"/>
      <w:lvlJc w:val="left"/>
      <w:pPr>
        <w:tabs>
          <w:tab w:val="num" w:pos="2880"/>
        </w:tabs>
        <w:ind w:left="2880" w:hanging="360"/>
      </w:pPr>
      <w:rPr>
        <w:rFonts w:ascii="Arial" w:hAnsi="Arial" w:hint="default"/>
      </w:rPr>
    </w:lvl>
    <w:lvl w:ilvl="4" w:tplc="330237DE" w:tentative="1">
      <w:start w:val="1"/>
      <w:numFmt w:val="bullet"/>
      <w:lvlText w:val="•"/>
      <w:lvlJc w:val="left"/>
      <w:pPr>
        <w:tabs>
          <w:tab w:val="num" w:pos="3600"/>
        </w:tabs>
        <w:ind w:left="3600" w:hanging="360"/>
      </w:pPr>
      <w:rPr>
        <w:rFonts w:ascii="Arial" w:hAnsi="Arial" w:hint="default"/>
      </w:rPr>
    </w:lvl>
    <w:lvl w:ilvl="5" w:tplc="8DB2916C" w:tentative="1">
      <w:start w:val="1"/>
      <w:numFmt w:val="bullet"/>
      <w:lvlText w:val="•"/>
      <w:lvlJc w:val="left"/>
      <w:pPr>
        <w:tabs>
          <w:tab w:val="num" w:pos="4320"/>
        </w:tabs>
        <w:ind w:left="4320" w:hanging="360"/>
      </w:pPr>
      <w:rPr>
        <w:rFonts w:ascii="Arial" w:hAnsi="Arial" w:hint="default"/>
      </w:rPr>
    </w:lvl>
    <w:lvl w:ilvl="6" w:tplc="6BBEBD14" w:tentative="1">
      <w:start w:val="1"/>
      <w:numFmt w:val="bullet"/>
      <w:lvlText w:val="•"/>
      <w:lvlJc w:val="left"/>
      <w:pPr>
        <w:tabs>
          <w:tab w:val="num" w:pos="5040"/>
        </w:tabs>
        <w:ind w:left="5040" w:hanging="360"/>
      </w:pPr>
      <w:rPr>
        <w:rFonts w:ascii="Arial" w:hAnsi="Arial" w:hint="default"/>
      </w:rPr>
    </w:lvl>
    <w:lvl w:ilvl="7" w:tplc="49166578" w:tentative="1">
      <w:start w:val="1"/>
      <w:numFmt w:val="bullet"/>
      <w:lvlText w:val="•"/>
      <w:lvlJc w:val="left"/>
      <w:pPr>
        <w:tabs>
          <w:tab w:val="num" w:pos="5760"/>
        </w:tabs>
        <w:ind w:left="5760" w:hanging="360"/>
      </w:pPr>
      <w:rPr>
        <w:rFonts w:ascii="Arial" w:hAnsi="Arial" w:hint="default"/>
      </w:rPr>
    </w:lvl>
    <w:lvl w:ilvl="8" w:tplc="44083BA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AB61C5"/>
    <w:multiLevelType w:val="hybridMultilevel"/>
    <w:tmpl w:val="250C86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E42519A"/>
    <w:multiLevelType w:val="multilevel"/>
    <w:tmpl w:val="914C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AF5407"/>
    <w:multiLevelType w:val="multilevel"/>
    <w:tmpl w:val="569627C0"/>
    <w:lvl w:ilvl="0">
      <w:start w:val="1"/>
      <w:numFmt w:val="decimal"/>
      <w:lvlText w:val="%1."/>
      <w:lvlJc w:val="left"/>
      <w:pPr>
        <w:ind w:left="360" w:hanging="360"/>
      </w:pPr>
    </w:lvl>
    <w:lvl w:ilvl="1">
      <w:start w:val="1"/>
      <w:numFmt w:val="decimal"/>
      <w:lvlText w:val="%1.%2."/>
      <w:lvlJc w:val="left"/>
      <w:pPr>
        <w:ind w:left="574" w:hanging="432"/>
      </w:pPr>
      <w:rPr>
        <w:b/>
        <w:bCs/>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B80B09"/>
    <w:multiLevelType w:val="multilevel"/>
    <w:tmpl w:val="5AC6BE1A"/>
    <w:lvl w:ilvl="0">
      <w:start w:val="1"/>
      <w:numFmt w:val="bullet"/>
      <w:lvlText w:val=""/>
      <w:lvlJc w:val="left"/>
      <w:pPr>
        <w:ind w:left="900" w:hanging="900"/>
      </w:pPr>
      <w:rPr>
        <w:rFonts w:ascii="Symbol" w:hAnsi="Symbol" w:hint="default"/>
        <w:sz w:val="24"/>
      </w:rPr>
    </w:lvl>
    <w:lvl w:ilvl="1">
      <w:start w:val="1"/>
      <w:numFmt w:val="decimal"/>
      <w:lvlText w:val="%1.%2"/>
      <w:lvlJc w:val="left"/>
      <w:pPr>
        <w:ind w:left="1184" w:hanging="900"/>
      </w:pPr>
      <w:rPr>
        <w:rFonts w:hint="default"/>
        <w:b w:val="0"/>
        <w:bCs w:val="0"/>
        <w:sz w:val="22"/>
        <w:szCs w:val="22"/>
      </w:rPr>
    </w:lvl>
    <w:lvl w:ilvl="2">
      <w:start w:val="1"/>
      <w:numFmt w:val="bullet"/>
      <w:lvlText w:val=""/>
      <w:lvlJc w:val="left"/>
      <w:pPr>
        <w:ind w:left="900" w:hanging="900"/>
      </w:pPr>
      <w:rPr>
        <w:rFonts w:ascii="Symbol" w:hAnsi="Symbol" w:hint="default"/>
        <w:sz w:val="24"/>
      </w:rPr>
    </w:lvl>
    <w:lvl w:ilvl="3">
      <w:start w:val="1"/>
      <w:numFmt w:val="decimal"/>
      <w:lvlText w:val="%1.%2.%3.%4"/>
      <w:lvlJc w:val="left"/>
      <w:pPr>
        <w:ind w:left="900" w:hanging="90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6" w15:restartNumberingAfterBreak="0">
    <w:nsid w:val="33CC4799"/>
    <w:multiLevelType w:val="hybridMultilevel"/>
    <w:tmpl w:val="DF960D36"/>
    <w:lvl w:ilvl="0" w:tplc="08090001">
      <w:start w:val="1"/>
      <w:numFmt w:val="bullet"/>
      <w:lvlText w:val=""/>
      <w:lvlJc w:val="left"/>
      <w:pPr>
        <w:ind w:left="1951" w:hanging="360"/>
      </w:pPr>
      <w:rPr>
        <w:rFonts w:ascii="Symbol" w:hAnsi="Symbol" w:hint="default"/>
      </w:rPr>
    </w:lvl>
    <w:lvl w:ilvl="1" w:tplc="08090003" w:tentative="1">
      <w:start w:val="1"/>
      <w:numFmt w:val="bullet"/>
      <w:lvlText w:val="o"/>
      <w:lvlJc w:val="left"/>
      <w:pPr>
        <w:ind w:left="2671" w:hanging="360"/>
      </w:pPr>
      <w:rPr>
        <w:rFonts w:ascii="Courier New" w:hAnsi="Courier New" w:cs="Courier New" w:hint="default"/>
      </w:rPr>
    </w:lvl>
    <w:lvl w:ilvl="2" w:tplc="08090005" w:tentative="1">
      <w:start w:val="1"/>
      <w:numFmt w:val="bullet"/>
      <w:lvlText w:val=""/>
      <w:lvlJc w:val="left"/>
      <w:pPr>
        <w:ind w:left="3391" w:hanging="360"/>
      </w:pPr>
      <w:rPr>
        <w:rFonts w:ascii="Wingdings" w:hAnsi="Wingdings" w:hint="default"/>
      </w:rPr>
    </w:lvl>
    <w:lvl w:ilvl="3" w:tplc="08090001" w:tentative="1">
      <w:start w:val="1"/>
      <w:numFmt w:val="bullet"/>
      <w:lvlText w:val=""/>
      <w:lvlJc w:val="left"/>
      <w:pPr>
        <w:ind w:left="4111" w:hanging="360"/>
      </w:pPr>
      <w:rPr>
        <w:rFonts w:ascii="Symbol" w:hAnsi="Symbol" w:hint="default"/>
      </w:rPr>
    </w:lvl>
    <w:lvl w:ilvl="4" w:tplc="08090003" w:tentative="1">
      <w:start w:val="1"/>
      <w:numFmt w:val="bullet"/>
      <w:lvlText w:val="o"/>
      <w:lvlJc w:val="left"/>
      <w:pPr>
        <w:ind w:left="4831" w:hanging="360"/>
      </w:pPr>
      <w:rPr>
        <w:rFonts w:ascii="Courier New" w:hAnsi="Courier New" w:cs="Courier New" w:hint="default"/>
      </w:rPr>
    </w:lvl>
    <w:lvl w:ilvl="5" w:tplc="08090005" w:tentative="1">
      <w:start w:val="1"/>
      <w:numFmt w:val="bullet"/>
      <w:lvlText w:val=""/>
      <w:lvlJc w:val="left"/>
      <w:pPr>
        <w:ind w:left="5551" w:hanging="360"/>
      </w:pPr>
      <w:rPr>
        <w:rFonts w:ascii="Wingdings" w:hAnsi="Wingdings" w:hint="default"/>
      </w:rPr>
    </w:lvl>
    <w:lvl w:ilvl="6" w:tplc="08090001" w:tentative="1">
      <w:start w:val="1"/>
      <w:numFmt w:val="bullet"/>
      <w:lvlText w:val=""/>
      <w:lvlJc w:val="left"/>
      <w:pPr>
        <w:ind w:left="6271" w:hanging="360"/>
      </w:pPr>
      <w:rPr>
        <w:rFonts w:ascii="Symbol" w:hAnsi="Symbol" w:hint="default"/>
      </w:rPr>
    </w:lvl>
    <w:lvl w:ilvl="7" w:tplc="08090003" w:tentative="1">
      <w:start w:val="1"/>
      <w:numFmt w:val="bullet"/>
      <w:lvlText w:val="o"/>
      <w:lvlJc w:val="left"/>
      <w:pPr>
        <w:ind w:left="6991" w:hanging="360"/>
      </w:pPr>
      <w:rPr>
        <w:rFonts w:ascii="Courier New" w:hAnsi="Courier New" w:cs="Courier New" w:hint="default"/>
      </w:rPr>
    </w:lvl>
    <w:lvl w:ilvl="8" w:tplc="08090005" w:tentative="1">
      <w:start w:val="1"/>
      <w:numFmt w:val="bullet"/>
      <w:lvlText w:val=""/>
      <w:lvlJc w:val="left"/>
      <w:pPr>
        <w:ind w:left="7711" w:hanging="360"/>
      </w:pPr>
      <w:rPr>
        <w:rFonts w:ascii="Wingdings" w:hAnsi="Wingdings" w:hint="default"/>
      </w:rPr>
    </w:lvl>
  </w:abstractNum>
  <w:abstractNum w:abstractNumId="17" w15:restartNumberingAfterBreak="0">
    <w:nsid w:val="3C2A5353"/>
    <w:multiLevelType w:val="hybridMultilevel"/>
    <w:tmpl w:val="BE5AFA2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C9D01CB"/>
    <w:multiLevelType w:val="hybridMultilevel"/>
    <w:tmpl w:val="EFD20C5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CD04620"/>
    <w:multiLevelType w:val="multilevel"/>
    <w:tmpl w:val="D6529FC6"/>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0" w15:restartNumberingAfterBreak="0">
    <w:nsid w:val="403D2F76"/>
    <w:multiLevelType w:val="hybridMultilevel"/>
    <w:tmpl w:val="DF66F70A"/>
    <w:lvl w:ilvl="0" w:tplc="D262B9D4">
      <w:start w:val="1"/>
      <w:numFmt w:val="bullet"/>
      <w:lvlText w:val="•"/>
      <w:lvlJc w:val="left"/>
      <w:pPr>
        <w:tabs>
          <w:tab w:val="num" w:pos="720"/>
        </w:tabs>
        <w:ind w:left="720" w:hanging="360"/>
      </w:pPr>
      <w:rPr>
        <w:rFonts w:ascii="Arial" w:hAnsi="Arial" w:hint="default"/>
      </w:rPr>
    </w:lvl>
    <w:lvl w:ilvl="1" w:tplc="6CC2B68E" w:tentative="1">
      <w:start w:val="1"/>
      <w:numFmt w:val="bullet"/>
      <w:lvlText w:val="•"/>
      <w:lvlJc w:val="left"/>
      <w:pPr>
        <w:tabs>
          <w:tab w:val="num" w:pos="1440"/>
        </w:tabs>
        <w:ind w:left="1440" w:hanging="360"/>
      </w:pPr>
      <w:rPr>
        <w:rFonts w:ascii="Arial" w:hAnsi="Arial" w:hint="default"/>
      </w:rPr>
    </w:lvl>
    <w:lvl w:ilvl="2" w:tplc="E3A26B0A" w:tentative="1">
      <w:start w:val="1"/>
      <w:numFmt w:val="bullet"/>
      <w:lvlText w:val="•"/>
      <w:lvlJc w:val="left"/>
      <w:pPr>
        <w:tabs>
          <w:tab w:val="num" w:pos="2160"/>
        </w:tabs>
        <w:ind w:left="2160" w:hanging="360"/>
      </w:pPr>
      <w:rPr>
        <w:rFonts w:ascii="Arial" w:hAnsi="Arial" w:hint="default"/>
      </w:rPr>
    </w:lvl>
    <w:lvl w:ilvl="3" w:tplc="C424519A" w:tentative="1">
      <w:start w:val="1"/>
      <w:numFmt w:val="bullet"/>
      <w:lvlText w:val="•"/>
      <w:lvlJc w:val="left"/>
      <w:pPr>
        <w:tabs>
          <w:tab w:val="num" w:pos="2880"/>
        </w:tabs>
        <w:ind w:left="2880" w:hanging="360"/>
      </w:pPr>
      <w:rPr>
        <w:rFonts w:ascii="Arial" w:hAnsi="Arial" w:hint="default"/>
      </w:rPr>
    </w:lvl>
    <w:lvl w:ilvl="4" w:tplc="D114665E" w:tentative="1">
      <w:start w:val="1"/>
      <w:numFmt w:val="bullet"/>
      <w:lvlText w:val="•"/>
      <w:lvlJc w:val="left"/>
      <w:pPr>
        <w:tabs>
          <w:tab w:val="num" w:pos="3600"/>
        </w:tabs>
        <w:ind w:left="3600" w:hanging="360"/>
      </w:pPr>
      <w:rPr>
        <w:rFonts w:ascii="Arial" w:hAnsi="Arial" w:hint="default"/>
      </w:rPr>
    </w:lvl>
    <w:lvl w:ilvl="5" w:tplc="98E659E6" w:tentative="1">
      <w:start w:val="1"/>
      <w:numFmt w:val="bullet"/>
      <w:lvlText w:val="•"/>
      <w:lvlJc w:val="left"/>
      <w:pPr>
        <w:tabs>
          <w:tab w:val="num" w:pos="4320"/>
        </w:tabs>
        <w:ind w:left="4320" w:hanging="360"/>
      </w:pPr>
      <w:rPr>
        <w:rFonts w:ascii="Arial" w:hAnsi="Arial" w:hint="default"/>
      </w:rPr>
    </w:lvl>
    <w:lvl w:ilvl="6" w:tplc="3B8A6FEA" w:tentative="1">
      <w:start w:val="1"/>
      <w:numFmt w:val="bullet"/>
      <w:lvlText w:val="•"/>
      <w:lvlJc w:val="left"/>
      <w:pPr>
        <w:tabs>
          <w:tab w:val="num" w:pos="5040"/>
        </w:tabs>
        <w:ind w:left="5040" w:hanging="360"/>
      </w:pPr>
      <w:rPr>
        <w:rFonts w:ascii="Arial" w:hAnsi="Arial" w:hint="default"/>
      </w:rPr>
    </w:lvl>
    <w:lvl w:ilvl="7" w:tplc="F9ACCE5A" w:tentative="1">
      <w:start w:val="1"/>
      <w:numFmt w:val="bullet"/>
      <w:lvlText w:val="•"/>
      <w:lvlJc w:val="left"/>
      <w:pPr>
        <w:tabs>
          <w:tab w:val="num" w:pos="5760"/>
        </w:tabs>
        <w:ind w:left="5760" w:hanging="360"/>
      </w:pPr>
      <w:rPr>
        <w:rFonts w:ascii="Arial" w:hAnsi="Arial" w:hint="default"/>
      </w:rPr>
    </w:lvl>
    <w:lvl w:ilvl="8" w:tplc="E11CAE1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F16AE2"/>
    <w:multiLevelType w:val="hybridMultilevel"/>
    <w:tmpl w:val="6142AC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C812754"/>
    <w:multiLevelType w:val="multilevel"/>
    <w:tmpl w:val="560C9A48"/>
    <w:lvl w:ilvl="0">
      <w:start w:val="1"/>
      <w:numFmt w:val="decimal"/>
      <w:lvlText w:val="%1."/>
      <w:lvlJc w:val="left"/>
      <w:pPr>
        <w:ind w:left="360" w:hanging="360"/>
      </w:pPr>
    </w:lvl>
    <w:lvl w:ilvl="1">
      <w:start w:val="1"/>
      <w:numFmt w:val="decimal"/>
      <w:lvlText w:val="%1.%2."/>
      <w:lvlJc w:val="left"/>
      <w:pPr>
        <w:ind w:left="574" w:hanging="432"/>
      </w:pPr>
      <w:rPr>
        <w:b/>
        <w:bCs/>
      </w:rPr>
    </w:lvl>
    <w:lvl w:ilvl="2">
      <w:start w:val="1"/>
      <w:numFmt w:val="decimal"/>
      <w:lvlText w:val="%1.%2.%3."/>
      <w:lvlJc w:val="left"/>
      <w:pPr>
        <w:ind w:left="1224" w:hanging="504"/>
      </w:pPr>
      <w:rPr>
        <w:color w:val="auto"/>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E62B25"/>
    <w:multiLevelType w:val="hybridMultilevel"/>
    <w:tmpl w:val="C0D66EA8"/>
    <w:lvl w:ilvl="0" w:tplc="93C22812">
      <w:start w:val="1"/>
      <w:numFmt w:val="bullet"/>
      <w:lvlText w:val="•"/>
      <w:lvlJc w:val="left"/>
      <w:pPr>
        <w:tabs>
          <w:tab w:val="num" w:pos="720"/>
        </w:tabs>
        <w:ind w:left="720" w:hanging="360"/>
      </w:pPr>
      <w:rPr>
        <w:rFonts w:ascii="Arial" w:hAnsi="Arial" w:hint="default"/>
      </w:rPr>
    </w:lvl>
    <w:lvl w:ilvl="1" w:tplc="99909C22" w:tentative="1">
      <w:start w:val="1"/>
      <w:numFmt w:val="bullet"/>
      <w:lvlText w:val="•"/>
      <w:lvlJc w:val="left"/>
      <w:pPr>
        <w:tabs>
          <w:tab w:val="num" w:pos="1440"/>
        </w:tabs>
        <w:ind w:left="1440" w:hanging="360"/>
      </w:pPr>
      <w:rPr>
        <w:rFonts w:ascii="Arial" w:hAnsi="Arial" w:hint="default"/>
      </w:rPr>
    </w:lvl>
    <w:lvl w:ilvl="2" w:tplc="32B82F48" w:tentative="1">
      <w:start w:val="1"/>
      <w:numFmt w:val="bullet"/>
      <w:lvlText w:val="•"/>
      <w:lvlJc w:val="left"/>
      <w:pPr>
        <w:tabs>
          <w:tab w:val="num" w:pos="2160"/>
        </w:tabs>
        <w:ind w:left="2160" w:hanging="360"/>
      </w:pPr>
      <w:rPr>
        <w:rFonts w:ascii="Arial" w:hAnsi="Arial" w:hint="default"/>
      </w:rPr>
    </w:lvl>
    <w:lvl w:ilvl="3" w:tplc="4426B116" w:tentative="1">
      <w:start w:val="1"/>
      <w:numFmt w:val="bullet"/>
      <w:lvlText w:val="•"/>
      <w:lvlJc w:val="left"/>
      <w:pPr>
        <w:tabs>
          <w:tab w:val="num" w:pos="2880"/>
        </w:tabs>
        <w:ind w:left="2880" w:hanging="360"/>
      </w:pPr>
      <w:rPr>
        <w:rFonts w:ascii="Arial" w:hAnsi="Arial" w:hint="default"/>
      </w:rPr>
    </w:lvl>
    <w:lvl w:ilvl="4" w:tplc="4A6C9722" w:tentative="1">
      <w:start w:val="1"/>
      <w:numFmt w:val="bullet"/>
      <w:lvlText w:val="•"/>
      <w:lvlJc w:val="left"/>
      <w:pPr>
        <w:tabs>
          <w:tab w:val="num" w:pos="3600"/>
        </w:tabs>
        <w:ind w:left="3600" w:hanging="360"/>
      </w:pPr>
      <w:rPr>
        <w:rFonts w:ascii="Arial" w:hAnsi="Arial" w:hint="default"/>
      </w:rPr>
    </w:lvl>
    <w:lvl w:ilvl="5" w:tplc="636CB212" w:tentative="1">
      <w:start w:val="1"/>
      <w:numFmt w:val="bullet"/>
      <w:lvlText w:val="•"/>
      <w:lvlJc w:val="left"/>
      <w:pPr>
        <w:tabs>
          <w:tab w:val="num" w:pos="4320"/>
        </w:tabs>
        <w:ind w:left="4320" w:hanging="360"/>
      </w:pPr>
      <w:rPr>
        <w:rFonts w:ascii="Arial" w:hAnsi="Arial" w:hint="default"/>
      </w:rPr>
    </w:lvl>
    <w:lvl w:ilvl="6" w:tplc="E31A0DB0" w:tentative="1">
      <w:start w:val="1"/>
      <w:numFmt w:val="bullet"/>
      <w:lvlText w:val="•"/>
      <w:lvlJc w:val="left"/>
      <w:pPr>
        <w:tabs>
          <w:tab w:val="num" w:pos="5040"/>
        </w:tabs>
        <w:ind w:left="5040" w:hanging="360"/>
      </w:pPr>
      <w:rPr>
        <w:rFonts w:ascii="Arial" w:hAnsi="Arial" w:hint="default"/>
      </w:rPr>
    </w:lvl>
    <w:lvl w:ilvl="7" w:tplc="8DB6EA2E" w:tentative="1">
      <w:start w:val="1"/>
      <w:numFmt w:val="bullet"/>
      <w:lvlText w:val="•"/>
      <w:lvlJc w:val="left"/>
      <w:pPr>
        <w:tabs>
          <w:tab w:val="num" w:pos="5760"/>
        </w:tabs>
        <w:ind w:left="5760" w:hanging="360"/>
      </w:pPr>
      <w:rPr>
        <w:rFonts w:ascii="Arial" w:hAnsi="Arial" w:hint="default"/>
      </w:rPr>
    </w:lvl>
    <w:lvl w:ilvl="8" w:tplc="688886C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4C083A"/>
    <w:multiLevelType w:val="hybridMultilevel"/>
    <w:tmpl w:val="B6D0CD1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5" w15:restartNumberingAfterBreak="0">
    <w:nsid w:val="574069F8"/>
    <w:multiLevelType w:val="hybridMultilevel"/>
    <w:tmpl w:val="20141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0D12C5"/>
    <w:multiLevelType w:val="hybridMultilevel"/>
    <w:tmpl w:val="72CC82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65EC6506"/>
    <w:multiLevelType w:val="hybridMultilevel"/>
    <w:tmpl w:val="D2A233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69BB6E22"/>
    <w:multiLevelType w:val="hybridMultilevel"/>
    <w:tmpl w:val="224AC3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BB5FE1"/>
    <w:multiLevelType w:val="hybridMultilevel"/>
    <w:tmpl w:val="06F2D35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7E316B0C"/>
    <w:multiLevelType w:val="multilevel"/>
    <w:tmpl w:val="735AB6B2"/>
    <w:lvl w:ilvl="0">
      <w:start w:val="1"/>
      <w:numFmt w:val="decimal"/>
      <w:lvlText w:val="%1"/>
      <w:lvlJc w:val="left"/>
      <w:pPr>
        <w:ind w:left="900" w:hanging="900"/>
      </w:pPr>
      <w:rPr>
        <w:rFonts w:hint="default"/>
        <w:sz w:val="24"/>
      </w:rPr>
    </w:lvl>
    <w:lvl w:ilvl="1">
      <w:start w:val="1"/>
      <w:numFmt w:val="decimal"/>
      <w:lvlText w:val="%1.%2"/>
      <w:lvlJc w:val="left"/>
      <w:pPr>
        <w:ind w:left="1184" w:hanging="900"/>
      </w:pPr>
      <w:rPr>
        <w:rFonts w:hint="default"/>
        <w:b w:val="0"/>
        <w:bCs w:val="0"/>
        <w:sz w:val="22"/>
        <w:szCs w:val="22"/>
      </w:rPr>
    </w:lvl>
    <w:lvl w:ilvl="2">
      <w:start w:val="1"/>
      <w:numFmt w:val="bullet"/>
      <w:lvlText w:val=""/>
      <w:lvlJc w:val="left"/>
      <w:pPr>
        <w:ind w:left="900" w:hanging="900"/>
      </w:pPr>
      <w:rPr>
        <w:rFonts w:ascii="Symbol" w:hAnsi="Symbol" w:hint="default"/>
        <w:sz w:val="24"/>
      </w:rPr>
    </w:lvl>
    <w:lvl w:ilvl="3">
      <w:start w:val="1"/>
      <w:numFmt w:val="decimal"/>
      <w:lvlText w:val="%1.%2.%3.%4"/>
      <w:lvlJc w:val="left"/>
      <w:pPr>
        <w:ind w:left="900" w:hanging="90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num w:numId="1" w16cid:durableId="924847547">
    <w:abstractNumId w:val="6"/>
  </w:num>
  <w:num w:numId="2" w16cid:durableId="1466267350">
    <w:abstractNumId w:val="30"/>
  </w:num>
  <w:num w:numId="3" w16cid:durableId="1078019168">
    <w:abstractNumId w:val="9"/>
  </w:num>
  <w:num w:numId="4" w16cid:durableId="1078869609">
    <w:abstractNumId w:val="21"/>
  </w:num>
  <w:num w:numId="5" w16cid:durableId="317923991">
    <w:abstractNumId w:val="15"/>
  </w:num>
  <w:num w:numId="6" w16cid:durableId="1440446972">
    <w:abstractNumId w:val="0"/>
  </w:num>
  <w:num w:numId="7" w16cid:durableId="1175071680">
    <w:abstractNumId w:val="5"/>
  </w:num>
  <w:num w:numId="8" w16cid:durableId="1395201229">
    <w:abstractNumId w:val="16"/>
  </w:num>
  <w:num w:numId="9" w16cid:durableId="586420471">
    <w:abstractNumId w:val="25"/>
  </w:num>
  <w:num w:numId="10" w16cid:durableId="1675188060">
    <w:abstractNumId w:val="7"/>
  </w:num>
  <w:num w:numId="11" w16cid:durableId="1514488473">
    <w:abstractNumId w:val="8"/>
  </w:num>
  <w:num w:numId="12" w16cid:durableId="86461286">
    <w:abstractNumId w:val="23"/>
  </w:num>
  <w:num w:numId="13" w16cid:durableId="2059739164">
    <w:abstractNumId w:val="20"/>
  </w:num>
  <w:num w:numId="14" w16cid:durableId="1823156579">
    <w:abstractNumId w:val="11"/>
  </w:num>
  <w:num w:numId="15" w16cid:durableId="1727147318">
    <w:abstractNumId w:val="14"/>
  </w:num>
  <w:num w:numId="16" w16cid:durableId="544485093">
    <w:abstractNumId w:val="17"/>
  </w:num>
  <w:num w:numId="17" w16cid:durableId="1717117755">
    <w:abstractNumId w:val="24"/>
  </w:num>
  <w:num w:numId="18" w16cid:durableId="660814396">
    <w:abstractNumId w:val="18"/>
  </w:num>
  <w:num w:numId="19" w16cid:durableId="324629738">
    <w:abstractNumId w:val="1"/>
  </w:num>
  <w:num w:numId="20" w16cid:durableId="438992350">
    <w:abstractNumId w:val="29"/>
  </w:num>
  <w:num w:numId="21" w16cid:durableId="918909464">
    <w:abstractNumId w:val="26"/>
  </w:num>
  <w:num w:numId="22" w16cid:durableId="1184051558">
    <w:abstractNumId w:val="28"/>
  </w:num>
  <w:num w:numId="23" w16cid:durableId="2081438050">
    <w:abstractNumId w:val="22"/>
  </w:num>
  <w:num w:numId="24" w16cid:durableId="137578870">
    <w:abstractNumId w:val="27"/>
  </w:num>
  <w:num w:numId="25" w16cid:durableId="1206216655">
    <w:abstractNumId w:val="10"/>
  </w:num>
  <w:num w:numId="26" w16cid:durableId="1640646688">
    <w:abstractNumId w:val="12"/>
  </w:num>
  <w:num w:numId="27" w16cid:durableId="1093551802">
    <w:abstractNumId w:val="2"/>
  </w:num>
  <w:num w:numId="28" w16cid:durableId="451167056">
    <w:abstractNumId w:val="13"/>
  </w:num>
  <w:num w:numId="29" w16cid:durableId="2080521151">
    <w:abstractNumId w:val="19"/>
  </w:num>
  <w:num w:numId="30" w16cid:durableId="1128623557">
    <w:abstractNumId w:val="4"/>
  </w:num>
  <w:num w:numId="31" w16cid:durableId="415908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83"/>
    <w:rsid w:val="00000599"/>
    <w:rsid w:val="0000061D"/>
    <w:rsid w:val="00001894"/>
    <w:rsid w:val="00001FF5"/>
    <w:rsid w:val="00002F40"/>
    <w:rsid w:val="0000574B"/>
    <w:rsid w:val="00006342"/>
    <w:rsid w:val="000073CD"/>
    <w:rsid w:val="00010365"/>
    <w:rsid w:val="00011B71"/>
    <w:rsid w:val="00011B80"/>
    <w:rsid w:val="00012CE1"/>
    <w:rsid w:val="00014C07"/>
    <w:rsid w:val="000154AD"/>
    <w:rsid w:val="000164DC"/>
    <w:rsid w:val="00020DFB"/>
    <w:rsid w:val="0002203B"/>
    <w:rsid w:val="00022784"/>
    <w:rsid w:val="00024C84"/>
    <w:rsid w:val="0002517C"/>
    <w:rsid w:val="000254E6"/>
    <w:rsid w:val="00025E14"/>
    <w:rsid w:val="000269E7"/>
    <w:rsid w:val="00026D49"/>
    <w:rsid w:val="00027CBF"/>
    <w:rsid w:val="00030A9A"/>
    <w:rsid w:val="00031405"/>
    <w:rsid w:val="00031608"/>
    <w:rsid w:val="00033CA5"/>
    <w:rsid w:val="0003452D"/>
    <w:rsid w:val="00035459"/>
    <w:rsid w:val="00035BF7"/>
    <w:rsid w:val="0003631C"/>
    <w:rsid w:val="00040975"/>
    <w:rsid w:val="00043020"/>
    <w:rsid w:val="00043F1C"/>
    <w:rsid w:val="0004432C"/>
    <w:rsid w:val="000475C7"/>
    <w:rsid w:val="000479D8"/>
    <w:rsid w:val="00050796"/>
    <w:rsid w:val="000515CB"/>
    <w:rsid w:val="00052C94"/>
    <w:rsid w:val="00054E04"/>
    <w:rsid w:val="00056F65"/>
    <w:rsid w:val="0005786A"/>
    <w:rsid w:val="0006042F"/>
    <w:rsid w:val="00060B58"/>
    <w:rsid w:val="0006116F"/>
    <w:rsid w:val="000616CF"/>
    <w:rsid w:val="00062223"/>
    <w:rsid w:val="00062ACB"/>
    <w:rsid w:val="00062F87"/>
    <w:rsid w:val="00064D15"/>
    <w:rsid w:val="000653BC"/>
    <w:rsid w:val="00067BF4"/>
    <w:rsid w:val="00070DAA"/>
    <w:rsid w:val="000717A4"/>
    <w:rsid w:val="00071F5E"/>
    <w:rsid w:val="000726D9"/>
    <w:rsid w:val="00072C96"/>
    <w:rsid w:val="00073EC8"/>
    <w:rsid w:val="00076722"/>
    <w:rsid w:val="00076AA0"/>
    <w:rsid w:val="00081690"/>
    <w:rsid w:val="00081714"/>
    <w:rsid w:val="00081737"/>
    <w:rsid w:val="00083A94"/>
    <w:rsid w:val="00084919"/>
    <w:rsid w:val="00084D1C"/>
    <w:rsid w:val="00085790"/>
    <w:rsid w:val="00086361"/>
    <w:rsid w:val="0008676F"/>
    <w:rsid w:val="00087A42"/>
    <w:rsid w:val="00090BE2"/>
    <w:rsid w:val="00090FFA"/>
    <w:rsid w:val="00091CB9"/>
    <w:rsid w:val="000921CB"/>
    <w:rsid w:val="0009288E"/>
    <w:rsid w:val="00095344"/>
    <w:rsid w:val="000957D2"/>
    <w:rsid w:val="00096D64"/>
    <w:rsid w:val="00096F35"/>
    <w:rsid w:val="000979BE"/>
    <w:rsid w:val="000A10E5"/>
    <w:rsid w:val="000A1C16"/>
    <w:rsid w:val="000A1D76"/>
    <w:rsid w:val="000A208F"/>
    <w:rsid w:val="000A27E6"/>
    <w:rsid w:val="000A2E91"/>
    <w:rsid w:val="000A2E9E"/>
    <w:rsid w:val="000A2F3D"/>
    <w:rsid w:val="000B1722"/>
    <w:rsid w:val="000B3E81"/>
    <w:rsid w:val="000B4E17"/>
    <w:rsid w:val="000B5A72"/>
    <w:rsid w:val="000B724B"/>
    <w:rsid w:val="000B76EB"/>
    <w:rsid w:val="000C0157"/>
    <w:rsid w:val="000C1072"/>
    <w:rsid w:val="000C1093"/>
    <w:rsid w:val="000C1F9A"/>
    <w:rsid w:val="000C2799"/>
    <w:rsid w:val="000C40AB"/>
    <w:rsid w:val="000C71DC"/>
    <w:rsid w:val="000D03D9"/>
    <w:rsid w:val="000D09F3"/>
    <w:rsid w:val="000D1B62"/>
    <w:rsid w:val="000D1EEA"/>
    <w:rsid w:val="000D2CDF"/>
    <w:rsid w:val="000D3D50"/>
    <w:rsid w:val="000D3DA6"/>
    <w:rsid w:val="000D71A1"/>
    <w:rsid w:val="000D73B6"/>
    <w:rsid w:val="000E019A"/>
    <w:rsid w:val="000E0F6F"/>
    <w:rsid w:val="000E0F77"/>
    <w:rsid w:val="000E364F"/>
    <w:rsid w:val="000E3B24"/>
    <w:rsid w:val="000E3CDB"/>
    <w:rsid w:val="000E514B"/>
    <w:rsid w:val="000E5818"/>
    <w:rsid w:val="000E5EB2"/>
    <w:rsid w:val="000E6EDB"/>
    <w:rsid w:val="000E710E"/>
    <w:rsid w:val="000E7531"/>
    <w:rsid w:val="000E76A0"/>
    <w:rsid w:val="000F28F2"/>
    <w:rsid w:val="000F2BDF"/>
    <w:rsid w:val="000F4631"/>
    <w:rsid w:val="000F56C1"/>
    <w:rsid w:val="000F6E94"/>
    <w:rsid w:val="000F7BB7"/>
    <w:rsid w:val="00102112"/>
    <w:rsid w:val="00102596"/>
    <w:rsid w:val="00103E0B"/>
    <w:rsid w:val="00105489"/>
    <w:rsid w:val="00105955"/>
    <w:rsid w:val="00107D26"/>
    <w:rsid w:val="0011192A"/>
    <w:rsid w:val="00111959"/>
    <w:rsid w:val="0011205E"/>
    <w:rsid w:val="00113965"/>
    <w:rsid w:val="00113FEA"/>
    <w:rsid w:val="00113FFE"/>
    <w:rsid w:val="0011537D"/>
    <w:rsid w:val="00115CD9"/>
    <w:rsid w:val="00116CD9"/>
    <w:rsid w:val="001207A7"/>
    <w:rsid w:val="00121168"/>
    <w:rsid w:val="00124016"/>
    <w:rsid w:val="001256B1"/>
    <w:rsid w:val="00125EAE"/>
    <w:rsid w:val="00126435"/>
    <w:rsid w:val="00126940"/>
    <w:rsid w:val="00127E19"/>
    <w:rsid w:val="00130806"/>
    <w:rsid w:val="00130A1C"/>
    <w:rsid w:val="00130F98"/>
    <w:rsid w:val="00131916"/>
    <w:rsid w:val="00132CCF"/>
    <w:rsid w:val="0013370B"/>
    <w:rsid w:val="00133BE7"/>
    <w:rsid w:val="001365CD"/>
    <w:rsid w:val="0013704D"/>
    <w:rsid w:val="001402B6"/>
    <w:rsid w:val="00141D0F"/>
    <w:rsid w:val="00141D12"/>
    <w:rsid w:val="001434A3"/>
    <w:rsid w:val="00143543"/>
    <w:rsid w:val="00143823"/>
    <w:rsid w:val="00143D70"/>
    <w:rsid w:val="001442DA"/>
    <w:rsid w:val="00144359"/>
    <w:rsid w:val="00144762"/>
    <w:rsid w:val="00144FF6"/>
    <w:rsid w:val="0014620A"/>
    <w:rsid w:val="0014757F"/>
    <w:rsid w:val="00147D60"/>
    <w:rsid w:val="00150061"/>
    <w:rsid w:val="001501B1"/>
    <w:rsid w:val="00150CDE"/>
    <w:rsid w:val="00151D75"/>
    <w:rsid w:val="00152537"/>
    <w:rsid w:val="001528CD"/>
    <w:rsid w:val="00152A00"/>
    <w:rsid w:val="00154F75"/>
    <w:rsid w:val="00155AD4"/>
    <w:rsid w:val="001568E3"/>
    <w:rsid w:val="00157580"/>
    <w:rsid w:val="001578B7"/>
    <w:rsid w:val="0016279E"/>
    <w:rsid w:val="00163DCD"/>
    <w:rsid w:val="00165171"/>
    <w:rsid w:val="00165C81"/>
    <w:rsid w:val="00167DA8"/>
    <w:rsid w:val="00172398"/>
    <w:rsid w:val="00172AB1"/>
    <w:rsid w:val="00172EBE"/>
    <w:rsid w:val="001739A7"/>
    <w:rsid w:val="001739E0"/>
    <w:rsid w:val="001749F3"/>
    <w:rsid w:val="0017563F"/>
    <w:rsid w:val="001761F0"/>
    <w:rsid w:val="0017728F"/>
    <w:rsid w:val="00180546"/>
    <w:rsid w:val="00182088"/>
    <w:rsid w:val="001823F9"/>
    <w:rsid w:val="00184824"/>
    <w:rsid w:val="001855CF"/>
    <w:rsid w:val="00187F4D"/>
    <w:rsid w:val="001900DD"/>
    <w:rsid w:val="001904E5"/>
    <w:rsid w:val="00191101"/>
    <w:rsid w:val="00191520"/>
    <w:rsid w:val="00192575"/>
    <w:rsid w:val="0019322C"/>
    <w:rsid w:val="00193BC0"/>
    <w:rsid w:val="001947CE"/>
    <w:rsid w:val="00194A14"/>
    <w:rsid w:val="00194FDC"/>
    <w:rsid w:val="00195980"/>
    <w:rsid w:val="00195DF8"/>
    <w:rsid w:val="00196E47"/>
    <w:rsid w:val="00196FD4"/>
    <w:rsid w:val="0019777A"/>
    <w:rsid w:val="001A04BA"/>
    <w:rsid w:val="001A180E"/>
    <w:rsid w:val="001A1CE8"/>
    <w:rsid w:val="001A238E"/>
    <w:rsid w:val="001A2B15"/>
    <w:rsid w:val="001A44EF"/>
    <w:rsid w:val="001A5D2B"/>
    <w:rsid w:val="001A70DE"/>
    <w:rsid w:val="001B122A"/>
    <w:rsid w:val="001B187C"/>
    <w:rsid w:val="001B348D"/>
    <w:rsid w:val="001B4CA9"/>
    <w:rsid w:val="001B52C8"/>
    <w:rsid w:val="001B5F6A"/>
    <w:rsid w:val="001B68EC"/>
    <w:rsid w:val="001B7459"/>
    <w:rsid w:val="001B7EA5"/>
    <w:rsid w:val="001B7FA6"/>
    <w:rsid w:val="001C1B0B"/>
    <w:rsid w:val="001C2936"/>
    <w:rsid w:val="001C2AF2"/>
    <w:rsid w:val="001C30D8"/>
    <w:rsid w:val="001C3AD1"/>
    <w:rsid w:val="001C4487"/>
    <w:rsid w:val="001C71BC"/>
    <w:rsid w:val="001D08A2"/>
    <w:rsid w:val="001D0AAC"/>
    <w:rsid w:val="001D1985"/>
    <w:rsid w:val="001D1D56"/>
    <w:rsid w:val="001D30DB"/>
    <w:rsid w:val="001D4C60"/>
    <w:rsid w:val="001D68C0"/>
    <w:rsid w:val="001D6B56"/>
    <w:rsid w:val="001D7916"/>
    <w:rsid w:val="001D7FFB"/>
    <w:rsid w:val="001E01ED"/>
    <w:rsid w:val="001E0D4A"/>
    <w:rsid w:val="001E17B4"/>
    <w:rsid w:val="001E4F8A"/>
    <w:rsid w:val="001E5E31"/>
    <w:rsid w:val="001E7450"/>
    <w:rsid w:val="001E7CC3"/>
    <w:rsid w:val="001F0917"/>
    <w:rsid w:val="001F0D49"/>
    <w:rsid w:val="001F1323"/>
    <w:rsid w:val="001F1CB7"/>
    <w:rsid w:val="001F340E"/>
    <w:rsid w:val="001F4E90"/>
    <w:rsid w:val="001F5AF2"/>
    <w:rsid w:val="001F6751"/>
    <w:rsid w:val="001F71E5"/>
    <w:rsid w:val="00200049"/>
    <w:rsid w:val="00202325"/>
    <w:rsid w:val="002029E2"/>
    <w:rsid w:val="00202ED6"/>
    <w:rsid w:val="00203AD4"/>
    <w:rsid w:val="00204335"/>
    <w:rsid w:val="00204D91"/>
    <w:rsid w:val="002078DE"/>
    <w:rsid w:val="00210612"/>
    <w:rsid w:val="002127E6"/>
    <w:rsid w:val="00214676"/>
    <w:rsid w:val="002148EE"/>
    <w:rsid w:val="0021676B"/>
    <w:rsid w:val="00217E14"/>
    <w:rsid w:val="00220292"/>
    <w:rsid w:val="00221363"/>
    <w:rsid w:val="002215F3"/>
    <w:rsid w:val="00221D8B"/>
    <w:rsid w:val="002222BD"/>
    <w:rsid w:val="00223AF9"/>
    <w:rsid w:val="00223D6A"/>
    <w:rsid w:val="0022507F"/>
    <w:rsid w:val="00225706"/>
    <w:rsid w:val="0022632B"/>
    <w:rsid w:val="00226C74"/>
    <w:rsid w:val="00227173"/>
    <w:rsid w:val="00227E5A"/>
    <w:rsid w:val="00230589"/>
    <w:rsid w:val="00230D0A"/>
    <w:rsid w:val="00230D3C"/>
    <w:rsid w:val="00231672"/>
    <w:rsid w:val="00232D0E"/>
    <w:rsid w:val="00232EF8"/>
    <w:rsid w:val="00233CA6"/>
    <w:rsid w:val="00235C7F"/>
    <w:rsid w:val="00236341"/>
    <w:rsid w:val="002374D3"/>
    <w:rsid w:val="00237C95"/>
    <w:rsid w:val="00240A29"/>
    <w:rsid w:val="00240D24"/>
    <w:rsid w:val="00240F1E"/>
    <w:rsid w:val="00241792"/>
    <w:rsid w:val="002422AB"/>
    <w:rsid w:val="002422D4"/>
    <w:rsid w:val="00242315"/>
    <w:rsid w:val="002434EA"/>
    <w:rsid w:val="002439DD"/>
    <w:rsid w:val="00245378"/>
    <w:rsid w:val="00245845"/>
    <w:rsid w:val="00245DAC"/>
    <w:rsid w:val="0024652B"/>
    <w:rsid w:val="00246DE4"/>
    <w:rsid w:val="00247CB7"/>
    <w:rsid w:val="002502DF"/>
    <w:rsid w:val="00251000"/>
    <w:rsid w:val="002534C4"/>
    <w:rsid w:val="00254210"/>
    <w:rsid w:val="002548B6"/>
    <w:rsid w:val="002560EF"/>
    <w:rsid w:val="00257F3E"/>
    <w:rsid w:val="002604B3"/>
    <w:rsid w:val="00262B0F"/>
    <w:rsid w:val="00262CD1"/>
    <w:rsid w:val="002633C2"/>
    <w:rsid w:val="002636BD"/>
    <w:rsid w:val="00263B37"/>
    <w:rsid w:val="00264F69"/>
    <w:rsid w:val="0026575F"/>
    <w:rsid w:val="00266442"/>
    <w:rsid w:val="00270597"/>
    <w:rsid w:val="00270E00"/>
    <w:rsid w:val="00270F94"/>
    <w:rsid w:val="0027448F"/>
    <w:rsid w:val="002745B4"/>
    <w:rsid w:val="002767F0"/>
    <w:rsid w:val="00280067"/>
    <w:rsid w:val="002808E7"/>
    <w:rsid w:val="00282332"/>
    <w:rsid w:val="00283285"/>
    <w:rsid w:val="002848FB"/>
    <w:rsid w:val="0028551B"/>
    <w:rsid w:val="002872BF"/>
    <w:rsid w:val="00287BE5"/>
    <w:rsid w:val="0029034A"/>
    <w:rsid w:val="002916AF"/>
    <w:rsid w:val="00291E73"/>
    <w:rsid w:val="0029202C"/>
    <w:rsid w:val="002925C9"/>
    <w:rsid w:val="0029321C"/>
    <w:rsid w:val="00295E4E"/>
    <w:rsid w:val="00296D0D"/>
    <w:rsid w:val="00296EA5"/>
    <w:rsid w:val="00296F8E"/>
    <w:rsid w:val="002A0EEB"/>
    <w:rsid w:val="002A1D4B"/>
    <w:rsid w:val="002A1DE0"/>
    <w:rsid w:val="002A1E82"/>
    <w:rsid w:val="002A1FE4"/>
    <w:rsid w:val="002A4164"/>
    <w:rsid w:val="002A56FA"/>
    <w:rsid w:val="002A6936"/>
    <w:rsid w:val="002A786E"/>
    <w:rsid w:val="002B050D"/>
    <w:rsid w:val="002B0B41"/>
    <w:rsid w:val="002B336C"/>
    <w:rsid w:val="002B541E"/>
    <w:rsid w:val="002B57CE"/>
    <w:rsid w:val="002B5970"/>
    <w:rsid w:val="002B699C"/>
    <w:rsid w:val="002B6F90"/>
    <w:rsid w:val="002C1869"/>
    <w:rsid w:val="002C1FF3"/>
    <w:rsid w:val="002C321B"/>
    <w:rsid w:val="002C69F0"/>
    <w:rsid w:val="002C769B"/>
    <w:rsid w:val="002D0416"/>
    <w:rsid w:val="002D27D1"/>
    <w:rsid w:val="002D3564"/>
    <w:rsid w:val="002D357E"/>
    <w:rsid w:val="002D5E1B"/>
    <w:rsid w:val="002D6877"/>
    <w:rsid w:val="002D6F64"/>
    <w:rsid w:val="002D7AF4"/>
    <w:rsid w:val="002E01DF"/>
    <w:rsid w:val="002E0EAB"/>
    <w:rsid w:val="002E1943"/>
    <w:rsid w:val="002E346E"/>
    <w:rsid w:val="002E466D"/>
    <w:rsid w:val="002E56CD"/>
    <w:rsid w:val="002E5AED"/>
    <w:rsid w:val="002E5D7E"/>
    <w:rsid w:val="002E62A7"/>
    <w:rsid w:val="002E7BA8"/>
    <w:rsid w:val="002E7DB9"/>
    <w:rsid w:val="002E7F70"/>
    <w:rsid w:val="002F01CC"/>
    <w:rsid w:val="002F053A"/>
    <w:rsid w:val="002F073C"/>
    <w:rsid w:val="002F0CDE"/>
    <w:rsid w:val="002F2157"/>
    <w:rsid w:val="002F293A"/>
    <w:rsid w:val="002F2F00"/>
    <w:rsid w:val="002F3136"/>
    <w:rsid w:val="002F3D79"/>
    <w:rsid w:val="002F3DFB"/>
    <w:rsid w:val="00300282"/>
    <w:rsid w:val="0030071C"/>
    <w:rsid w:val="003008F3"/>
    <w:rsid w:val="0030097E"/>
    <w:rsid w:val="0030163D"/>
    <w:rsid w:val="003018AC"/>
    <w:rsid w:val="003038AA"/>
    <w:rsid w:val="00303A8D"/>
    <w:rsid w:val="00303DF7"/>
    <w:rsid w:val="003041F4"/>
    <w:rsid w:val="00304B1C"/>
    <w:rsid w:val="00304B81"/>
    <w:rsid w:val="00304E6A"/>
    <w:rsid w:val="00305B9E"/>
    <w:rsid w:val="00305C8B"/>
    <w:rsid w:val="00306141"/>
    <w:rsid w:val="00311277"/>
    <w:rsid w:val="003113C8"/>
    <w:rsid w:val="003116AD"/>
    <w:rsid w:val="0031170F"/>
    <w:rsid w:val="00312064"/>
    <w:rsid w:val="003121DA"/>
    <w:rsid w:val="003158B7"/>
    <w:rsid w:val="003158D1"/>
    <w:rsid w:val="003219B5"/>
    <w:rsid w:val="00322730"/>
    <w:rsid w:val="00323F43"/>
    <w:rsid w:val="00324140"/>
    <w:rsid w:val="00325196"/>
    <w:rsid w:val="00325209"/>
    <w:rsid w:val="0032641B"/>
    <w:rsid w:val="00327895"/>
    <w:rsid w:val="00327EA6"/>
    <w:rsid w:val="003306DE"/>
    <w:rsid w:val="00331DAA"/>
    <w:rsid w:val="00332AA1"/>
    <w:rsid w:val="00333099"/>
    <w:rsid w:val="0033474B"/>
    <w:rsid w:val="00334A12"/>
    <w:rsid w:val="00334F7F"/>
    <w:rsid w:val="00335BE5"/>
    <w:rsid w:val="00335F32"/>
    <w:rsid w:val="0033615C"/>
    <w:rsid w:val="0034095F"/>
    <w:rsid w:val="00340BFF"/>
    <w:rsid w:val="0034137F"/>
    <w:rsid w:val="00344441"/>
    <w:rsid w:val="00344990"/>
    <w:rsid w:val="003474E2"/>
    <w:rsid w:val="00347D63"/>
    <w:rsid w:val="00351509"/>
    <w:rsid w:val="003517D0"/>
    <w:rsid w:val="00351919"/>
    <w:rsid w:val="003548C0"/>
    <w:rsid w:val="0035548B"/>
    <w:rsid w:val="00355518"/>
    <w:rsid w:val="00361505"/>
    <w:rsid w:val="00362864"/>
    <w:rsid w:val="00363367"/>
    <w:rsid w:val="0036561C"/>
    <w:rsid w:val="003656A1"/>
    <w:rsid w:val="00370341"/>
    <w:rsid w:val="003725C2"/>
    <w:rsid w:val="00374033"/>
    <w:rsid w:val="00374E19"/>
    <w:rsid w:val="003754CA"/>
    <w:rsid w:val="00376A70"/>
    <w:rsid w:val="0037724A"/>
    <w:rsid w:val="003813A4"/>
    <w:rsid w:val="003825EA"/>
    <w:rsid w:val="003851EA"/>
    <w:rsid w:val="00385CCB"/>
    <w:rsid w:val="00385F3E"/>
    <w:rsid w:val="003863E6"/>
    <w:rsid w:val="00386448"/>
    <w:rsid w:val="0038692B"/>
    <w:rsid w:val="00386973"/>
    <w:rsid w:val="00386DFB"/>
    <w:rsid w:val="00387183"/>
    <w:rsid w:val="0038788C"/>
    <w:rsid w:val="00387D8B"/>
    <w:rsid w:val="00390112"/>
    <w:rsid w:val="00390A88"/>
    <w:rsid w:val="00391042"/>
    <w:rsid w:val="00391437"/>
    <w:rsid w:val="0039221C"/>
    <w:rsid w:val="003935D3"/>
    <w:rsid w:val="00393B55"/>
    <w:rsid w:val="003959D4"/>
    <w:rsid w:val="003977D0"/>
    <w:rsid w:val="0039789F"/>
    <w:rsid w:val="00397C3A"/>
    <w:rsid w:val="00397F24"/>
    <w:rsid w:val="003A068C"/>
    <w:rsid w:val="003A11AE"/>
    <w:rsid w:val="003A1ECC"/>
    <w:rsid w:val="003A1F52"/>
    <w:rsid w:val="003A2038"/>
    <w:rsid w:val="003A2A96"/>
    <w:rsid w:val="003A358C"/>
    <w:rsid w:val="003A5D10"/>
    <w:rsid w:val="003A66E4"/>
    <w:rsid w:val="003A70AD"/>
    <w:rsid w:val="003A7D88"/>
    <w:rsid w:val="003B09F1"/>
    <w:rsid w:val="003B11DD"/>
    <w:rsid w:val="003B141E"/>
    <w:rsid w:val="003B1D3F"/>
    <w:rsid w:val="003B3541"/>
    <w:rsid w:val="003B3733"/>
    <w:rsid w:val="003B4CE1"/>
    <w:rsid w:val="003B57D2"/>
    <w:rsid w:val="003B5E26"/>
    <w:rsid w:val="003B6A8F"/>
    <w:rsid w:val="003C1B36"/>
    <w:rsid w:val="003C281C"/>
    <w:rsid w:val="003C2B54"/>
    <w:rsid w:val="003C32BD"/>
    <w:rsid w:val="003C6717"/>
    <w:rsid w:val="003C6BB6"/>
    <w:rsid w:val="003D07E8"/>
    <w:rsid w:val="003D27E2"/>
    <w:rsid w:val="003D5621"/>
    <w:rsid w:val="003D6BD9"/>
    <w:rsid w:val="003D7B10"/>
    <w:rsid w:val="003E0AC4"/>
    <w:rsid w:val="003E0FC8"/>
    <w:rsid w:val="003E21EE"/>
    <w:rsid w:val="003E391D"/>
    <w:rsid w:val="003E41E6"/>
    <w:rsid w:val="003E524C"/>
    <w:rsid w:val="003E5BB2"/>
    <w:rsid w:val="003E7757"/>
    <w:rsid w:val="003F1FCE"/>
    <w:rsid w:val="003F2893"/>
    <w:rsid w:val="003F2BA2"/>
    <w:rsid w:val="003F69EA"/>
    <w:rsid w:val="003F7E33"/>
    <w:rsid w:val="00400295"/>
    <w:rsid w:val="00402712"/>
    <w:rsid w:val="00402D21"/>
    <w:rsid w:val="00402E9C"/>
    <w:rsid w:val="00404464"/>
    <w:rsid w:val="0040525D"/>
    <w:rsid w:val="0040605D"/>
    <w:rsid w:val="00407298"/>
    <w:rsid w:val="004106CA"/>
    <w:rsid w:val="00410A74"/>
    <w:rsid w:val="00414843"/>
    <w:rsid w:val="00414AAE"/>
    <w:rsid w:val="004164F7"/>
    <w:rsid w:val="0041738C"/>
    <w:rsid w:val="00417672"/>
    <w:rsid w:val="004176DE"/>
    <w:rsid w:val="0042038E"/>
    <w:rsid w:val="00421E97"/>
    <w:rsid w:val="00422BC7"/>
    <w:rsid w:val="00423C2A"/>
    <w:rsid w:val="00425076"/>
    <w:rsid w:val="00425CD0"/>
    <w:rsid w:val="00425D3F"/>
    <w:rsid w:val="00425F1F"/>
    <w:rsid w:val="00425F89"/>
    <w:rsid w:val="00427C9F"/>
    <w:rsid w:val="0043117C"/>
    <w:rsid w:val="00431F3B"/>
    <w:rsid w:val="004321EC"/>
    <w:rsid w:val="00432201"/>
    <w:rsid w:val="00433D31"/>
    <w:rsid w:val="00434218"/>
    <w:rsid w:val="0043734A"/>
    <w:rsid w:val="00437E9E"/>
    <w:rsid w:val="004410C6"/>
    <w:rsid w:val="0044188E"/>
    <w:rsid w:val="00441C50"/>
    <w:rsid w:val="00441CD2"/>
    <w:rsid w:val="00441D9C"/>
    <w:rsid w:val="0044578D"/>
    <w:rsid w:val="00445C1A"/>
    <w:rsid w:val="004461AF"/>
    <w:rsid w:val="004467D6"/>
    <w:rsid w:val="00450E04"/>
    <w:rsid w:val="00453C64"/>
    <w:rsid w:val="004559ED"/>
    <w:rsid w:val="004560E8"/>
    <w:rsid w:val="0045645E"/>
    <w:rsid w:val="00456D0D"/>
    <w:rsid w:val="004579F1"/>
    <w:rsid w:val="00460E12"/>
    <w:rsid w:val="00460F20"/>
    <w:rsid w:val="004619DE"/>
    <w:rsid w:val="0046264A"/>
    <w:rsid w:val="00462773"/>
    <w:rsid w:val="00463E3E"/>
    <w:rsid w:val="00464B97"/>
    <w:rsid w:val="00464D95"/>
    <w:rsid w:val="00465B2B"/>
    <w:rsid w:val="00466155"/>
    <w:rsid w:val="0046645C"/>
    <w:rsid w:val="004666C1"/>
    <w:rsid w:val="00467D83"/>
    <w:rsid w:val="00467E46"/>
    <w:rsid w:val="00470686"/>
    <w:rsid w:val="0047105A"/>
    <w:rsid w:val="004716A6"/>
    <w:rsid w:val="00472517"/>
    <w:rsid w:val="004735A9"/>
    <w:rsid w:val="00473DB9"/>
    <w:rsid w:val="00473EA1"/>
    <w:rsid w:val="0047590E"/>
    <w:rsid w:val="00475FB9"/>
    <w:rsid w:val="0047713C"/>
    <w:rsid w:val="00477646"/>
    <w:rsid w:val="0048125E"/>
    <w:rsid w:val="00481CE0"/>
    <w:rsid w:val="0048341B"/>
    <w:rsid w:val="0048382B"/>
    <w:rsid w:val="004903C9"/>
    <w:rsid w:val="004923E1"/>
    <w:rsid w:val="00492A1D"/>
    <w:rsid w:val="00493093"/>
    <w:rsid w:val="00493B91"/>
    <w:rsid w:val="00494404"/>
    <w:rsid w:val="00494FB5"/>
    <w:rsid w:val="00496280"/>
    <w:rsid w:val="00496E5A"/>
    <w:rsid w:val="004976F5"/>
    <w:rsid w:val="0049772B"/>
    <w:rsid w:val="004A10C5"/>
    <w:rsid w:val="004A32A6"/>
    <w:rsid w:val="004A39D6"/>
    <w:rsid w:val="004A4A54"/>
    <w:rsid w:val="004A5B61"/>
    <w:rsid w:val="004A5E05"/>
    <w:rsid w:val="004A619D"/>
    <w:rsid w:val="004A79AB"/>
    <w:rsid w:val="004B04D8"/>
    <w:rsid w:val="004B16E8"/>
    <w:rsid w:val="004B1798"/>
    <w:rsid w:val="004B45B6"/>
    <w:rsid w:val="004B461D"/>
    <w:rsid w:val="004B5653"/>
    <w:rsid w:val="004B70FE"/>
    <w:rsid w:val="004B795D"/>
    <w:rsid w:val="004B7BA8"/>
    <w:rsid w:val="004C0A2C"/>
    <w:rsid w:val="004C0E98"/>
    <w:rsid w:val="004C2F95"/>
    <w:rsid w:val="004C5F00"/>
    <w:rsid w:val="004C7310"/>
    <w:rsid w:val="004D14E3"/>
    <w:rsid w:val="004D3225"/>
    <w:rsid w:val="004D333F"/>
    <w:rsid w:val="004D3A4D"/>
    <w:rsid w:val="004D531E"/>
    <w:rsid w:val="004D7E82"/>
    <w:rsid w:val="004D7E85"/>
    <w:rsid w:val="004E0D93"/>
    <w:rsid w:val="004E0F92"/>
    <w:rsid w:val="004E56CF"/>
    <w:rsid w:val="004E687C"/>
    <w:rsid w:val="004E7D02"/>
    <w:rsid w:val="004F17B7"/>
    <w:rsid w:val="004F4D74"/>
    <w:rsid w:val="004F651B"/>
    <w:rsid w:val="004F6E6C"/>
    <w:rsid w:val="004F730F"/>
    <w:rsid w:val="005011F7"/>
    <w:rsid w:val="00501FE0"/>
    <w:rsid w:val="005022F7"/>
    <w:rsid w:val="005035A0"/>
    <w:rsid w:val="005035A3"/>
    <w:rsid w:val="00503EDA"/>
    <w:rsid w:val="00504D83"/>
    <w:rsid w:val="005054BA"/>
    <w:rsid w:val="00505AC8"/>
    <w:rsid w:val="00506E47"/>
    <w:rsid w:val="005076B6"/>
    <w:rsid w:val="00510726"/>
    <w:rsid w:val="0051145D"/>
    <w:rsid w:val="0051182C"/>
    <w:rsid w:val="005118F1"/>
    <w:rsid w:val="00514D88"/>
    <w:rsid w:val="005178F8"/>
    <w:rsid w:val="005204CF"/>
    <w:rsid w:val="00522C00"/>
    <w:rsid w:val="00523C18"/>
    <w:rsid w:val="00525A17"/>
    <w:rsid w:val="0052616E"/>
    <w:rsid w:val="005326D0"/>
    <w:rsid w:val="00532E48"/>
    <w:rsid w:val="00533D6F"/>
    <w:rsid w:val="005369AF"/>
    <w:rsid w:val="0054060F"/>
    <w:rsid w:val="00541BB0"/>
    <w:rsid w:val="00541CE3"/>
    <w:rsid w:val="005446EF"/>
    <w:rsid w:val="00544D15"/>
    <w:rsid w:val="0054757E"/>
    <w:rsid w:val="00551F3F"/>
    <w:rsid w:val="00552B8D"/>
    <w:rsid w:val="00552BA3"/>
    <w:rsid w:val="00553777"/>
    <w:rsid w:val="00553C35"/>
    <w:rsid w:val="005562EA"/>
    <w:rsid w:val="00557C4B"/>
    <w:rsid w:val="005608A3"/>
    <w:rsid w:val="00560EBA"/>
    <w:rsid w:val="00561843"/>
    <w:rsid w:val="00563891"/>
    <w:rsid w:val="005652B3"/>
    <w:rsid w:val="005666FC"/>
    <w:rsid w:val="00570169"/>
    <w:rsid w:val="0057171C"/>
    <w:rsid w:val="00571DD1"/>
    <w:rsid w:val="00572A07"/>
    <w:rsid w:val="00573DF7"/>
    <w:rsid w:val="00575716"/>
    <w:rsid w:val="00575BD6"/>
    <w:rsid w:val="00575F57"/>
    <w:rsid w:val="00576D82"/>
    <w:rsid w:val="005776B8"/>
    <w:rsid w:val="005815BA"/>
    <w:rsid w:val="00581E63"/>
    <w:rsid w:val="005822A3"/>
    <w:rsid w:val="00586E79"/>
    <w:rsid w:val="00586F33"/>
    <w:rsid w:val="00587D56"/>
    <w:rsid w:val="00594BF5"/>
    <w:rsid w:val="005959F6"/>
    <w:rsid w:val="0059607D"/>
    <w:rsid w:val="00596180"/>
    <w:rsid w:val="00597F31"/>
    <w:rsid w:val="005A022A"/>
    <w:rsid w:val="005A0978"/>
    <w:rsid w:val="005A170C"/>
    <w:rsid w:val="005A17FF"/>
    <w:rsid w:val="005A1C04"/>
    <w:rsid w:val="005A2092"/>
    <w:rsid w:val="005A2B5E"/>
    <w:rsid w:val="005A38BC"/>
    <w:rsid w:val="005A447A"/>
    <w:rsid w:val="005A463D"/>
    <w:rsid w:val="005B1DEA"/>
    <w:rsid w:val="005B221C"/>
    <w:rsid w:val="005B5834"/>
    <w:rsid w:val="005B6C71"/>
    <w:rsid w:val="005C04EA"/>
    <w:rsid w:val="005C1C8F"/>
    <w:rsid w:val="005C2AB6"/>
    <w:rsid w:val="005C45E0"/>
    <w:rsid w:val="005C481E"/>
    <w:rsid w:val="005C488F"/>
    <w:rsid w:val="005C5427"/>
    <w:rsid w:val="005C6C88"/>
    <w:rsid w:val="005C7040"/>
    <w:rsid w:val="005C785C"/>
    <w:rsid w:val="005D03EA"/>
    <w:rsid w:val="005D474C"/>
    <w:rsid w:val="005D536E"/>
    <w:rsid w:val="005D55EA"/>
    <w:rsid w:val="005D6571"/>
    <w:rsid w:val="005D6A80"/>
    <w:rsid w:val="005E1A18"/>
    <w:rsid w:val="005E28C2"/>
    <w:rsid w:val="005E3DBA"/>
    <w:rsid w:val="005E53BF"/>
    <w:rsid w:val="005E5675"/>
    <w:rsid w:val="005E5D6D"/>
    <w:rsid w:val="005E724C"/>
    <w:rsid w:val="005E76AE"/>
    <w:rsid w:val="005F0006"/>
    <w:rsid w:val="005F0506"/>
    <w:rsid w:val="005F1850"/>
    <w:rsid w:val="005F22B1"/>
    <w:rsid w:val="005F2618"/>
    <w:rsid w:val="005F2DFA"/>
    <w:rsid w:val="005F31FD"/>
    <w:rsid w:val="005F4BBD"/>
    <w:rsid w:val="005F4FFB"/>
    <w:rsid w:val="00600BAE"/>
    <w:rsid w:val="00601588"/>
    <w:rsid w:val="00603475"/>
    <w:rsid w:val="0060383D"/>
    <w:rsid w:val="00604A8A"/>
    <w:rsid w:val="00604C52"/>
    <w:rsid w:val="00607354"/>
    <w:rsid w:val="00607B89"/>
    <w:rsid w:val="006100EA"/>
    <w:rsid w:val="006107B4"/>
    <w:rsid w:val="006108B1"/>
    <w:rsid w:val="0061117E"/>
    <w:rsid w:val="00611712"/>
    <w:rsid w:val="0061327D"/>
    <w:rsid w:val="00613DEC"/>
    <w:rsid w:val="00617759"/>
    <w:rsid w:val="0061793F"/>
    <w:rsid w:val="00617CB2"/>
    <w:rsid w:val="006209C3"/>
    <w:rsid w:val="00622E6B"/>
    <w:rsid w:val="00623CE7"/>
    <w:rsid w:val="006251CC"/>
    <w:rsid w:val="00625E4E"/>
    <w:rsid w:val="00630893"/>
    <w:rsid w:val="006309ED"/>
    <w:rsid w:val="0063112E"/>
    <w:rsid w:val="006321EF"/>
    <w:rsid w:val="006321F9"/>
    <w:rsid w:val="00632A9C"/>
    <w:rsid w:val="00632D57"/>
    <w:rsid w:val="00633F2E"/>
    <w:rsid w:val="0063418D"/>
    <w:rsid w:val="00634314"/>
    <w:rsid w:val="00634C69"/>
    <w:rsid w:val="006356D2"/>
    <w:rsid w:val="00640EC0"/>
    <w:rsid w:val="00641E7B"/>
    <w:rsid w:val="00641F24"/>
    <w:rsid w:val="00642127"/>
    <w:rsid w:val="00642334"/>
    <w:rsid w:val="00642915"/>
    <w:rsid w:val="00644A13"/>
    <w:rsid w:val="00647122"/>
    <w:rsid w:val="00647236"/>
    <w:rsid w:val="006501BA"/>
    <w:rsid w:val="00651617"/>
    <w:rsid w:val="006535D7"/>
    <w:rsid w:val="00655F44"/>
    <w:rsid w:val="00656D36"/>
    <w:rsid w:val="00656DCF"/>
    <w:rsid w:val="006573E6"/>
    <w:rsid w:val="00660108"/>
    <w:rsid w:val="00660BFA"/>
    <w:rsid w:val="0066175A"/>
    <w:rsid w:val="00662D7A"/>
    <w:rsid w:val="00662F3C"/>
    <w:rsid w:val="00663BE7"/>
    <w:rsid w:val="00663D55"/>
    <w:rsid w:val="00664452"/>
    <w:rsid w:val="00665BCD"/>
    <w:rsid w:val="006669B5"/>
    <w:rsid w:val="00666C0B"/>
    <w:rsid w:val="0066782B"/>
    <w:rsid w:val="00667B70"/>
    <w:rsid w:val="006702C7"/>
    <w:rsid w:val="00670AB0"/>
    <w:rsid w:val="0067124F"/>
    <w:rsid w:val="00671974"/>
    <w:rsid w:val="00671DD1"/>
    <w:rsid w:val="006721BB"/>
    <w:rsid w:val="006740B8"/>
    <w:rsid w:val="00674E05"/>
    <w:rsid w:val="00674FBE"/>
    <w:rsid w:val="00675B5C"/>
    <w:rsid w:val="006771A9"/>
    <w:rsid w:val="00677583"/>
    <w:rsid w:val="00680391"/>
    <w:rsid w:val="0068047F"/>
    <w:rsid w:val="00680EBC"/>
    <w:rsid w:val="00681284"/>
    <w:rsid w:val="006822CE"/>
    <w:rsid w:val="006824EF"/>
    <w:rsid w:val="0068298A"/>
    <w:rsid w:val="00683B5F"/>
    <w:rsid w:val="00686296"/>
    <w:rsid w:val="006869CD"/>
    <w:rsid w:val="00686D77"/>
    <w:rsid w:val="00691BD0"/>
    <w:rsid w:val="00691C4A"/>
    <w:rsid w:val="0069380B"/>
    <w:rsid w:val="00694333"/>
    <w:rsid w:val="00694373"/>
    <w:rsid w:val="006956F2"/>
    <w:rsid w:val="00695A5F"/>
    <w:rsid w:val="00696274"/>
    <w:rsid w:val="006972EC"/>
    <w:rsid w:val="006977D3"/>
    <w:rsid w:val="00697A6C"/>
    <w:rsid w:val="006A1362"/>
    <w:rsid w:val="006A1474"/>
    <w:rsid w:val="006A20B9"/>
    <w:rsid w:val="006A30F0"/>
    <w:rsid w:val="006A3BDC"/>
    <w:rsid w:val="006A4BC6"/>
    <w:rsid w:val="006A5111"/>
    <w:rsid w:val="006A5667"/>
    <w:rsid w:val="006A63D0"/>
    <w:rsid w:val="006A6400"/>
    <w:rsid w:val="006A667B"/>
    <w:rsid w:val="006A6A4C"/>
    <w:rsid w:val="006A73E0"/>
    <w:rsid w:val="006A796A"/>
    <w:rsid w:val="006B12E0"/>
    <w:rsid w:val="006B2392"/>
    <w:rsid w:val="006B30C4"/>
    <w:rsid w:val="006B3603"/>
    <w:rsid w:val="006B4342"/>
    <w:rsid w:val="006B5A1A"/>
    <w:rsid w:val="006B6D71"/>
    <w:rsid w:val="006C08DD"/>
    <w:rsid w:val="006C1192"/>
    <w:rsid w:val="006C12A3"/>
    <w:rsid w:val="006C137C"/>
    <w:rsid w:val="006C1D31"/>
    <w:rsid w:val="006C1EC4"/>
    <w:rsid w:val="006C32B7"/>
    <w:rsid w:val="006C39A9"/>
    <w:rsid w:val="006C3ECE"/>
    <w:rsid w:val="006C6AFF"/>
    <w:rsid w:val="006D24EA"/>
    <w:rsid w:val="006D3073"/>
    <w:rsid w:val="006D5B98"/>
    <w:rsid w:val="006D70ED"/>
    <w:rsid w:val="006D7CC7"/>
    <w:rsid w:val="006E0FBB"/>
    <w:rsid w:val="006E1803"/>
    <w:rsid w:val="006E1BAE"/>
    <w:rsid w:val="006E2453"/>
    <w:rsid w:val="006E29B1"/>
    <w:rsid w:val="006E2E51"/>
    <w:rsid w:val="006E3061"/>
    <w:rsid w:val="006E44C4"/>
    <w:rsid w:val="006E554C"/>
    <w:rsid w:val="006E5C3F"/>
    <w:rsid w:val="006E5EBB"/>
    <w:rsid w:val="006E5F3A"/>
    <w:rsid w:val="006E7983"/>
    <w:rsid w:val="006F06D1"/>
    <w:rsid w:val="006F1F7E"/>
    <w:rsid w:val="006F3335"/>
    <w:rsid w:val="006F4CBF"/>
    <w:rsid w:val="006F6011"/>
    <w:rsid w:val="006F7A22"/>
    <w:rsid w:val="0070021E"/>
    <w:rsid w:val="007003E9"/>
    <w:rsid w:val="007003FE"/>
    <w:rsid w:val="00700E8B"/>
    <w:rsid w:val="007014A0"/>
    <w:rsid w:val="00701511"/>
    <w:rsid w:val="007019D8"/>
    <w:rsid w:val="00702499"/>
    <w:rsid w:val="00703AF1"/>
    <w:rsid w:val="0070487F"/>
    <w:rsid w:val="00707EC6"/>
    <w:rsid w:val="00710101"/>
    <w:rsid w:val="007109A6"/>
    <w:rsid w:val="00711C3B"/>
    <w:rsid w:val="00711C7A"/>
    <w:rsid w:val="00713646"/>
    <w:rsid w:val="00714F19"/>
    <w:rsid w:val="007171F2"/>
    <w:rsid w:val="0072034B"/>
    <w:rsid w:val="00720634"/>
    <w:rsid w:val="0072152B"/>
    <w:rsid w:val="00723B76"/>
    <w:rsid w:val="00723FCF"/>
    <w:rsid w:val="00723FE0"/>
    <w:rsid w:val="00727926"/>
    <w:rsid w:val="00730807"/>
    <w:rsid w:val="00730D23"/>
    <w:rsid w:val="00732653"/>
    <w:rsid w:val="007344DA"/>
    <w:rsid w:val="00734A5E"/>
    <w:rsid w:val="0073504E"/>
    <w:rsid w:val="00735493"/>
    <w:rsid w:val="00735BB0"/>
    <w:rsid w:val="00735FFA"/>
    <w:rsid w:val="00736562"/>
    <w:rsid w:val="007432B8"/>
    <w:rsid w:val="00743CA5"/>
    <w:rsid w:val="00743DAE"/>
    <w:rsid w:val="00744090"/>
    <w:rsid w:val="00746B77"/>
    <w:rsid w:val="00747135"/>
    <w:rsid w:val="007477C0"/>
    <w:rsid w:val="00750573"/>
    <w:rsid w:val="00752B35"/>
    <w:rsid w:val="0075379A"/>
    <w:rsid w:val="00754E3E"/>
    <w:rsid w:val="00755603"/>
    <w:rsid w:val="0075677A"/>
    <w:rsid w:val="00756C33"/>
    <w:rsid w:val="00760482"/>
    <w:rsid w:val="00764EF2"/>
    <w:rsid w:val="00765202"/>
    <w:rsid w:val="0076589D"/>
    <w:rsid w:val="00766067"/>
    <w:rsid w:val="0076639F"/>
    <w:rsid w:val="0076754A"/>
    <w:rsid w:val="00767C6E"/>
    <w:rsid w:val="00767D5C"/>
    <w:rsid w:val="00771956"/>
    <w:rsid w:val="007722B0"/>
    <w:rsid w:val="00773B16"/>
    <w:rsid w:val="00773F5A"/>
    <w:rsid w:val="00774829"/>
    <w:rsid w:val="00774B49"/>
    <w:rsid w:val="00774B93"/>
    <w:rsid w:val="00774C55"/>
    <w:rsid w:val="00774C70"/>
    <w:rsid w:val="00775887"/>
    <w:rsid w:val="00775BA1"/>
    <w:rsid w:val="00776B79"/>
    <w:rsid w:val="007772D2"/>
    <w:rsid w:val="007813B9"/>
    <w:rsid w:val="0078232D"/>
    <w:rsid w:val="0078274A"/>
    <w:rsid w:val="0078341A"/>
    <w:rsid w:val="007840F9"/>
    <w:rsid w:val="00784278"/>
    <w:rsid w:val="00784629"/>
    <w:rsid w:val="0079108F"/>
    <w:rsid w:val="0079220D"/>
    <w:rsid w:val="0079248F"/>
    <w:rsid w:val="00793888"/>
    <w:rsid w:val="00794EE5"/>
    <w:rsid w:val="00795912"/>
    <w:rsid w:val="0079635A"/>
    <w:rsid w:val="0079647C"/>
    <w:rsid w:val="00797B37"/>
    <w:rsid w:val="007A0D26"/>
    <w:rsid w:val="007A12E1"/>
    <w:rsid w:val="007A2332"/>
    <w:rsid w:val="007A26D7"/>
    <w:rsid w:val="007A2D1E"/>
    <w:rsid w:val="007A31A1"/>
    <w:rsid w:val="007A35D6"/>
    <w:rsid w:val="007A45BC"/>
    <w:rsid w:val="007A5159"/>
    <w:rsid w:val="007A7CA8"/>
    <w:rsid w:val="007B0364"/>
    <w:rsid w:val="007B0FB9"/>
    <w:rsid w:val="007B1777"/>
    <w:rsid w:val="007B19C8"/>
    <w:rsid w:val="007B1BBE"/>
    <w:rsid w:val="007B221C"/>
    <w:rsid w:val="007B3AF6"/>
    <w:rsid w:val="007B40F2"/>
    <w:rsid w:val="007B7563"/>
    <w:rsid w:val="007C0195"/>
    <w:rsid w:val="007C0C17"/>
    <w:rsid w:val="007C2E51"/>
    <w:rsid w:val="007C492A"/>
    <w:rsid w:val="007C4A06"/>
    <w:rsid w:val="007C679C"/>
    <w:rsid w:val="007C7986"/>
    <w:rsid w:val="007C7A4E"/>
    <w:rsid w:val="007D064A"/>
    <w:rsid w:val="007D0696"/>
    <w:rsid w:val="007D0824"/>
    <w:rsid w:val="007D2378"/>
    <w:rsid w:val="007D4CBE"/>
    <w:rsid w:val="007D4D1F"/>
    <w:rsid w:val="007E02F1"/>
    <w:rsid w:val="007E1124"/>
    <w:rsid w:val="007E2661"/>
    <w:rsid w:val="007E461F"/>
    <w:rsid w:val="007E4F61"/>
    <w:rsid w:val="007E5D7E"/>
    <w:rsid w:val="007E6A84"/>
    <w:rsid w:val="007E6F45"/>
    <w:rsid w:val="007E7AE6"/>
    <w:rsid w:val="007F15C8"/>
    <w:rsid w:val="007F25C7"/>
    <w:rsid w:val="007F4D70"/>
    <w:rsid w:val="007F6DB4"/>
    <w:rsid w:val="007F770D"/>
    <w:rsid w:val="0080115B"/>
    <w:rsid w:val="0080181C"/>
    <w:rsid w:val="00801FEE"/>
    <w:rsid w:val="00802475"/>
    <w:rsid w:val="00803692"/>
    <w:rsid w:val="00804CAE"/>
    <w:rsid w:val="00804FED"/>
    <w:rsid w:val="008050A3"/>
    <w:rsid w:val="00805758"/>
    <w:rsid w:val="00805C8E"/>
    <w:rsid w:val="00810CB2"/>
    <w:rsid w:val="00810D3C"/>
    <w:rsid w:val="00812784"/>
    <w:rsid w:val="0081292A"/>
    <w:rsid w:val="00812AC7"/>
    <w:rsid w:val="00814B2E"/>
    <w:rsid w:val="00815077"/>
    <w:rsid w:val="00816FA9"/>
    <w:rsid w:val="00816FB8"/>
    <w:rsid w:val="00820742"/>
    <w:rsid w:val="00821726"/>
    <w:rsid w:val="008220F9"/>
    <w:rsid w:val="0082328F"/>
    <w:rsid w:val="00823D11"/>
    <w:rsid w:val="00827C00"/>
    <w:rsid w:val="008306F6"/>
    <w:rsid w:val="008319CF"/>
    <w:rsid w:val="00831CCC"/>
    <w:rsid w:val="00832D1E"/>
    <w:rsid w:val="00832D54"/>
    <w:rsid w:val="00834938"/>
    <w:rsid w:val="00834B4C"/>
    <w:rsid w:val="00834C77"/>
    <w:rsid w:val="008356BC"/>
    <w:rsid w:val="00836395"/>
    <w:rsid w:val="008373DD"/>
    <w:rsid w:val="008400A9"/>
    <w:rsid w:val="00844184"/>
    <w:rsid w:val="00847BFD"/>
    <w:rsid w:val="00850B9B"/>
    <w:rsid w:val="00852403"/>
    <w:rsid w:val="0085411F"/>
    <w:rsid w:val="00855634"/>
    <w:rsid w:val="00856D8A"/>
    <w:rsid w:val="0085723E"/>
    <w:rsid w:val="008579A8"/>
    <w:rsid w:val="00860C34"/>
    <w:rsid w:val="0086101B"/>
    <w:rsid w:val="008612B2"/>
    <w:rsid w:val="008613CF"/>
    <w:rsid w:val="00862140"/>
    <w:rsid w:val="00862374"/>
    <w:rsid w:val="0086257C"/>
    <w:rsid w:val="00862DF3"/>
    <w:rsid w:val="00863BAD"/>
    <w:rsid w:val="0086540A"/>
    <w:rsid w:val="00871402"/>
    <w:rsid w:val="00871A88"/>
    <w:rsid w:val="00874720"/>
    <w:rsid w:val="00876A45"/>
    <w:rsid w:val="00877579"/>
    <w:rsid w:val="00877AD7"/>
    <w:rsid w:val="00880AA8"/>
    <w:rsid w:val="008816C9"/>
    <w:rsid w:val="00881A75"/>
    <w:rsid w:val="0088227A"/>
    <w:rsid w:val="00884066"/>
    <w:rsid w:val="008863E6"/>
    <w:rsid w:val="008877CC"/>
    <w:rsid w:val="00890498"/>
    <w:rsid w:val="0089071F"/>
    <w:rsid w:val="00890939"/>
    <w:rsid w:val="00891488"/>
    <w:rsid w:val="0089360C"/>
    <w:rsid w:val="00893A84"/>
    <w:rsid w:val="00894D5F"/>
    <w:rsid w:val="00896133"/>
    <w:rsid w:val="00896575"/>
    <w:rsid w:val="008965F6"/>
    <w:rsid w:val="008A046D"/>
    <w:rsid w:val="008A0D10"/>
    <w:rsid w:val="008A1218"/>
    <w:rsid w:val="008A3EF2"/>
    <w:rsid w:val="008A3FB1"/>
    <w:rsid w:val="008A4921"/>
    <w:rsid w:val="008A4F69"/>
    <w:rsid w:val="008A5CD2"/>
    <w:rsid w:val="008B014F"/>
    <w:rsid w:val="008B0813"/>
    <w:rsid w:val="008B1188"/>
    <w:rsid w:val="008B11A6"/>
    <w:rsid w:val="008B1C69"/>
    <w:rsid w:val="008B1C8D"/>
    <w:rsid w:val="008B2E79"/>
    <w:rsid w:val="008B3362"/>
    <w:rsid w:val="008B3CE8"/>
    <w:rsid w:val="008B4D34"/>
    <w:rsid w:val="008B5CCA"/>
    <w:rsid w:val="008B5D70"/>
    <w:rsid w:val="008B6636"/>
    <w:rsid w:val="008B7D1A"/>
    <w:rsid w:val="008C072A"/>
    <w:rsid w:val="008C0CEE"/>
    <w:rsid w:val="008C107C"/>
    <w:rsid w:val="008C16B9"/>
    <w:rsid w:val="008C16EB"/>
    <w:rsid w:val="008C198C"/>
    <w:rsid w:val="008C1B86"/>
    <w:rsid w:val="008C21BA"/>
    <w:rsid w:val="008C2C63"/>
    <w:rsid w:val="008C4945"/>
    <w:rsid w:val="008C59FB"/>
    <w:rsid w:val="008C76DC"/>
    <w:rsid w:val="008C7888"/>
    <w:rsid w:val="008C7CC1"/>
    <w:rsid w:val="008D0E38"/>
    <w:rsid w:val="008D14A6"/>
    <w:rsid w:val="008D381F"/>
    <w:rsid w:val="008D5A58"/>
    <w:rsid w:val="008D5B2C"/>
    <w:rsid w:val="008D7D77"/>
    <w:rsid w:val="008E034F"/>
    <w:rsid w:val="008E32FE"/>
    <w:rsid w:val="008E3420"/>
    <w:rsid w:val="008E41A3"/>
    <w:rsid w:val="008E5349"/>
    <w:rsid w:val="008E76FE"/>
    <w:rsid w:val="008E79D1"/>
    <w:rsid w:val="008F093A"/>
    <w:rsid w:val="008F2BE2"/>
    <w:rsid w:val="008F46C9"/>
    <w:rsid w:val="008F5632"/>
    <w:rsid w:val="008F6BB2"/>
    <w:rsid w:val="008F72D2"/>
    <w:rsid w:val="009005FD"/>
    <w:rsid w:val="00900FCB"/>
    <w:rsid w:val="009016B5"/>
    <w:rsid w:val="00902067"/>
    <w:rsid w:val="00902711"/>
    <w:rsid w:val="00903179"/>
    <w:rsid w:val="0090317E"/>
    <w:rsid w:val="009041B3"/>
    <w:rsid w:val="00905550"/>
    <w:rsid w:val="00905EEA"/>
    <w:rsid w:val="00906AC2"/>
    <w:rsid w:val="00907A68"/>
    <w:rsid w:val="00911344"/>
    <w:rsid w:val="00912649"/>
    <w:rsid w:val="00913140"/>
    <w:rsid w:val="0091388B"/>
    <w:rsid w:val="00914AA2"/>
    <w:rsid w:val="0091716F"/>
    <w:rsid w:val="00917A4D"/>
    <w:rsid w:val="009205DC"/>
    <w:rsid w:val="009213A3"/>
    <w:rsid w:val="00922BD2"/>
    <w:rsid w:val="0092327D"/>
    <w:rsid w:val="009235D7"/>
    <w:rsid w:val="00925842"/>
    <w:rsid w:val="00925B6D"/>
    <w:rsid w:val="009265D2"/>
    <w:rsid w:val="009271AF"/>
    <w:rsid w:val="00930E70"/>
    <w:rsid w:val="00930EA7"/>
    <w:rsid w:val="00930FA5"/>
    <w:rsid w:val="00932519"/>
    <w:rsid w:val="00932ED1"/>
    <w:rsid w:val="00933DC6"/>
    <w:rsid w:val="00936016"/>
    <w:rsid w:val="009375CD"/>
    <w:rsid w:val="00937CB0"/>
    <w:rsid w:val="00940E37"/>
    <w:rsid w:val="009420E3"/>
    <w:rsid w:val="00942986"/>
    <w:rsid w:val="00943773"/>
    <w:rsid w:val="00943DC5"/>
    <w:rsid w:val="0094525A"/>
    <w:rsid w:val="00947001"/>
    <w:rsid w:val="009516B3"/>
    <w:rsid w:val="009517CB"/>
    <w:rsid w:val="009521CF"/>
    <w:rsid w:val="00952537"/>
    <w:rsid w:val="009527B9"/>
    <w:rsid w:val="00953E58"/>
    <w:rsid w:val="00954246"/>
    <w:rsid w:val="0095522F"/>
    <w:rsid w:val="0095562D"/>
    <w:rsid w:val="00956044"/>
    <w:rsid w:val="009605C1"/>
    <w:rsid w:val="0096208C"/>
    <w:rsid w:val="00966B89"/>
    <w:rsid w:val="00966BEA"/>
    <w:rsid w:val="009675F7"/>
    <w:rsid w:val="00975903"/>
    <w:rsid w:val="00977F7F"/>
    <w:rsid w:val="00982D8A"/>
    <w:rsid w:val="00983354"/>
    <w:rsid w:val="00985460"/>
    <w:rsid w:val="0098700B"/>
    <w:rsid w:val="0098704E"/>
    <w:rsid w:val="00992084"/>
    <w:rsid w:val="009921AF"/>
    <w:rsid w:val="0099224A"/>
    <w:rsid w:val="00992F84"/>
    <w:rsid w:val="0099318D"/>
    <w:rsid w:val="009931C2"/>
    <w:rsid w:val="00993DAE"/>
    <w:rsid w:val="00994157"/>
    <w:rsid w:val="0099613F"/>
    <w:rsid w:val="0099647B"/>
    <w:rsid w:val="00996838"/>
    <w:rsid w:val="00996CCF"/>
    <w:rsid w:val="0099712F"/>
    <w:rsid w:val="009A067C"/>
    <w:rsid w:val="009A1E82"/>
    <w:rsid w:val="009A2065"/>
    <w:rsid w:val="009A3236"/>
    <w:rsid w:val="009A39D1"/>
    <w:rsid w:val="009A5206"/>
    <w:rsid w:val="009A5CC3"/>
    <w:rsid w:val="009B0B0C"/>
    <w:rsid w:val="009B1B11"/>
    <w:rsid w:val="009B24AA"/>
    <w:rsid w:val="009B3460"/>
    <w:rsid w:val="009B5EC7"/>
    <w:rsid w:val="009B633A"/>
    <w:rsid w:val="009B6AA0"/>
    <w:rsid w:val="009B74BA"/>
    <w:rsid w:val="009C2A3F"/>
    <w:rsid w:val="009C4877"/>
    <w:rsid w:val="009C4A65"/>
    <w:rsid w:val="009C52B8"/>
    <w:rsid w:val="009C53C2"/>
    <w:rsid w:val="009C6CA7"/>
    <w:rsid w:val="009C799B"/>
    <w:rsid w:val="009C7BE8"/>
    <w:rsid w:val="009C7F68"/>
    <w:rsid w:val="009D10FF"/>
    <w:rsid w:val="009D45A3"/>
    <w:rsid w:val="009D6261"/>
    <w:rsid w:val="009D6C60"/>
    <w:rsid w:val="009D7117"/>
    <w:rsid w:val="009D7BBB"/>
    <w:rsid w:val="009E0617"/>
    <w:rsid w:val="009E12DB"/>
    <w:rsid w:val="009E1345"/>
    <w:rsid w:val="009E2703"/>
    <w:rsid w:val="009E2DA9"/>
    <w:rsid w:val="009E468F"/>
    <w:rsid w:val="009E5C43"/>
    <w:rsid w:val="009E61C5"/>
    <w:rsid w:val="009E657A"/>
    <w:rsid w:val="009E65F6"/>
    <w:rsid w:val="009E6760"/>
    <w:rsid w:val="009E7D0E"/>
    <w:rsid w:val="009F18AC"/>
    <w:rsid w:val="009F2402"/>
    <w:rsid w:val="009F3102"/>
    <w:rsid w:val="009F4214"/>
    <w:rsid w:val="009F490E"/>
    <w:rsid w:val="009F49A8"/>
    <w:rsid w:val="009F7059"/>
    <w:rsid w:val="00A0026E"/>
    <w:rsid w:val="00A02081"/>
    <w:rsid w:val="00A0355C"/>
    <w:rsid w:val="00A050B3"/>
    <w:rsid w:val="00A06235"/>
    <w:rsid w:val="00A0626A"/>
    <w:rsid w:val="00A07292"/>
    <w:rsid w:val="00A1415B"/>
    <w:rsid w:val="00A145AC"/>
    <w:rsid w:val="00A16212"/>
    <w:rsid w:val="00A17645"/>
    <w:rsid w:val="00A17F27"/>
    <w:rsid w:val="00A21126"/>
    <w:rsid w:val="00A21AEB"/>
    <w:rsid w:val="00A21B62"/>
    <w:rsid w:val="00A22055"/>
    <w:rsid w:val="00A25BB4"/>
    <w:rsid w:val="00A27CD6"/>
    <w:rsid w:val="00A3062A"/>
    <w:rsid w:val="00A307CE"/>
    <w:rsid w:val="00A30D43"/>
    <w:rsid w:val="00A30FA5"/>
    <w:rsid w:val="00A31272"/>
    <w:rsid w:val="00A314B2"/>
    <w:rsid w:val="00A351EC"/>
    <w:rsid w:val="00A35213"/>
    <w:rsid w:val="00A361EC"/>
    <w:rsid w:val="00A36201"/>
    <w:rsid w:val="00A37193"/>
    <w:rsid w:val="00A3772D"/>
    <w:rsid w:val="00A41368"/>
    <w:rsid w:val="00A41B23"/>
    <w:rsid w:val="00A42807"/>
    <w:rsid w:val="00A445C7"/>
    <w:rsid w:val="00A44B91"/>
    <w:rsid w:val="00A451D0"/>
    <w:rsid w:val="00A456EF"/>
    <w:rsid w:val="00A45C17"/>
    <w:rsid w:val="00A46A79"/>
    <w:rsid w:val="00A47178"/>
    <w:rsid w:val="00A473D9"/>
    <w:rsid w:val="00A47C3F"/>
    <w:rsid w:val="00A5018D"/>
    <w:rsid w:val="00A503F4"/>
    <w:rsid w:val="00A5044C"/>
    <w:rsid w:val="00A50C17"/>
    <w:rsid w:val="00A55593"/>
    <w:rsid w:val="00A55FB1"/>
    <w:rsid w:val="00A5782D"/>
    <w:rsid w:val="00A615BB"/>
    <w:rsid w:val="00A61743"/>
    <w:rsid w:val="00A61B43"/>
    <w:rsid w:val="00A626B5"/>
    <w:rsid w:val="00A62C59"/>
    <w:rsid w:val="00A66C40"/>
    <w:rsid w:val="00A717C0"/>
    <w:rsid w:val="00A738CB"/>
    <w:rsid w:val="00A74826"/>
    <w:rsid w:val="00A7546A"/>
    <w:rsid w:val="00A75B42"/>
    <w:rsid w:val="00A7627D"/>
    <w:rsid w:val="00A77407"/>
    <w:rsid w:val="00A7759F"/>
    <w:rsid w:val="00A7780F"/>
    <w:rsid w:val="00A77A66"/>
    <w:rsid w:val="00A802CC"/>
    <w:rsid w:val="00A804E6"/>
    <w:rsid w:val="00A809A8"/>
    <w:rsid w:val="00A80A47"/>
    <w:rsid w:val="00A80AEB"/>
    <w:rsid w:val="00A80B70"/>
    <w:rsid w:val="00A81641"/>
    <w:rsid w:val="00A8198C"/>
    <w:rsid w:val="00A81BE3"/>
    <w:rsid w:val="00A84D9F"/>
    <w:rsid w:val="00A85ECB"/>
    <w:rsid w:val="00A86705"/>
    <w:rsid w:val="00A87CA6"/>
    <w:rsid w:val="00A9092B"/>
    <w:rsid w:val="00A938FB"/>
    <w:rsid w:val="00A93C98"/>
    <w:rsid w:val="00A95AAD"/>
    <w:rsid w:val="00A95EF4"/>
    <w:rsid w:val="00A9608E"/>
    <w:rsid w:val="00AA0AF9"/>
    <w:rsid w:val="00AA0B38"/>
    <w:rsid w:val="00AA1023"/>
    <w:rsid w:val="00AA199F"/>
    <w:rsid w:val="00AA1AA6"/>
    <w:rsid w:val="00AA1D19"/>
    <w:rsid w:val="00AA1F62"/>
    <w:rsid w:val="00AA2E38"/>
    <w:rsid w:val="00AA3D4A"/>
    <w:rsid w:val="00AA4DD3"/>
    <w:rsid w:val="00AA60EB"/>
    <w:rsid w:val="00AA64A8"/>
    <w:rsid w:val="00AA6903"/>
    <w:rsid w:val="00AA6F97"/>
    <w:rsid w:val="00AB0069"/>
    <w:rsid w:val="00AB10C4"/>
    <w:rsid w:val="00AB1318"/>
    <w:rsid w:val="00AB163E"/>
    <w:rsid w:val="00AB1BB3"/>
    <w:rsid w:val="00AB255C"/>
    <w:rsid w:val="00AB3FDB"/>
    <w:rsid w:val="00AB4590"/>
    <w:rsid w:val="00AB48F5"/>
    <w:rsid w:val="00AB5C80"/>
    <w:rsid w:val="00AB5D05"/>
    <w:rsid w:val="00AB613D"/>
    <w:rsid w:val="00AB68A7"/>
    <w:rsid w:val="00AB6E58"/>
    <w:rsid w:val="00AB6F47"/>
    <w:rsid w:val="00AB6F72"/>
    <w:rsid w:val="00AC0339"/>
    <w:rsid w:val="00AC0A09"/>
    <w:rsid w:val="00AC0F05"/>
    <w:rsid w:val="00AC1EF3"/>
    <w:rsid w:val="00AC2B39"/>
    <w:rsid w:val="00AC3580"/>
    <w:rsid w:val="00AC5BF3"/>
    <w:rsid w:val="00AC68C4"/>
    <w:rsid w:val="00AD0E9C"/>
    <w:rsid w:val="00AD1D49"/>
    <w:rsid w:val="00AD1F5F"/>
    <w:rsid w:val="00AD3309"/>
    <w:rsid w:val="00AD38EF"/>
    <w:rsid w:val="00AD624F"/>
    <w:rsid w:val="00AD6661"/>
    <w:rsid w:val="00AD7C69"/>
    <w:rsid w:val="00AE0D09"/>
    <w:rsid w:val="00AE216C"/>
    <w:rsid w:val="00AE31C9"/>
    <w:rsid w:val="00AE578B"/>
    <w:rsid w:val="00AE618A"/>
    <w:rsid w:val="00AE75D5"/>
    <w:rsid w:val="00AF0914"/>
    <w:rsid w:val="00AF0ACE"/>
    <w:rsid w:val="00AF0F74"/>
    <w:rsid w:val="00AF1EE5"/>
    <w:rsid w:val="00AF2251"/>
    <w:rsid w:val="00AF2382"/>
    <w:rsid w:val="00AF2591"/>
    <w:rsid w:val="00AF4E64"/>
    <w:rsid w:val="00AF6FFC"/>
    <w:rsid w:val="00AF7D64"/>
    <w:rsid w:val="00B01CF1"/>
    <w:rsid w:val="00B02A8B"/>
    <w:rsid w:val="00B02BB9"/>
    <w:rsid w:val="00B03C6F"/>
    <w:rsid w:val="00B0546E"/>
    <w:rsid w:val="00B07420"/>
    <w:rsid w:val="00B07800"/>
    <w:rsid w:val="00B07995"/>
    <w:rsid w:val="00B07ABA"/>
    <w:rsid w:val="00B101FD"/>
    <w:rsid w:val="00B10B96"/>
    <w:rsid w:val="00B1130C"/>
    <w:rsid w:val="00B11B09"/>
    <w:rsid w:val="00B13FB7"/>
    <w:rsid w:val="00B16713"/>
    <w:rsid w:val="00B169C1"/>
    <w:rsid w:val="00B170F8"/>
    <w:rsid w:val="00B2131C"/>
    <w:rsid w:val="00B22557"/>
    <w:rsid w:val="00B226E8"/>
    <w:rsid w:val="00B239FF"/>
    <w:rsid w:val="00B2433E"/>
    <w:rsid w:val="00B24371"/>
    <w:rsid w:val="00B2640F"/>
    <w:rsid w:val="00B2716E"/>
    <w:rsid w:val="00B271CE"/>
    <w:rsid w:val="00B2789D"/>
    <w:rsid w:val="00B309B9"/>
    <w:rsid w:val="00B3222C"/>
    <w:rsid w:val="00B330CB"/>
    <w:rsid w:val="00B33661"/>
    <w:rsid w:val="00B34356"/>
    <w:rsid w:val="00B35A03"/>
    <w:rsid w:val="00B36CBA"/>
    <w:rsid w:val="00B37112"/>
    <w:rsid w:val="00B409FE"/>
    <w:rsid w:val="00B40C2E"/>
    <w:rsid w:val="00B41553"/>
    <w:rsid w:val="00B41F9F"/>
    <w:rsid w:val="00B4716A"/>
    <w:rsid w:val="00B472D4"/>
    <w:rsid w:val="00B47DF8"/>
    <w:rsid w:val="00B51030"/>
    <w:rsid w:val="00B51156"/>
    <w:rsid w:val="00B51BDC"/>
    <w:rsid w:val="00B52906"/>
    <w:rsid w:val="00B557F8"/>
    <w:rsid w:val="00B56DE7"/>
    <w:rsid w:val="00B62897"/>
    <w:rsid w:val="00B62B37"/>
    <w:rsid w:val="00B63AE2"/>
    <w:rsid w:val="00B64B9A"/>
    <w:rsid w:val="00B64F49"/>
    <w:rsid w:val="00B651A2"/>
    <w:rsid w:val="00B65842"/>
    <w:rsid w:val="00B66230"/>
    <w:rsid w:val="00B66778"/>
    <w:rsid w:val="00B733C9"/>
    <w:rsid w:val="00B75EFE"/>
    <w:rsid w:val="00B77BF6"/>
    <w:rsid w:val="00B81CC1"/>
    <w:rsid w:val="00B81E31"/>
    <w:rsid w:val="00B838D3"/>
    <w:rsid w:val="00B843E4"/>
    <w:rsid w:val="00B84D92"/>
    <w:rsid w:val="00B8531A"/>
    <w:rsid w:val="00B862BD"/>
    <w:rsid w:val="00B869C0"/>
    <w:rsid w:val="00B87307"/>
    <w:rsid w:val="00B915FF"/>
    <w:rsid w:val="00B92C74"/>
    <w:rsid w:val="00B93A6E"/>
    <w:rsid w:val="00B9458D"/>
    <w:rsid w:val="00B94F36"/>
    <w:rsid w:val="00B96208"/>
    <w:rsid w:val="00B96812"/>
    <w:rsid w:val="00BA070A"/>
    <w:rsid w:val="00BA0E40"/>
    <w:rsid w:val="00BA157E"/>
    <w:rsid w:val="00BA20D2"/>
    <w:rsid w:val="00BA27B1"/>
    <w:rsid w:val="00BA27F7"/>
    <w:rsid w:val="00BA6BF6"/>
    <w:rsid w:val="00BA76B5"/>
    <w:rsid w:val="00BB1777"/>
    <w:rsid w:val="00BB2EF8"/>
    <w:rsid w:val="00BB41D2"/>
    <w:rsid w:val="00BB485A"/>
    <w:rsid w:val="00BB5AB6"/>
    <w:rsid w:val="00BB6058"/>
    <w:rsid w:val="00BB672D"/>
    <w:rsid w:val="00BB7F8B"/>
    <w:rsid w:val="00BC018F"/>
    <w:rsid w:val="00BC04B6"/>
    <w:rsid w:val="00BC0B96"/>
    <w:rsid w:val="00BC0F7D"/>
    <w:rsid w:val="00BC17F0"/>
    <w:rsid w:val="00BC18F4"/>
    <w:rsid w:val="00BC2769"/>
    <w:rsid w:val="00BC2D06"/>
    <w:rsid w:val="00BC425E"/>
    <w:rsid w:val="00BC440D"/>
    <w:rsid w:val="00BC663B"/>
    <w:rsid w:val="00BC6BB1"/>
    <w:rsid w:val="00BC6FDD"/>
    <w:rsid w:val="00BD0811"/>
    <w:rsid w:val="00BD1978"/>
    <w:rsid w:val="00BD19D1"/>
    <w:rsid w:val="00BD469E"/>
    <w:rsid w:val="00BD4D2D"/>
    <w:rsid w:val="00BD5419"/>
    <w:rsid w:val="00BD59E6"/>
    <w:rsid w:val="00BD71B6"/>
    <w:rsid w:val="00BD745B"/>
    <w:rsid w:val="00BE13EC"/>
    <w:rsid w:val="00BE651B"/>
    <w:rsid w:val="00BE76CF"/>
    <w:rsid w:val="00BF0FED"/>
    <w:rsid w:val="00BF26FD"/>
    <w:rsid w:val="00BF543B"/>
    <w:rsid w:val="00BF581B"/>
    <w:rsid w:val="00BF71AC"/>
    <w:rsid w:val="00BF7EA9"/>
    <w:rsid w:val="00C00DC5"/>
    <w:rsid w:val="00C014AD"/>
    <w:rsid w:val="00C01E1C"/>
    <w:rsid w:val="00C0276D"/>
    <w:rsid w:val="00C02B03"/>
    <w:rsid w:val="00C03008"/>
    <w:rsid w:val="00C10FBC"/>
    <w:rsid w:val="00C11B32"/>
    <w:rsid w:val="00C12E63"/>
    <w:rsid w:val="00C131D0"/>
    <w:rsid w:val="00C13E17"/>
    <w:rsid w:val="00C1725A"/>
    <w:rsid w:val="00C179BD"/>
    <w:rsid w:val="00C20549"/>
    <w:rsid w:val="00C228F9"/>
    <w:rsid w:val="00C233A3"/>
    <w:rsid w:val="00C240CF"/>
    <w:rsid w:val="00C24506"/>
    <w:rsid w:val="00C25AA3"/>
    <w:rsid w:val="00C2619B"/>
    <w:rsid w:val="00C26406"/>
    <w:rsid w:val="00C27253"/>
    <w:rsid w:val="00C277A6"/>
    <w:rsid w:val="00C308FE"/>
    <w:rsid w:val="00C314AA"/>
    <w:rsid w:val="00C320CA"/>
    <w:rsid w:val="00C3263D"/>
    <w:rsid w:val="00C32E11"/>
    <w:rsid w:val="00C354D9"/>
    <w:rsid w:val="00C35716"/>
    <w:rsid w:val="00C40516"/>
    <w:rsid w:val="00C5125B"/>
    <w:rsid w:val="00C51F63"/>
    <w:rsid w:val="00C5288A"/>
    <w:rsid w:val="00C539FF"/>
    <w:rsid w:val="00C53E07"/>
    <w:rsid w:val="00C544B6"/>
    <w:rsid w:val="00C54598"/>
    <w:rsid w:val="00C54B59"/>
    <w:rsid w:val="00C54C49"/>
    <w:rsid w:val="00C54D57"/>
    <w:rsid w:val="00C56EFA"/>
    <w:rsid w:val="00C60E31"/>
    <w:rsid w:val="00C60F38"/>
    <w:rsid w:val="00C632B7"/>
    <w:rsid w:val="00C63DCC"/>
    <w:rsid w:val="00C64512"/>
    <w:rsid w:val="00C647EC"/>
    <w:rsid w:val="00C6607F"/>
    <w:rsid w:val="00C665A3"/>
    <w:rsid w:val="00C67516"/>
    <w:rsid w:val="00C71734"/>
    <w:rsid w:val="00C71BF7"/>
    <w:rsid w:val="00C72110"/>
    <w:rsid w:val="00C72D47"/>
    <w:rsid w:val="00C72FEF"/>
    <w:rsid w:val="00C73800"/>
    <w:rsid w:val="00C74EF2"/>
    <w:rsid w:val="00C75FF0"/>
    <w:rsid w:val="00C769E1"/>
    <w:rsid w:val="00C76EAE"/>
    <w:rsid w:val="00C82137"/>
    <w:rsid w:val="00C82451"/>
    <w:rsid w:val="00C8304F"/>
    <w:rsid w:val="00C84391"/>
    <w:rsid w:val="00C863E2"/>
    <w:rsid w:val="00C90687"/>
    <w:rsid w:val="00C91318"/>
    <w:rsid w:val="00C91BF1"/>
    <w:rsid w:val="00C9257C"/>
    <w:rsid w:val="00C92710"/>
    <w:rsid w:val="00C93122"/>
    <w:rsid w:val="00C952EB"/>
    <w:rsid w:val="00C96735"/>
    <w:rsid w:val="00CA002A"/>
    <w:rsid w:val="00CA09B6"/>
    <w:rsid w:val="00CA3C2E"/>
    <w:rsid w:val="00CA45AE"/>
    <w:rsid w:val="00CA524C"/>
    <w:rsid w:val="00CA6367"/>
    <w:rsid w:val="00CA69DD"/>
    <w:rsid w:val="00CA6F3A"/>
    <w:rsid w:val="00CA74CB"/>
    <w:rsid w:val="00CA778C"/>
    <w:rsid w:val="00CB260A"/>
    <w:rsid w:val="00CB401E"/>
    <w:rsid w:val="00CB46C7"/>
    <w:rsid w:val="00CB47C3"/>
    <w:rsid w:val="00CB4A15"/>
    <w:rsid w:val="00CB4FB8"/>
    <w:rsid w:val="00CC1018"/>
    <w:rsid w:val="00CC39BF"/>
    <w:rsid w:val="00CC420F"/>
    <w:rsid w:val="00CC555F"/>
    <w:rsid w:val="00CC5C6E"/>
    <w:rsid w:val="00CC656F"/>
    <w:rsid w:val="00CC6A9F"/>
    <w:rsid w:val="00CC70FD"/>
    <w:rsid w:val="00CD2259"/>
    <w:rsid w:val="00CD26F5"/>
    <w:rsid w:val="00CD5509"/>
    <w:rsid w:val="00CD568B"/>
    <w:rsid w:val="00CD62B4"/>
    <w:rsid w:val="00CD62E7"/>
    <w:rsid w:val="00CE03F4"/>
    <w:rsid w:val="00CE0A63"/>
    <w:rsid w:val="00CE0C51"/>
    <w:rsid w:val="00CE2B39"/>
    <w:rsid w:val="00CE3256"/>
    <w:rsid w:val="00CE575C"/>
    <w:rsid w:val="00CE6588"/>
    <w:rsid w:val="00CE686A"/>
    <w:rsid w:val="00CE7107"/>
    <w:rsid w:val="00CE7C33"/>
    <w:rsid w:val="00CE7D82"/>
    <w:rsid w:val="00CF050B"/>
    <w:rsid w:val="00CF1744"/>
    <w:rsid w:val="00CF20DB"/>
    <w:rsid w:val="00CF2F80"/>
    <w:rsid w:val="00CF5DF0"/>
    <w:rsid w:val="00CF601B"/>
    <w:rsid w:val="00CF6DCC"/>
    <w:rsid w:val="00D00E69"/>
    <w:rsid w:val="00D0167A"/>
    <w:rsid w:val="00D02A04"/>
    <w:rsid w:val="00D03625"/>
    <w:rsid w:val="00D04164"/>
    <w:rsid w:val="00D041F3"/>
    <w:rsid w:val="00D043D0"/>
    <w:rsid w:val="00D056B2"/>
    <w:rsid w:val="00D06563"/>
    <w:rsid w:val="00D06C72"/>
    <w:rsid w:val="00D079CA"/>
    <w:rsid w:val="00D07A25"/>
    <w:rsid w:val="00D10325"/>
    <w:rsid w:val="00D10DCA"/>
    <w:rsid w:val="00D10E59"/>
    <w:rsid w:val="00D119E8"/>
    <w:rsid w:val="00D11BBB"/>
    <w:rsid w:val="00D124EC"/>
    <w:rsid w:val="00D141E6"/>
    <w:rsid w:val="00D146E2"/>
    <w:rsid w:val="00D15617"/>
    <w:rsid w:val="00D16971"/>
    <w:rsid w:val="00D16D63"/>
    <w:rsid w:val="00D174AB"/>
    <w:rsid w:val="00D176F6"/>
    <w:rsid w:val="00D221F7"/>
    <w:rsid w:val="00D259C1"/>
    <w:rsid w:val="00D27C9D"/>
    <w:rsid w:val="00D31C56"/>
    <w:rsid w:val="00D31F59"/>
    <w:rsid w:val="00D32330"/>
    <w:rsid w:val="00D32EE9"/>
    <w:rsid w:val="00D33581"/>
    <w:rsid w:val="00D40AF6"/>
    <w:rsid w:val="00D425B9"/>
    <w:rsid w:val="00D43261"/>
    <w:rsid w:val="00D447AC"/>
    <w:rsid w:val="00D46057"/>
    <w:rsid w:val="00D46F53"/>
    <w:rsid w:val="00D5155D"/>
    <w:rsid w:val="00D52001"/>
    <w:rsid w:val="00D533A7"/>
    <w:rsid w:val="00D55CA4"/>
    <w:rsid w:val="00D55ED9"/>
    <w:rsid w:val="00D60D55"/>
    <w:rsid w:val="00D619AA"/>
    <w:rsid w:val="00D64390"/>
    <w:rsid w:val="00D64C85"/>
    <w:rsid w:val="00D65F38"/>
    <w:rsid w:val="00D66391"/>
    <w:rsid w:val="00D6676E"/>
    <w:rsid w:val="00D66F02"/>
    <w:rsid w:val="00D67B44"/>
    <w:rsid w:val="00D700E0"/>
    <w:rsid w:val="00D70947"/>
    <w:rsid w:val="00D775E1"/>
    <w:rsid w:val="00D820A5"/>
    <w:rsid w:val="00D82A3D"/>
    <w:rsid w:val="00D83DAE"/>
    <w:rsid w:val="00D83FB2"/>
    <w:rsid w:val="00D842A4"/>
    <w:rsid w:val="00D849AA"/>
    <w:rsid w:val="00D857C3"/>
    <w:rsid w:val="00D85ABC"/>
    <w:rsid w:val="00D85BAA"/>
    <w:rsid w:val="00D85C2C"/>
    <w:rsid w:val="00D85CEA"/>
    <w:rsid w:val="00D8643A"/>
    <w:rsid w:val="00D86B56"/>
    <w:rsid w:val="00D86E5D"/>
    <w:rsid w:val="00D86F6F"/>
    <w:rsid w:val="00D9146F"/>
    <w:rsid w:val="00D9301C"/>
    <w:rsid w:val="00D938B8"/>
    <w:rsid w:val="00D93B8C"/>
    <w:rsid w:val="00D9560C"/>
    <w:rsid w:val="00D96F47"/>
    <w:rsid w:val="00DA0274"/>
    <w:rsid w:val="00DA09CB"/>
    <w:rsid w:val="00DA0D9A"/>
    <w:rsid w:val="00DA1599"/>
    <w:rsid w:val="00DA3F55"/>
    <w:rsid w:val="00DA403A"/>
    <w:rsid w:val="00DA74AD"/>
    <w:rsid w:val="00DB0A45"/>
    <w:rsid w:val="00DB0A59"/>
    <w:rsid w:val="00DB0D0C"/>
    <w:rsid w:val="00DB1864"/>
    <w:rsid w:val="00DB2322"/>
    <w:rsid w:val="00DB2ACE"/>
    <w:rsid w:val="00DB5125"/>
    <w:rsid w:val="00DB6919"/>
    <w:rsid w:val="00DB725E"/>
    <w:rsid w:val="00DC0CB9"/>
    <w:rsid w:val="00DC100C"/>
    <w:rsid w:val="00DC15E5"/>
    <w:rsid w:val="00DC20BF"/>
    <w:rsid w:val="00DC2420"/>
    <w:rsid w:val="00DC292A"/>
    <w:rsid w:val="00DC29EF"/>
    <w:rsid w:val="00DC3E63"/>
    <w:rsid w:val="00DC4114"/>
    <w:rsid w:val="00DC544D"/>
    <w:rsid w:val="00DC59E5"/>
    <w:rsid w:val="00DC71C2"/>
    <w:rsid w:val="00DD4B00"/>
    <w:rsid w:val="00DD56D4"/>
    <w:rsid w:val="00DD7973"/>
    <w:rsid w:val="00DD7B1D"/>
    <w:rsid w:val="00DE1BE7"/>
    <w:rsid w:val="00DE1DF0"/>
    <w:rsid w:val="00DE2C48"/>
    <w:rsid w:val="00DE4B1D"/>
    <w:rsid w:val="00DE5EB9"/>
    <w:rsid w:val="00DE60EE"/>
    <w:rsid w:val="00DE66C7"/>
    <w:rsid w:val="00DE6C9B"/>
    <w:rsid w:val="00DF0489"/>
    <w:rsid w:val="00DF225E"/>
    <w:rsid w:val="00DF25A3"/>
    <w:rsid w:val="00DF420B"/>
    <w:rsid w:val="00DF6608"/>
    <w:rsid w:val="00E00E89"/>
    <w:rsid w:val="00E010EB"/>
    <w:rsid w:val="00E02694"/>
    <w:rsid w:val="00E04060"/>
    <w:rsid w:val="00E0444A"/>
    <w:rsid w:val="00E04DB5"/>
    <w:rsid w:val="00E05073"/>
    <w:rsid w:val="00E05678"/>
    <w:rsid w:val="00E07172"/>
    <w:rsid w:val="00E07DCA"/>
    <w:rsid w:val="00E13C3E"/>
    <w:rsid w:val="00E160DF"/>
    <w:rsid w:val="00E21341"/>
    <w:rsid w:val="00E214BC"/>
    <w:rsid w:val="00E217C7"/>
    <w:rsid w:val="00E230E0"/>
    <w:rsid w:val="00E2324C"/>
    <w:rsid w:val="00E2375D"/>
    <w:rsid w:val="00E24BBB"/>
    <w:rsid w:val="00E24D94"/>
    <w:rsid w:val="00E25E3F"/>
    <w:rsid w:val="00E264D0"/>
    <w:rsid w:val="00E327EF"/>
    <w:rsid w:val="00E32ADC"/>
    <w:rsid w:val="00E337E0"/>
    <w:rsid w:val="00E346DC"/>
    <w:rsid w:val="00E34C0C"/>
    <w:rsid w:val="00E34D6A"/>
    <w:rsid w:val="00E35191"/>
    <w:rsid w:val="00E3552C"/>
    <w:rsid w:val="00E359F2"/>
    <w:rsid w:val="00E36277"/>
    <w:rsid w:val="00E37D07"/>
    <w:rsid w:val="00E403F3"/>
    <w:rsid w:val="00E40FEE"/>
    <w:rsid w:val="00E41BF0"/>
    <w:rsid w:val="00E41CAE"/>
    <w:rsid w:val="00E4206B"/>
    <w:rsid w:val="00E4273E"/>
    <w:rsid w:val="00E443A6"/>
    <w:rsid w:val="00E443DC"/>
    <w:rsid w:val="00E44471"/>
    <w:rsid w:val="00E4716D"/>
    <w:rsid w:val="00E509C1"/>
    <w:rsid w:val="00E50FFF"/>
    <w:rsid w:val="00E51FA2"/>
    <w:rsid w:val="00E52337"/>
    <w:rsid w:val="00E52730"/>
    <w:rsid w:val="00E52B23"/>
    <w:rsid w:val="00E53396"/>
    <w:rsid w:val="00E53771"/>
    <w:rsid w:val="00E53D2D"/>
    <w:rsid w:val="00E556C1"/>
    <w:rsid w:val="00E5585E"/>
    <w:rsid w:val="00E5643F"/>
    <w:rsid w:val="00E56481"/>
    <w:rsid w:val="00E57AAE"/>
    <w:rsid w:val="00E61015"/>
    <w:rsid w:val="00E610B6"/>
    <w:rsid w:val="00E63A47"/>
    <w:rsid w:val="00E63BA9"/>
    <w:rsid w:val="00E64F59"/>
    <w:rsid w:val="00E6696F"/>
    <w:rsid w:val="00E67215"/>
    <w:rsid w:val="00E6768F"/>
    <w:rsid w:val="00E676DC"/>
    <w:rsid w:val="00E702A4"/>
    <w:rsid w:val="00E70FD8"/>
    <w:rsid w:val="00E71DAC"/>
    <w:rsid w:val="00E7255E"/>
    <w:rsid w:val="00E7272A"/>
    <w:rsid w:val="00E72F67"/>
    <w:rsid w:val="00E72FF5"/>
    <w:rsid w:val="00E77245"/>
    <w:rsid w:val="00E77293"/>
    <w:rsid w:val="00E77C9B"/>
    <w:rsid w:val="00E83246"/>
    <w:rsid w:val="00E843DC"/>
    <w:rsid w:val="00E84A98"/>
    <w:rsid w:val="00E85D6F"/>
    <w:rsid w:val="00E86B3F"/>
    <w:rsid w:val="00E87533"/>
    <w:rsid w:val="00E9018F"/>
    <w:rsid w:val="00E914F7"/>
    <w:rsid w:val="00E93167"/>
    <w:rsid w:val="00E9350B"/>
    <w:rsid w:val="00E93C2C"/>
    <w:rsid w:val="00E95FBD"/>
    <w:rsid w:val="00EA04E4"/>
    <w:rsid w:val="00EA275B"/>
    <w:rsid w:val="00EA306B"/>
    <w:rsid w:val="00EA32C6"/>
    <w:rsid w:val="00EA3406"/>
    <w:rsid w:val="00EA3C0F"/>
    <w:rsid w:val="00EA4ADB"/>
    <w:rsid w:val="00EB0A0B"/>
    <w:rsid w:val="00EB0A8B"/>
    <w:rsid w:val="00EB1156"/>
    <w:rsid w:val="00EB2286"/>
    <w:rsid w:val="00EB2856"/>
    <w:rsid w:val="00EB3C0B"/>
    <w:rsid w:val="00EB5354"/>
    <w:rsid w:val="00EB5CA8"/>
    <w:rsid w:val="00EB6873"/>
    <w:rsid w:val="00EB75F2"/>
    <w:rsid w:val="00EB7C6E"/>
    <w:rsid w:val="00EC30F8"/>
    <w:rsid w:val="00EC32B0"/>
    <w:rsid w:val="00EC3BF0"/>
    <w:rsid w:val="00EC4466"/>
    <w:rsid w:val="00EC68F4"/>
    <w:rsid w:val="00EC6AF8"/>
    <w:rsid w:val="00ED095E"/>
    <w:rsid w:val="00ED2280"/>
    <w:rsid w:val="00ED28FE"/>
    <w:rsid w:val="00ED2EBD"/>
    <w:rsid w:val="00ED39EC"/>
    <w:rsid w:val="00ED4BC0"/>
    <w:rsid w:val="00ED6405"/>
    <w:rsid w:val="00ED6DED"/>
    <w:rsid w:val="00ED7566"/>
    <w:rsid w:val="00EE066E"/>
    <w:rsid w:val="00EE156A"/>
    <w:rsid w:val="00EE1CC9"/>
    <w:rsid w:val="00EE1F6F"/>
    <w:rsid w:val="00EE44F6"/>
    <w:rsid w:val="00EE528A"/>
    <w:rsid w:val="00EE679D"/>
    <w:rsid w:val="00EF57D5"/>
    <w:rsid w:val="00EF5EF4"/>
    <w:rsid w:val="00EF713D"/>
    <w:rsid w:val="00F01349"/>
    <w:rsid w:val="00F03DE6"/>
    <w:rsid w:val="00F055A2"/>
    <w:rsid w:val="00F06358"/>
    <w:rsid w:val="00F0651B"/>
    <w:rsid w:val="00F06B68"/>
    <w:rsid w:val="00F07295"/>
    <w:rsid w:val="00F101DD"/>
    <w:rsid w:val="00F10F85"/>
    <w:rsid w:val="00F11660"/>
    <w:rsid w:val="00F11F3F"/>
    <w:rsid w:val="00F12DDF"/>
    <w:rsid w:val="00F12E48"/>
    <w:rsid w:val="00F12FD7"/>
    <w:rsid w:val="00F1371F"/>
    <w:rsid w:val="00F14495"/>
    <w:rsid w:val="00F148E4"/>
    <w:rsid w:val="00F156B5"/>
    <w:rsid w:val="00F1630A"/>
    <w:rsid w:val="00F164C7"/>
    <w:rsid w:val="00F20983"/>
    <w:rsid w:val="00F217E9"/>
    <w:rsid w:val="00F22A4C"/>
    <w:rsid w:val="00F23B20"/>
    <w:rsid w:val="00F24E0D"/>
    <w:rsid w:val="00F26B08"/>
    <w:rsid w:val="00F27BA2"/>
    <w:rsid w:val="00F31BD1"/>
    <w:rsid w:val="00F31EF7"/>
    <w:rsid w:val="00F32A78"/>
    <w:rsid w:val="00F3341E"/>
    <w:rsid w:val="00F33A27"/>
    <w:rsid w:val="00F3467F"/>
    <w:rsid w:val="00F346E1"/>
    <w:rsid w:val="00F35571"/>
    <w:rsid w:val="00F36915"/>
    <w:rsid w:val="00F372E5"/>
    <w:rsid w:val="00F4038A"/>
    <w:rsid w:val="00F409DB"/>
    <w:rsid w:val="00F4261D"/>
    <w:rsid w:val="00F43C53"/>
    <w:rsid w:val="00F44128"/>
    <w:rsid w:val="00F45E79"/>
    <w:rsid w:val="00F46A8B"/>
    <w:rsid w:val="00F47171"/>
    <w:rsid w:val="00F47480"/>
    <w:rsid w:val="00F47FA8"/>
    <w:rsid w:val="00F47FC4"/>
    <w:rsid w:val="00F500DC"/>
    <w:rsid w:val="00F51E00"/>
    <w:rsid w:val="00F5445E"/>
    <w:rsid w:val="00F546F6"/>
    <w:rsid w:val="00F56C15"/>
    <w:rsid w:val="00F640DE"/>
    <w:rsid w:val="00F6584D"/>
    <w:rsid w:val="00F65C59"/>
    <w:rsid w:val="00F66C08"/>
    <w:rsid w:val="00F672FF"/>
    <w:rsid w:val="00F67461"/>
    <w:rsid w:val="00F67873"/>
    <w:rsid w:val="00F7035C"/>
    <w:rsid w:val="00F70614"/>
    <w:rsid w:val="00F710CF"/>
    <w:rsid w:val="00F72B34"/>
    <w:rsid w:val="00F737F2"/>
    <w:rsid w:val="00F763B6"/>
    <w:rsid w:val="00F82B6C"/>
    <w:rsid w:val="00F83D04"/>
    <w:rsid w:val="00F83F38"/>
    <w:rsid w:val="00F84496"/>
    <w:rsid w:val="00F84837"/>
    <w:rsid w:val="00F854F3"/>
    <w:rsid w:val="00F8597A"/>
    <w:rsid w:val="00F908B9"/>
    <w:rsid w:val="00F91278"/>
    <w:rsid w:val="00F91DE3"/>
    <w:rsid w:val="00F9333B"/>
    <w:rsid w:val="00F93E06"/>
    <w:rsid w:val="00F96EE7"/>
    <w:rsid w:val="00F97C6F"/>
    <w:rsid w:val="00F97F8F"/>
    <w:rsid w:val="00FA0196"/>
    <w:rsid w:val="00FA0864"/>
    <w:rsid w:val="00FA1CB7"/>
    <w:rsid w:val="00FA3481"/>
    <w:rsid w:val="00FA4C9E"/>
    <w:rsid w:val="00FA51E8"/>
    <w:rsid w:val="00FA6290"/>
    <w:rsid w:val="00FA7438"/>
    <w:rsid w:val="00FA7C9C"/>
    <w:rsid w:val="00FB1C38"/>
    <w:rsid w:val="00FB2A6C"/>
    <w:rsid w:val="00FB2E1D"/>
    <w:rsid w:val="00FB3FF9"/>
    <w:rsid w:val="00FB5679"/>
    <w:rsid w:val="00FB575B"/>
    <w:rsid w:val="00FB7123"/>
    <w:rsid w:val="00FB72D1"/>
    <w:rsid w:val="00FB7B39"/>
    <w:rsid w:val="00FC1B03"/>
    <w:rsid w:val="00FC1DB3"/>
    <w:rsid w:val="00FC30CC"/>
    <w:rsid w:val="00FC4A41"/>
    <w:rsid w:val="00FC4CB8"/>
    <w:rsid w:val="00FC5435"/>
    <w:rsid w:val="00FC578D"/>
    <w:rsid w:val="00FC5F5A"/>
    <w:rsid w:val="00FC6019"/>
    <w:rsid w:val="00FC60F1"/>
    <w:rsid w:val="00FC74FF"/>
    <w:rsid w:val="00FC7703"/>
    <w:rsid w:val="00FC7877"/>
    <w:rsid w:val="00FD1C58"/>
    <w:rsid w:val="00FD2797"/>
    <w:rsid w:val="00FD3343"/>
    <w:rsid w:val="00FD53D7"/>
    <w:rsid w:val="00FD6214"/>
    <w:rsid w:val="00FE0AA7"/>
    <w:rsid w:val="00FE0B82"/>
    <w:rsid w:val="00FE20EC"/>
    <w:rsid w:val="00FE2421"/>
    <w:rsid w:val="00FE315B"/>
    <w:rsid w:val="00FE4158"/>
    <w:rsid w:val="00FE4EDF"/>
    <w:rsid w:val="00FE703D"/>
    <w:rsid w:val="00FE7E75"/>
    <w:rsid w:val="00FF07D7"/>
    <w:rsid w:val="00FF0E42"/>
    <w:rsid w:val="00FF3854"/>
    <w:rsid w:val="00FF46D7"/>
    <w:rsid w:val="00FF4784"/>
    <w:rsid w:val="00FF5815"/>
    <w:rsid w:val="00FF7233"/>
    <w:rsid w:val="00FF74AA"/>
    <w:rsid w:val="03017E68"/>
    <w:rsid w:val="0CAC40A2"/>
    <w:rsid w:val="1571D5A8"/>
    <w:rsid w:val="1BBA0EBB"/>
    <w:rsid w:val="2C231DF7"/>
    <w:rsid w:val="2E88A84E"/>
    <w:rsid w:val="31AD2D95"/>
    <w:rsid w:val="4013B99F"/>
    <w:rsid w:val="49D4F07E"/>
    <w:rsid w:val="4CAE3265"/>
    <w:rsid w:val="4FA4106B"/>
    <w:rsid w:val="505C7423"/>
    <w:rsid w:val="592523E9"/>
    <w:rsid w:val="63E011DA"/>
    <w:rsid w:val="6DAFFBD4"/>
    <w:rsid w:val="760074E5"/>
    <w:rsid w:val="7D057A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3D4CA"/>
  <w15:chartTrackingRefBased/>
  <w15:docId w15:val="{1D10C1D4-559F-47D4-B75B-251FF751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A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351919"/>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D83"/>
    <w:pPr>
      <w:ind w:left="720"/>
      <w:contextualSpacing/>
    </w:pPr>
  </w:style>
  <w:style w:type="paragraph" w:customStyle="1" w:styleId="Default">
    <w:name w:val="Default"/>
    <w:rsid w:val="00467D83"/>
    <w:pPr>
      <w:autoSpaceDE w:val="0"/>
      <w:autoSpaceDN w:val="0"/>
      <w:adjustRightInd w:val="0"/>
      <w:spacing w:after="0" w:line="240" w:lineRule="auto"/>
    </w:pPr>
    <w:rPr>
      <w:rFonts w:ascii="Arial" w:eastAsia="Calibri" w:hAnsi="Arial" w:cs="Arial"/>
      <w:color w:val="000000"/>
      <w:sz w:val="24"/>
      <w:szCs w:val="24"/>
      <w:lang w:eastAsia="en-GB"/>
    </w:rPr>
  </w:style>
  <w:style w:type="character" w:customStyle="1" w:styleId="normaltextrun">
    <w:name w:val="normaltextrun"/>
    <w:basedOn w:val="DefaultParagraphFont"/>
    <w:rsid w:val="007A5159"/>
  </w:style>
  <w:style w:type="table" w:styleId="TableGrid">
    <w:name w:val="Table Grid"/>
    <w:basedOn w:val="TableNormal"/>
    <w:uiPriority w:val="39"/>
    <w:rsid w:val="00111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1195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4-Accent3">
    <w:name w:val="List Table 4 Accent 3"/>
    <w:basedOn w:val="TableNormal"/>
    <w:uiPriority w:val="49"/>
    <w:rsid w:val="004410C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eop">
    <w:name w:val="eop"/>
    <w:basedOn w:val="DefaultParagraphFont"/>
    <w:rsid w:val="00A17645"/>
  </w:style>
  <w:style w:type="table" w:styleId="GridTable4-Accent1">
    <w:name w:val="Grid Table 4 Accent 1"/>
    <w:basedOn w:val="TableNormal"/>
    <w:uiPriority w:val="49"/>
    <w:rsid w:val="00FC1B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3">
    <w:name w:val="Grid Table 4 Accent 3"/>
    <w:basedOn w:val="TableNormal"/>
    <w:uiPriority w:val="49"/>
    <w:rsid w:val="0003631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1">
    <w:name w:val="List Table 4 Accent 1"/>
    <w:basedOn w:val="TableNormal"/>
    <w:uiPriority w:val="49"/>
    <w:rsid w:val="00662F3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662F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Header">
    <w:name w:val="header"/>
    <w:basedOn w:val="Normal"/>
    <w:link w:val="HeaderChar"/>
    <w:uiPriority w:val="99"/>
    <w:unhideWhenUsed/>
    <w:rsid w:val="00702499"/>
    <w:pPr>
      <w:tabs>
        <w:tab w:val="center" w:pos="4513"/>
        <w:tab w:val="right" w:pos="9026"/>
      </w:tabs>
    </w:pPr>
  </w:style>
  <w:style w:type="character" w:customStyle="1" w:styleId="HeaderChar">
    <w:name w:val="Header Char"/>
    <w:basedOn w:val="DefaultParagraphFont"/>
    <w:link w:val="Header"/>
    <w:uiPriority w:val="99"/>
    <w:rsid w:val="007024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2499"/>
    <w:pPr>
      <w:tabs>
        <w:tab w:val="center" w:pos="4513"/>
        <w:tab w:val="right" w:pos="9026"/>
      </w:tabs>
    </w:pPr>
  </w:style>
  <w:style w:type="character" w:customStyle="1" w:styleId="FooterChar">
    <w:name w:val="Footer Char"/>
    <w:basedOn w:val="DefaultParagraphFont"/>
    <w:link w:val="Footer"/>
    <w:uiPriority w:val="99"/>
    <w:rsid w:val="0070249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34A12"/>
    <w:rPr>
      <w:sz w:val="16"/>
      <w:szCs w:val="16"/>
    </w:rPr>
  </w:style>
  <w:style w:type="paragraph" w:styleId="CommentText">
    <w:name w:val="annotation text"/>
    <w:basedOn w:val="Normal"/>
    <w:link w:val="CommentTextChar"/>
    <w:uiPriority w:val="99"/>
    <w:unhideWhenUsed/>
    <w:rsid w:val="00334A12"/>
    <w:rPr>
      <w:sz w:val="20"/>
      <w:szCs w:val="20"/>
    </w:rPr>
  </w:style>
  <w:style w:type="character" w:customStyle="1" w:styleId="CommentTextChar">
    <w:name w:val="Comment Text Char"/>
    <w:basedOn w:val="DefaultParagraphFont"/>
    <w:link w:val="CommentText"/>
    <w:uiPriority w:val="99"/>
    <w:rsid w:val="00334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4A12"/>
    <w:rPr>
      <w:b/>
      <w:bCs/>
    </w:rPr>
  </w:style>
  <w:style w:type="character" w:customStyle="1" w:styleId="CommentSubjectChar">
    <w:name w:val="Comment Subject Char"/>
    <w:basedOn w:val="CommentTextChar"/>
    <w:link w:val="CommentSubject"/>
    <w:uiPriority w:val="99"/>
    <w:semiHidden/>
    <w:rsid w:val="00334A12"/>
    <w:rPr>
      <w:rFonts w:ascii="Times New Roman" w:eastAsia="Times New Roman" w:hAnsi="Times New Roman" w:cs="Times New Roman"/>
      <w:b/>
      <w:bCs/>
      <w:sz w:val="20"/>
      <w:szCs w:val="20"/>
    </w:rPr>
  </w:style>
  <w:style w:type="character" w:customStyle="1" w:styleId="cf01">
    <w:name w:val="cf01"/>
    <w:basedOn w:val="DefaultParagraphFont"/>
    <w:rsid w:val="00EA306B"/>
    <w:rPr>
      <w:rFonts w:ascii="Segoe UI" w:hAnsi="Segoe UI" w:cs="Segoe UI" w:hint="default"/>
      <w:sz w:val="18"/>
      <w:szCs w:val="18"/>
    </w:rPr>
  </w:style>
  <w:style w:type="character" w:customStyle="1" w:styleId="Heading3Char">
    <w:name w:val="Heading 3 Char"/>
    <w:basedOn w:val="DefaultParagraphFont"/>
    <w:link w:val="Heading3"/>
    <w:uiPriority w:val="9"/>
    <w:rsid w:val="00351919"/>
    <w:rPr>
      <w:rFonts w:ascii="Times New Roman" w:eastAsia="Times New Roman" w:hAnsi="Times New Roman" w:cs="Times New Roman"/>
      <w:b/>
      <w:bCs/>
      <w:sz w:val="27"/>
      <w:szCs w:val="27"/>
      <w:lang w:eastAsia="en-GB"/>
    </w:rPr>
  </w:style>
  <w:style w:type="paragraph" w:customStyle="1" w:styleId="xxmsonormal">
    <w:name w:val="x_xmsonormal"/>
    <w:basedOn w:val="Normal"/>
    <w:rsid w:val="006D5B98"/>
    <w:pPr>
      <w:spacing w:before="100" w:beforeAutospacing="1" w:after="100" w:afterAutospacing="1"/>
    </w:pPr>
    <w:rPr>
      <w:lang w:eastAsia="en-GB"/>
    </w:rPr>
  </w:style>
  <w:style w:type="table" w:styleId="GridTable4-Accent6">
    <w:name w:val="Grid Table 4 Accent 6"/>
    <w:basedOn w:val="TableNormal"/>
    <w:uiPriority w:val="49"/>
    <w:rsid w:val="000154AD"/>
    <w:pPr>
      <w:spacing w:after="0" w:line="240" w:lineRule="auto"/>
    </w:pPr>
    <w:rPr>
      <w:kern w:val="2"/>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0154A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4">
    <w:name w:val="Plain Table 4"/>
    <w:basedOn w:val="TableNormal"/>
    <w:uiPriority w:val="44"/>
    <w:rsid w:val="002B5970"/>
    <w:pPr>
      <w:spacing w:after="0" w:line="240" w:lineRule="auto"/>
    </w:pPr>
    <w:rPr>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2-Accent5">
    <w:name w:val="List Table 2 Accent 5"/>
    <w:basedOn w:val="TableNormal"/>
    <w:uiPriority w:val="47"/>
    <w:rsid w:val="00794EE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Strong">
    <w:name w:val="Strong"/>
    <w:basedOn w:val="DefaultParagraphFont"/>
    <w:uiPriority w:val="22"/>
    <w:qFormat/>
    <w:rsid w:val="00596180"/>
    <w:rPr>
      <w:b/>
      <w:bCs/>
    </w:rPr>
  </w:style>
  <w:style w:type="paragraph" w:styleId="NormalWeb">
    <w:name w:val="Normal (Web)"/>
    <w:basedOn w:val="Normal"/>
    <w:uiPriority w:val="99"/>
    <w:semiHidden/>
    <w:unhideWhenUsed/>
    <w:rsid w:val="00AF7D64"/>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67247">
      <w:bodyDiv w:val="1"/>
      <w:marLeft w:val="0"/>
      <w:marRight w:val="0"/>
      <w:marTop w:val="0"/>
      <w:marBottom w:val="0"/>
      <w:divBdr>
        <w:top w:val="none" w:sz="0" w:space="0" w:color="auto"/>
        <w:left w:val="none" w:sz="0" w:space="0" w:color="auto"/>
        <w:bottom w:val="none" w:sz="0" w:space="0" w:color="auto"/>
        <w:right w:val="none" w:sz="0" w:space="0" w:color="auto"/>
      </w:divBdr>
    </w:div>
    <w:div w:id="551115073">
      <w:bodyDiv w:val="1"/>
      <w:marLeft w:val="0"/>
      <w:marRight w:val="0"/>
      <w:marTop w:val="0"/>
      <w:marBottom w:val="0"/>
      <w:divBdr>
        <w:top w:val="none" w:sz="0" w:space="0" w:color="auto"/>
        <w:left w:val="none" w:sz="0" w:space="0" w:color="auto"/>
        <w:bottom w:val="none" w:sz="0" w:space="0" w:color="auto"/>
        <w:right w:val="none" w:sz="0" w:space="0" w:color="auto"/>
      </w:divBdr>
    </w:div>
    <w:div w:id="832531114">
      <w:bodyDiv w:val="1"/>
      <w:marLeft w:val="0"/>
      <w:marRight w:val="0"/>
      <w:marTop w:val="0"/>
      <w:marBottom w:val="0"/>
      <w:divBdr>
        <w:top w:val="none" w:sz="0" w:space="0" w:color="auto"/>
        <w:left w:val="none" w:sz="0" w:space="0" w:color="auto"/>
        <w:bottom w:val="none" w:sz="0" w:space="0" w:color="auto"/>
        <w:right w:val="none" w:sz="0" w:space="0" w:color="auto"/>
      </w:divBdr>
    </w:div>
    <w:div w:id="986012706">
      <w:bodyDiv w:val="1"/>
      <w:marLeft w:val="0"/>
      <w:marRight w:val="0"/>
      <w:marTop w:val="0"/>
      <w:marBottom w:val="0"/>
      <w:divBdr>
        <w:top w:val="none" w:sz="0" w:space="0" w:color="auto"/>
        <w:left w:val="none" w:sz="0" w:space="0" w:color="auto"/>
        <w:bottom w:val="none" w:sz="0" w:space="0" w:color="auto"/>
        <w:right w:val="none" w:sz="0" w:space="0" w:color="auto"/>
      </w:divBdr>
    </w:div>
    <w:div w:id="1000621868">
      <w:bodyDiv w:val="1"/>
      <w:marLeft w:val="0"/>
      <w:marRight w:val="0"/>
      <w:marTop w:val="0"/>
      <w:marBottom w:val="0"/>
      <w:divBdr>
        <w:top w:val="none" w:sz="0" w:space="0" w:color="auto"/>
        <w:left w:val="none" w:sz="0" w:space="0" w:color="auto"/>
        <w:bottom w:val="none" w:sz="0" w:space="0" w:color="auto"/>
        <w:right w:val="none" w:sz="0" w:space="0" w:color="auto"/>
      </w:divBdr>
    </w:div>
    <w:div w:id="1167987759">
      <w:bodyDiv w:val="1"/>
      <w:marLeft w:val="0"/>
      <w:marRight w:val="0"/>
      <w:marTop w:val="0"/>
      <w:marBottom w:val="0"/>
      <w:divBdr>
        <w:top w:val="none" w:sz="0" w:space="0" w:color="auto"/>
        <w:left w:val="none" w:sz="0" w:space="0" w:color="auto"/>
        <w:bottom w:val="none" w:sz="0" w:space="0" w:color="auto"/>
        <w:right w:val="none" w:sz="0" w:space="0" w:color="auto"/>
      </w:divBdr>
      <w:divsChild>
        <w:div w:id="97532290">
          <w:marLeft w:val="0"/>
          <w:marRight w:val="0"/>
          <w:marTop w:val="0"/>
          <w:marBottom w:val="0"/>
          <w:divBdr>
            <w:top w:val="none" w:sz="0" w:space="0" w:color="auto"/>
            <w:left w:val="none" w:sz="0" w:space="0" w:color="auto"/>
            <w:bottom w:val="none" w:sz="0" w:space="0" w:color="auto"/>
            <w:right w:val="none" w:sz="0" w:space="0" w:color="auto"/>
          </w:divBdr>
        </w:div>
      </w:divsChild>
    </w:div>
    <w:div w:id="1302929391">
      <w:bodyDiv w:val="1"/>
      <w:marLeft w:val="0"/>
      <w:marRight w:val="0"/>
      <w:marTop w:val="0"/>
      <w:marBottom w:val="0"/>
      <w:divBdr>
        <w:top w:val="none" w:sz="0" w:space="0" w:color="auto"/>
        <w:left w:val="none" w:sz="0" w:space="0" w:color="auto"/>
        <w:bottom w:val="none" w:sz="0" w:space="0" w:color="auto"/>
        <w:right w:val="none" w:sz="0" w:space="0" w:color="auto"/>
      </w:divBdr>
    </w:div>
    <w:div w:id="1550800722">
      <w:bodyDiv w:val="1"/>
      <w:marLeft w:val="0"/>
      <w:marRight w:val="0"/>
      <w:marTop w:val="0"/>
      <w:marBottom w:val="0"/>
      <w:divBdr>
        <w:top w:val="none" w:sz="0" w:space="0" w:color="auto"/>
        <w:left w:val="none" w:sz="0" w:space="0" w:color="auto"/>
        <w:bottom w:val="none" w:sz="0" w:space="0" w:color="auto"/>
        <w:right w:val="none" w:sz="0" w:space="0" w:color="auto"/>
      </w:divBdr>
      <w:divsChild>
        <w:div w:id="1369642911">
          <w:marLeft w:val="1886"/>
          <w:marRight w:val="0"/>
          <w:marTop w:val="0"/>
          <w:marBottom w:val="0"/>
          <w:divBdr>
            <w:top w:val="none" w:sz="0" w:space="0" w:color="auto"/>
            <w:left w:val="none" w:sz="0" w:space="0" w:color="auto"/>
            <w:bottom w:val="none" w:sz="0" w:space="0" w:color="auto"/>
            <w:right w:val="none" w:sz="0" w:space="0" w:color="auto"/>
          </w:divBdr>
        </w:div>
        <w:div w:id="1460302808">
          <w:marLeft w:val="1166"/>
          <w:marRight w:val="0"/>
          <w:marTop w:val="0"/>
          <w:marBottom w:val="0"/>
          <w:divBdr>
            <w:top w:val="none" w:sz="0" w:space="0" w:color="auto"/>
            <w:left w:val="none" w:sz="0" w:space="0" w:color="auto"/>
            <w:bottom w:val="none" w:sz="0" w:space="0" w:color="auto"/>
            <w:right w:val="none" w:sz="0" w:space="0" w:color="auto"/>
          </w:divBdr>
        </w:div>
        <w:div w:id="1985545983">
          <w:marLeft w:val="1886"/>
          <w:marRight w:val="0"/>
          <w:marTop w:val="0"/>
          <w:marBottom w:val="0"/>
          <w:divBdr>
            <w:top w:val="none" w:sz="0" w:space="0" w:color="auto"/>
            <w:left w:val="none" w:sz="0" w:space="0" w:color="auto"/>
            <w:bottom w:val="none" w:sz="0" w:space="0" w:color="auto"/>
            <w:right w:val="none" w:sz="0" w:space="0" w:color="auto"/>
          </w:divBdr>
        </w:div>
        <w:div w:id="2030176444">
          <w:marLeft w:val="1886"/>
          <w:marRight w:val="0"/>
          <w:marTop w:val="0"/>
          <w:marBottom w:val="0"/>
          <w:divBdr>
            <w:top w:val="none" w:sz="0" w:space="0" w:color="auto"/>
            <w:left w:val="none" w:sz="0" w:space="0" w:color="auto"/>
            <w:bottom w:val="none" w:sz="0" w:space="0" w:color="auto"/>
            <w:right w:val="none" w:sz="0" w:space="0" w:color="auto"/>
          </w:divBdr>
        </w:div>
        <w:div w:id="2060812059">
          <w:marLeft w:val="1886"/>
          <w:marRight w:val="0"/>
          <w:marTop w:val="0"/>
          <w:marBottom w:val="0"/>
          <w:divBdr>
            <w:top w:val="none" w:sz="0" w:space="0" w:color="auto"/>
            <w:left w:val="none" w:sz="0" w:space="0" w:color="auto"/>
            <w:bottom w:val="none" w:sz="0" w:space="0" w:color="auto"/>
            <w:right w:val="none" w:sz="0" w:space="0" w:color="auto"/>
          </w:divBdr>
        </w:div>
      </w:divsChild>
    </w:div>
    <w:div w:id="1849368619">
      <w:bodyDiv w:val="1"/>
      <w:marLeft w:val="0"/>
      <w:marRight w:val="0"/>
      <w:marTop w:val="0"/>
      <w:marBottom w:val="0"/>
      <w:divBdr>
        <w:top w:val="none" w:sz="0" w:space="0" w:color="auto"/>
        <w:left w:val="none" w:sz="0" w:space="0" w:color="auto"/>
        <w:bottom w:val="none" w:sz="0" w:space="0" w:color="auto"/>
        <w:right w:val="none" w:sz="0" w:space="0" w:color="auto"/>
      </w:divBdr>
    </w:div>
    <w:div w:id="1936936403">
      <w:bodyDiv w:val="1"/>
      <w:marLeft w:val="0"/>
      <w:marRight w:val="0"/>
      <w:marTop w:val="0"/>
      <w:marBottom w:val="0"/>
      <w:divBdr>
        <w:top w:val="none" w:sz="0" w:space="0" w:color="auto"/>
        <w:left w:val="none" w:sz="0" w:space="0" w:color="auto"/>
        <w:bottom w:val="none" w:sz="0" w:space="0" w:color="auto"/>
        <w:right w:val="none" w:sz="0" w:space="0" w:color="auto"/>
      </w:divBdr>
    </w:div>
    <w:div w:id="1972709789">
      <w:bodyDiv w:val="1"/>
      <w:marLeft w:val="0"/>
      <w:marRight w:val="0"/>
      <w:marTop w:val="0"/>
      <w:marBottom w:val="0"/>
      <w:divBdr>
        <w:top w:val="none" w:sz="0" w:space="0" w:color="auto"/>
        <w:left w:val="none" w:sz="0" w:space="0" w:color="auto"/>
        <w:bottom w:val="none" w:sz="0" w:space="0" w:color="auto"/>
        <w:right w:val="none" w:sz="0" w:space="0" w:color="auto"/>
      </w:divBdr>
      <w:divsChild>
        <w:div w:id="880049277">
          <w:marLeft w:val="547"/>
          <w:marRight w:val="0"/>
          <w:marTop w:val="0"/>
          <w:marBottom w:val="0"/>
          <w:divBdr>
            <w:top w:val="none" w:sz="0" w:space="0" w:color="auto"/>
            <w:left w:val="none" w:sz="0" w:space="0" w:color="auto"/>
            <w:bottom w:val="none" w:sz="0" w:space="0" w:color="auto"/>
            <w:right w:val="none" w:sz="0" w:space="0" w:color="auto"/>
          </w:divBdr>
        </w:div>
      </w:divsChild>
    </w:div>
    <w:div w:id="2132244582">
      <w:bodyDiv w:val="1"/>
      <w:marLeft w:val="0"/>
      <w:marRight w:val="0"/>
      <w:marTop w:val="0"/>
      <w:marBottom w:val="0"/>
      <w:divBdr>
        <w:top w:val="none" w:sz="0" w:space="0" w:color="auto"/>
        <w:left w:val="none" w:sz="0" w:space="0" w:color="auto"/>
        <w:bottom w:val="none" w:sz="0" w:space="0" w:color="auto"/>
        <w:right w:val="none" w:sz="0" w:space="0" w:color="auto"/>
      </w:divBdr>
      <w:divsChild>
        <w:div w:id="15922009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sthelensgovuk-my.sharepoint.com/personal/syedmuhammadjawwad_sthelens_gov_uk/Documents/Desktop/Misc/Budget%20Consultation%20-%20Results/497627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thelensgovuk-my.sharepoint.com/personal/syedmuhammadjawwad_sthelens_gov_uk/Documents/Desktop/Misc/Budget%20Consultation%20-%20Results/497627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[4976273.xlsx]Sheet3!PivotTable3</c:name>
    <c:fmtId val="-1"/>
  </c:pivotSource>
  <c:chart>
    <c:autoTitleDeleted val="1"/>
    <c:pivotFmts>
      <c:pivotFmt>
        <c:idx val="0"/>
        <c:spPr>
          <a:solidFill>
            <a:schemeClr val="accent1"/>
          </a:solidFill>
          <a:ln>
            <a:noFill/>
          </a:ln>
          <a:effectLst>
            <a:outerShdw blurRad="254000" sx="102000" sy="102000" algn="ctr" rotWithShape="0">
              <a:prstClr val="black">
                <a:alpha val="20000"/>
              </a:prstClr>
            </a:outerShdw>
          </a:effectLst>
          <a:sp3d/>
        </c:spPr>
        <c:marker>
          <c:symbol val="circle"/>
          <c:size val="6"/>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1"/>
        <c:spPr>
          <a:solidFill>
            <a:schemeClr val="accent1"/>
          </a:solidFill>
          <a:ln>
            <a:noFill/>
          </a:ln>
          <a:effectLst>
            <a:outerShdw blurRad="254000" sx="102000" sy="102000" algn="ctr" rotWithShape="0">
              <a:prstClr val="black">
                <a:alpha val="20000"/>
              </a:prstClr>
            </a:outerShdw>
          </a:effectLst>
          <a:sp3d/>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a:noFill/>
          </a:ln>
          <a:effectLst>
            <a:outerShdw blurRad="254000" sx="102000" sy="102000" algn="ctr" rotWithShape="0">
              <a:prstClr val="black">
                <a:alpha val="20000"/>
              </a:prstClr>
            </a:outerShdw>
          </a:effectLst>
          <a:sp3d/>
        </c:spPr>
      </c:pivotFmt>
      <c:pivotFmt>
        <c:idx val="3"/>
        <c:spPr>
          <a:solidFill>
            <a:schemeClr val="accent1"/>
          </a:solidFill>
          <a:ln>
            <a:noFill/>
          </a:ln>
          <a:effectLst>
            <a:outerShdw blurRad="254000" sx="102000" sy="102000" algn="ctr" rotWithShape="0">
              <a:prstClr val="black">
                <a:alpha val="20000"/>
              </a:prstClr>
            </a:outerShdw>
          </a:effectLst>
          <a:sp3d/>
        </c:spPr>
      </c:pivotFmt>
      <c:pivotFmt>
        <c:idx val="4"/>
        <c:spPr>
          <a:solidFill>
            <a:schemeClr val="accent1"/>
          </a:solidFill>
          <a:ln>
            <a:noFill/>
          </a:ln>
          <a:effectLst>
            <a:outerShdw blurRad="254000" sx="102000" sy="102000" algn="ctr" rotWithShape="0">
              <a:prstClr val="black">
                <a:alpha val="20000"/>
              </a:prstClr>
            </a:outerShdw>
          </a:effectLst>
          <a:sp3d/>
        </c:spPr>
      </c:pivotFmt>
      <c:pivotFmt>
        <c:idx val="5"/>
        <c:spPr>
          <a:solidFill>
            <a:schemeClr val="accent1"/>
          </a:solidFill>
          <a:ln>
            <a:noFill/>
          </a:ln>
          <a:effectLst>
            <a:outerShdw blurRad="254000" sx="102000" sy="102000" algn="ctr" rotWithShape="0">
              <a:prstClr val="black">
                <a:alpha val="20000"/>
              </a:prstClr>
            </a:outerShdw>
          </a:effectLst>
          <a:sp3d/>
        </c:spPr>
      </c:pivotFmt>
      <c:pivotFmt>
        <c:idx val="6"/>
        <c:spPr>
          <a:solidFill>
            <a:schemeClr val="accent1"/>
          </a:solidFill>
          <a:ln>
            <a:noFill/>
          </a:ln>
          <a:effectLst>
            <a:outerShdw blurRad="254000" sx="102000" sy="102000" algn="ctr" rotWithShape="0">
              <a:prstClr val="black">
                <a:alpha val="20000"/>
              </a:prstClr>
            </a:outerShdw>
          </a:effectLst>
          <a:sp3d/>
        </c:spPr>
      </c:pivotFmt>
      <c:pivotFmt>
        <c:idx val="7"/>
        <c:spPr>
          <a:solidFill>
            <a:schemeClr val="accent1"/>
          </a:solidFill>
          <a:ln>
            <a:noFill/>
          </a:ln>
          <a:effectLst>
            <a:outerShdw blurRad="254000" sx="102000" sy="102000" algn="ctr" rotWithShape="0">
              <a:prstClr val="black">
                <a:alpha val="20000"/>
              </a:prstClr>
            </a:outerShdw>
          </a:effectLst>
          <a:sp3d/>
        </c:spPr>
      </c:pivotFmt>
      <c:pivotFmt>
        <c:idx val="8"/>
        <c:spPr>
          <a:solidFill>
            <a:schemeClr val="accent1"/>
          </a:solidFill>
          <a:ln>
            <a:noFill/>
          </a:ln>
          <a:effectLst>
            <a:outerShdw blurRad="254000" sx="102000" sy="102000" algn="ctr" rotWithShape="0">
              <a:prstClr val="black">
                <a:alpha val="20000"/>
              </a:prstClr>
            </a:outerShdw>
          </a:effectLst>
          <a:sp3d/>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9"/>
        <c:spPr>
          <a:solidFill>
            <a:schemeClr val="accent1"/>
          </a:solidFill>
          <a:ln>
            <a:noFill/>
          </a:ln>
          <a:effectLst>
            <a:outerShdw blurRad="254000" sx="102000" sy="102000" algn="ctr" rotWithShape="0">
              <a:prstClr val="black">
                <a:alpha val="20000"/>
              </a:prstClr>
            </a:outerShdw>
          </a:effectLst>
          <a:sp3d/>
        </c:spPr>
      </c:pivotFmt>
      <c:pivotFmt>
        <c:idx val="10"/>
        <c:spPr>
          <a:solidFill>
            <a:schemeClr val="accent1"/>
          </a:solidFill>
          <a:ln>
            <a:noFill/>
          </a:ln>
          <a:effectLst>
            <a:outerShdw blurRad="254000" sx="102000" sy="102000" algn="ctr" rotWithShape="0">
              <a:prstClr val="black">
                <a:alpha val="20000"/>
              </a:prstClr>
            </a:outerShdw>
          </a:effectLst>
          <a:sp3d/>
        </c:spPr>
      </c:pivotFmt>
      <c:pivotFmt>
        <c:idx val="11"/>
        <c:spPr>
          <a:solidFill>
            <a:schemeClr val="accent1"/>
          </a:solidFill>
          <a:ln>
            <a:noFill/>
          </a:ln>
          <a:effectLst>
            <a:outerShdw blurRad="254000" sx="102000" sy="102000" algn="ctr" rotWithShape="0">
              <a:prstClr val="black">
                <a:alpha val="20000"/>
              </a:prstClr>
            </a:outerShdw>
          </a:effectLst>
          <a:sp3d/>
        </c:spPr>
      </c:pivotFmt>
      <c:pivotFmt>
        <c:idx val="12"/>
        <c:spPr>
          <a:solidFill>
            <a:schemeClr val="accent1"/>
          </a:solidFill>
          <a:ln>
            <a:noFill/>
          </a:ln>
          <a:effectLst>
            <a:outerShdw blurRad="254000" sx="102000" sy="102000" algn="ctr" rotWithShape="0">
              <a:prstClr val="black">
                <a:alpha val="20000"/>
              </a:prstClr>
            </a:outerShdw>
          </a:effectLst>
          <a:sp3d/>
        </c:spPr>
      </c:pivotFmt>
      <c:pivotFmt>
        <c:idx val="13"/>
        <c:spPr>
          <a:solidFill>
            <a:schemeClr val="accent1"/>
          </a:solidFill>
          <a:ln>
            <a:noFill/>
          </a:ln>
          <a:effectLst>
            <a:outerShdw blurRad="254000" sx="102000" sy="102000" algn="ctr" rotWithShape="0">
              <a:prstClr val="black">
                <a:alpha val="20000"/>
              </a:prstClr>
            </a:outerShdw>
          </a:effectLst>
          <a:sp3d/>
        </c:spPr>
      </c:pivotFmt>
      <c:pivotFmt>
        <c:idx val="14"/>
        <c:spPr>
          <a:solidFill>
            <a:schemeClr val="accent1"/>
          </a:solidFill>
          <a:ln>
            <a:noFill/>
          </a:ln>
          <a:effectLst>
            <a:outerShdw blurRad="254000" sx="102000" sy="102000" algn="ctr" rotWithShape="0">
              <a:prstClr val="black">
                <a:alpha val="20000"/>
              </a:prstClr>
            </a:outerShdw>
          </a:effectLst>
          <a:sp3d/>
        </c:spPr>
      </c:pivotFmt>
    </c:pivotFmts>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Sheet3!$B$23</c:f>
              <c:strCache>
                <c:ptCount val="1"/>
                <c:pt idx="0">
                  <c:v>Total</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8B2-46E5-8813-334212672641}"/>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8B2-46E5-8813-334212672641}"/>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58B2-46E5-8813-334212672641}"/>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58B2-46E5-8813-334212672641}"/>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58B2-46E5-8813-334212672641}"/>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58B2-46E5-8813-33421267264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Sheet3!$A$24:$A$30</c:f>
              <c:strCache>
                <c:ptCount val="6"/>
                <c:pt idx="0">
                  <c:v>Skipped</c:v>
                </c:pt>
                <c:pt idx="1">
                  <c:v>Strongly Disagree</c:v>
                </c:pt>
                <c:pt idx="2">
                  <c:v>Disagree</c:v>
                </c:pt>
                <c:pt idx="3">
                  <c:v>No preference</c:v>
                </c:pt>
                <c:pt idx="4">
                  <c:v>Agree</c:v>
                </c:pt>
                <c:pt idx="5">
                  <c:v>Strongly Agree</c:v>
                </c:pt>
              </c:strCache>
            </c:strRef>
          </c:cat>
          <c:val>
            <c:numRef>
              <c:f>Sheet3!$B$24:$B$30</c:f>
              <c:numCache>
                <c:formatCode>General</c:formatCode>
                <c:ptCount val="6"/>
                <c:pt idx="0">
                  <c:v>1</c:v>
                </c:pt>
                <c:pt idx="1">
                  <c:v>61</c:v>
                </c:pt>
                <c:pt idx="2">
                  <c:v>31</c:v>
                </c:pt>
                <c:pt idx="3">
                  <c:v>10</c:v>
                </c:pt>
                <c:pt idx="4">
                  <c:v>31</c:v>
                </c:pt>
                <c:pt idx="5">
                  <c:v>21</c:v>
                </c:pt>
              </c:numCache>
            </c:numRef>
          </c:val>
          <c:extLst>
            <c:ext xmlns:c16="http://schemas.microsoft.com/office/drawing/2014/chart" uri="{C3380CC4-5D6E-409C-BE32-E72D297353CC}">
              <c16:uniqueId val="{0000000C-58B2-46E5-8813-334212672641}"/>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[4976273.xlsx]Sheet3!PivotTable4</c:name>
    <c:fmtId val="-1"/>
  </c:pivotSource>
  <c:chart>
    <c:autoTitleDeleted val="1"/>
    <c:pivotFmts>
      <c:pivotFmt>
        <c:idx val="0"/>
        <c:spPr>
          <a:solidFill>
            <a:schemeClr val="accent1"/>
          </a:solidFill>
          <a:ln>
            <a:noFill/>
          </a:ln>
          <a:effectLst>
            <a:outerShdw blurRad="254000" sx="102000" sy="102000" algn="ctr" rotWithShape="0">
              <a:prstClr val="black">
                <a:alpha val="20000"/>
              </a:prstClr>
            </a:outerShdw>
          </a:effectLst>
        </c:spPr>
        <c:marker>
          <c:symbol val="circle"/>
          <c:size val="6"/>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Lst>
        </c:dLbl>
      </c:pivotFmt>
      <c:pivotFmt>
        <c:idx val="1"/>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a:noFill/>
          </a:ln>
          <a:effectLst>
            <a:outerShdw blurRad="254000" sx="102000" sy="102000" algn="ctr" rotWithShape="0">
              <a:prstClr val="black">
                <a:alpha val="20000"/>
              </a:prstClr>
            </a:outerShdw>
          </a:effectLst>
        </c:spPr>
      </c:pivotFmt>
      <c:pivotFmt>
        <c:idx val="3"/>
        <c:spPr>
          <a:solidFill>
            <a:schemeClr val="accent1"/>
          </a:solidFill>
          <a:ln>
            <a:noFill/>
          </a:ln>
          <a:effectLst>
            <a:outerShdw blurRad="254000" sx="102000" sy="102000" algn="ctr" rotWithShape="0">
              <a:prstClr val="black">
                <a:alpha val="20000"/>
              </a:prstClr>
            </a:outerShdw>
          </a:effectLst>
        </c:spPr>
      </c:pivotFmt>
      <c:pivotFmt>
        <c:idx val="4"/>
        <c:spPr>
          <a:solidFill>
            <a:schemeClr val="accent1"/>
          </a:solidFill>
          <a:ln>
            <a:noFill/>
          </a:ln>
          <a:effectLst>
            <a:outerShdw blurRad="254000" sx="102000" sy="102000" algn="ctr" rotWithShape="0">
              <a:prstClr val="black">
                <a:alpha val="20000"/>
              </a:prstClr>
            </a:outerShdw>
          </a:effectLst>
        </c:spPr>
      </c:pivotFmt>
      <c:pivotFmt>
        <c:idx val="5"/>
        <c:spPr>
          <a:solidFill>
            <a:schemeClr val="accent1"/>
          </a:solidFill>
          <a:ln>
            <a:noFill/>
          </a:ln>
          <a:effectLst>
            <a:outerShdw blurRad="254000" sx="102000" sy="102000" algn="ctr" rotWithShape="0">
              <a:prstClr val="black">
                <a:alpha val="20000"/>
              </a:prstClr>
            </a:outerShdw>
          </a:effectLst>
        </c:spPr>
      </c:pivotFmt>
      <c:pivotFmt>
        <c:idx val="6"/>
        <c:spPr>
          <a:solidFill>
            <a:schemeClr val="accent1"/>
          </a:solidFill>
          <a:ln>
            <a:noFill/>
          </a:ln>
          <a:effectLst>
            <a:outerShdw blurRad="254000" sx="102000" sy="102000" algn="ctr" rotWithShape="0">
              <a:prstClr val="black">
                <a:alpha val="20000"/>
              </a:prstClr>
            </a:outerShdw>
          </a:effectLst>
        </c:spPr>
      </c:pivotFmt>
      <c:pivotFmt>
        <c:idx val="7"/>
        <c:spPr>
          <a:solidFill>
            <a:schemeClr val="accent1"/>
          </a:solidFill>
          <a:ln>
            <a:noFill/>
          </a:ln>
          <a:effectLst>
            <a:outerShdw blurRad="254000" sx="102000" sy="102000" algn="ctr" rotWithShape="0">
              <a:prstClr val="black">
                <a:alpha val="20000"/>
              </a:prstClr>
            </a:outerShdw>
          </a:effectLst>
        </c:spPr>
      </c:pivotFmt>
      <c:pivotFmt>
        <c:idx val="8"/>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Lst>
        </c:dLbl>
      </c:pivotFmt>
      <c:pivotFmt>
        <c:idx val="9"/>
        <c:spPr>
          <a:solidFill>
            <a:schemeClr val="accent1"/>
          </a:solidFill>
          <a:ln>
            <a:noFill/>
          </a:ln>
          <a:effectLst>
            <a:outerShdw blurRad="254000" sx="102000" sy="102000" algn="ctr" rotWithShape="0">
              <a:prstClr val="black">
                <a:alpha val="20000"/>
              </a:prstClr>
            </a:outerShdw>
          </a:effectLst>
        </c:spPr>
      </c:pivotFmt>
      <c:pivotFmt>
        <c:idx val="10"/>
        <c:spPr>
          <a:solidFill>
            <a:schemeClr val="accent1"/>
          </a:solidFill>
          <a:ln>
            <a:noFill/>
          </a:ln>
          <a:effectLst>
            <a:outerShdw blurRad="254000" sx="102000" sy="102000" algn="ctr" rotWithShape="0">
              <a:prstClr val="black">
                <a:alpha val="20000"/>
              </a:prstClr>
            </a:outerShdw>
          </a:effectLst>
        </c:spPr>
      </c:pivotFmt>
      <c:pivotFmt>
        <c:idx val="11"/>
        <c:spPr>
          <a:solidFill>
            <a:schemeClr val="accent1"/>
          </a:solidFill>
          <a:ln>
            <a:noFill/>
          </a:ln>
          <a:effectLst>
            <a:outerShdw blurRad="254000" sx="102000" sy="102000" algn="ctr" rotWithShape="0">
              <a:prstClr val="black">
                <a:alpha val="20000"/>
              </a:prstClr>
            </a:outerShdw>
          </a:effectLst>
        </c:spPr>
      </c:pivotFmt>
      <c:pivotFmt>
        <c:idx val="12"/>
        <c:spPr>
          <a:solidFill>
            <a:schemeClr val="accent1"/>
          </a:solidFill>
          <a:ln>
            <a:noFill/>
          </a:ln>
          <a:effectLst>
            <a:outerShdw blurRad="254000" sx="102000" sy="102000" algn="ctr" rotWithShape="0">
              <a:prstClr val="black">
                <a:alpha val="20000"/>
              </a:prstClr>
            </a:outerShdw>
          </a:effectLst>
        </c:spPr>
      </c:pivotFmt>
      <c:pivotFmt>
        <c:idx val="13"/>
        <c:spPr>
          <a:solidFill>
            <a:schemeClr val="accent1"/>
          </a:solidFill>
          <a:ln>
            <a:noFill/>
          </a:ln>
          <a:effectLst>
            <a:outerShdw blurRad="254000" sx="102000" sy="102000" algn="ctr" rotWithShape="0">
              <a:prstClr val="black">
                <a:alpha val="20000"/>
              </a:prstClr>
            </a:outerShdw>
          </a:effectLst>
        </c:spPr>
      </c:pivotFmt>
      <c:pivotFmt>
        <c:idx val="14"/>
        <c:spPr>
          <a:solidFill>
            <a:schemeClr val="accent1"/>
          </a:solidFill>
          <a:ln>
            <a:noFill/>
          </a:ln>
          <a:effectLst>
            <a:outerShdw blurRad="254000" sx="102000" sy="102000" algn="ctr" rotWithShape="0">
              <a:prstClr val="black">
                <a:alpha val="20000"/>
              </a:prstClr>
            </a:outerShdw>
          </a:effectLst>
        </c:spPr>
      </c:pivotFmt>
    </c:pivotFmts>
    <c:plotArea>
      <c:layout/>
      <c:doughnutChart>
        <c:varyColors val="1"/>
        <c:ser>
          <c:idx val="0"/>
          <c:order val="0"/>
          <c:tx>
            <c:strRef>
              <c:f>Sheet3!$B$37</c:f>
              <c:strCache>
                <c:ptCount val="1"/>
                <c:pt idx="0">
                  <c:v>Total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F8B-4173-AA78-1E4D23738F0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F8B-4173-AA78-1E4D23738F0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F8B-4173-AA78-1E4D23738F0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F8B-4173-AA78-1E4D23738F04}"/>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F8B-4173-AA78-1E4D23738F04}"/>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CF8B-4173-AA78-1E4D23738F04}"/>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Sheet3!$A$38:$A$44</c:f>
              <c:strCache>
                <c:ptCount val="6"/>
                <c:pt idx="0">
                  <c:v>Be a responsible Council</c:v>
                </c:pt>
                <c:pt idx="1">
                  <c:v>Create green and vibrant places that reflect our culture and heritage</c:v>
                </c:pt>
                <c:pt idx="2">
                  <c:v>Create safe and strong communities and neighbourhoods for all</c:v>
                </c:pt>
                <c:pt idx="3">
                  <c:v>Ensure children and young people have a positive start in life</c:v>
                </c:pt>
                <c:pt idx="4">
                  <c:v>Promote good health, and independence and care across our communities</c:v>
                </c:pt>
                <c:pt idx="5">
                  <c:v>Support a strong, thriving, inclusive and well-connected local economy</c:v>
                </c:pt>
              </c:strCache>
            </c:strRef>
          </c:cat>
          <c:val>
            <c:numRef>
              <c:f>Sheet3!$B$38:$B$44</c:f>
              <c:numCache>
                <c:formatCode>General</c:formatCode>
                <c:ptCount val="6"/>
                <c:pt idx="0">
                  <c:v>38</c:v>
                </c:pt>
                <c:pt idx="1">
                  <c:v>17</c:v>
                </c:pt>
                <c:pt idx="2">
                  <c:v>34</c:v>
                </c:pt>
                <c:pt idx="3">
                  <c:v>27</c:v>
                </c:pt>
                <c:pt idx="4">
                  <c:v>18</c:v>
                </c:pt>
                <c:pt idx="5">
                  <c:v>21</c:v>
                </c:pt>
              </c:numCache>
            </c:numRef>
          </c:val>
          <c:extLst>
            <c:ext xmlns:c16="http://schemas.microsoft.com/office/drawing/2014/chart" uri="{C3380CC4-5D6E-409C-BE32-E72D297353CC}">
              <c16:uniqueId val="{0000000C-CF8B-4173-AA78-1E4D23738F04}"/>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4A7C6DA2BB7341922012440F9D33D1" ma:contentTypeVersion="15" ma:contentTypeDescription="Create a new document." ma:contentTypeScope="" ma:versionID="d828b0b3ceefa7a189628c5d347cdd32">
  <xsd:schema xmlns:xsd="http://www.w3.org/2001/XMLSchema" xmlns:xs="http://www.w3.org/2001/XMLSchema" xmlns:p="http://schemas.microsoft.com/office/2006/metadata/properties" xmlns:ns2="ff446738-7529-4894-9b4c-e1ea1a030581" xmlns:ns3="95691039-916f-4c5b-b7d7-a2a324b70bd9" targetNamespace="http://schemas.microsoft.com/office/2006/metadata/properties" ma:root="true" ma:fieldsID="45c087f3428f1b52ec2e79ea6abc617a" ns2:_="" ns3:_="">
    <xsd:import namespace="ff446738-7529-4894-9b4c-e1ea1a030581"/>
    <xsd:import namespace="95691039-916f-4c5b-b7d7-a2a324b70b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46738-7529-4894-9b4c-e1ea1a030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91039-916f-4c5b-b7d7-a2a324b70b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446738-7529-4894-9b4c-e1ea1a030581">
      <Terms xmlns="http://schemas.microsoft.com/office/infopath/2007/PartnerControls"/>
    </lcf76f155ced4ddcb4097134ff3c332f>
    <SharedWithUsers xmlns="95691039-916f-4c5b-b7d7-a2a324b70bd9">
      <UserInfo>
        <DisplayName>Wayne Traynor</DisplayName>
        <AccountId>12</AccountId>
        <AccountType/>
      </UserInfo>
      <UserInfo>
        <DisplayName>Jon Ridgeon</DisplayName>
        <AccountId>6</AccountId>
        <AccountType/>
      </UserInfo>
      <UserInfo>
        <DisplayName>Matthew Kay</DisplayName>
        <AccountId>103</AccountId>
        <AccountType/>
      </UserInfo>
      <UserInfo>
        <DisplayName>Tara Kirkham</DisplayName>
        <AccountId>13</AccountId>
        <AccountType/>
      </UserInfo>
      <UserInfo>
        <DisplayName>Cath Fogarty</DisplayName>
        <AccountId>20</AccountId>
        <AccountType/>
      </UserInfo>
      <UserInfo>
        <DisplayName>Gordon Lee</DisplayName>
        <AccountId>27</AccountId>
        <AccountType/>
      </UserInfo>
    </SharedWithUsers>
  </documentManagement>
</p:properties>
</file>

<file path=customXml/itemProps1.xml><?xml version="1.0" encoding="utf-8"?>
<ds:datastoreItem xmlns:ds="http://schemas.openxmlformats.org/officeDocument/2006/customXml" ds:itemID="{4CC67D40-7E70-41C3-9738-F16612055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46738-7529-4894-9b4c-e1ea1a030581"/>
    <ds:schemaRef ds:uri="95691039-916f-4c5b-b7d7-a2a324b70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76B8B-0EA7-4D91-A494-024C02ABD545}">
  <ds:schemaRefs>
    <ds:schemaRef ds:uri="http://schemas.openxmlformats.org/officeDocument/2006/bibliography"/>
  </ds:schemaRefs>
</ds:datastoreItem>
</file>

<file path=customXml/itemProps3.xml><?xml version="1.0" encoding="utf-8"?>
<ds:datastoreItem xmlns:ds="http://schemas.openxmlformats.org/officeDocument/2006/customXml" ds:itemID="{4EE3BC86-7E3F-4868-92C2-5D1B76D789E1}">
  <ds:schemaRefs>
    <ds:schemaRef ds:uri="http://schemas.microsoft.com/sharepoint/v3/contenttype/forms"/>
  </ds:schemaRefs>
</ds:datastoreItem>
</file>

<file path=customXml/itemProps4.xml><?xml version="1.0" encoding="utf-8"?>
<ds:datastoreItem xmlns:ds="http://schemas.openxmlformats.org/officeDocument/2006/customXml" ds:itemID="{B1958C50-0118-4CBC-8E1B-6EB38F984195}">
  <ds:schemaRefs>
    <ds:schemaRef ds:uri="http://schemas.microsoft.com/office/2006/metadata/properties"/>
    <ds:schemaRef ds:uri="http://schemas.microsoft.com/office/infopath/2007/PartnerControls"/>
    <ds:schemaRef ds:uri="ff446738-7529-4894-9b4c-e1ea1a030581"/>
    <ds:schemaRef ds:uri="95691039-916f-4c5b-b7d7-a2a324b70bd9"/>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6</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Kirkham</dc:creator>
  <cp:keywords/>
  <dc:description/>
  <cp:lastModifiedBy>Joan Whitfield</cp:lastModifiedBy>
  <cp:revision>265</cp:revision>
  <cp:lastPrinted>2023-01-26T20:25:00Z</cp:lastPrinted>
  <dcterms:created xsi:type="dcterms:W3CDTF">2025-02-07T14:04:00Z</dcterms:created>
  <dcterms:modified xsi:type="dcterms:W3CDTF">2025-12-02T20:01:00Z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0x010100F74A7C6DA2BB7341922012440F9D33D1</vt:lpwstr>
  </property>
  <property fmtid="{D5CDD505-2E9C-101B-9397-08002B2CF9AE}" pid="3" name="MediaServiceImageTags">
    <vt:lpwstr/>
  </property>
</Properties>
</file>